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498275381" w:displacedByCustomXml="next"/>
    <w:sdt>
      <w:sdtPr>
        <w:rPr>
          <w:sz w:val="20"/>
        </w:rPr>
        <w:id w:val="187385978"/>
        <w:docPartObj>
          <w:docPartGallery w:val="Cover Pages"/>
          <w:docPartUnique/>
        </w:docPartObj>
      </w:sdtPr>
      <w:sdtEndPr>
        <w:rPr>
          <w:rFonts w:asciiTheme="majorHAnsi" w:hAnsiTheme="majorHAnsi"/>
          <w:b/>
          <w:bCs/>
          <w:sz w:val="76"/>
          <w:szCs w:val="72"/>
        </w:rPr>
      </w:sdtEndPr>
      <w:sdtContent>
        <w:p w14:paraId="235ACBDA" w14:textId="77777777" w:rsidR="008045DD" w:rsidRPr="00954217" w:rsidRDefault="008045DD" w:rsidP="001B7CFC">
          <w:pPr>
            <w:pStyle w:val="NoSpacing"/>
            <w:jc w:val="center"/>
            <w:rPr>
              <w:b/>
              <w:sz w:val="28"/>
              <w:szCs w:val="28"/>
            </w:rPr>
          </w:pPr>
          <w:r w:rsidRPr="00954217">
            <w:rPr>
              <w:sz w:val="28"/>
              <w:szCs w:val="28"/>
              <w:lang w:val="en-CA"/>
            </w:rPr>
            <w:fldChar w:fldCharType="begin"/>
          </w:r>
          <w:r w:rsidRPr="00954217">
            <w:rPr>
              <w:sz w:val="28"/>
              <w:szCs w:val="28"/>
              <w:lang w:val="en-CA"/>
            </w:rPr>
            <w:instrText xml:space="preserve"> SEQ CHAPTER \h \r 1</w:instrText>
          </w:r>
          <w:r w:rsidRPr="00954217">
            <w:rPr>
              <w:sz w:val="28"/>
              <w:szCs w:val="28"/>
              <w:lang w:val="en-CA"/>
            </w:rPr>
            <w:fldChar w:fldCharType="end"/>
          </w:r>
          <w:r w:rsidR="006800DC">
            <w:rPr>
              <w:b/>
              <w:sz w:val="28"/>
              <w:szCs w:val="28"/>
            </w:rPr>
            <w:t>Memory Response:</w:t>
          </w:r>
          <w:r w:rsidR="001B3857" w:rsidRPr="00954217">
            <w:rPr>
              <w:b/>
              <w:sz w:val="28"/>
              <w:szCs w:val="28"/>
            </w:rPr>
            <w:t xml:space="preserve"> </w:t>
          </w:r>
          <w:r w:rsidR="00824BD1">
            <w:rPr>
              <w:b/>
              <w:sz w:val="28"/>
              <w:szCs w:val="28"/>
            </w:rPr>
            <w:t>E</w:t>
          </w:r>
          <w:r w:rsidR="006800DC">
            <w:rPr>
              <w:b/>
              <w:sz w:val="28"/>
              <w:szCs w:val="28"/>
            </w:rPr>
            <w:t xml:space="preserve">xposure history dependence of </w:t>
          </w:r>
          <w:r w:rsidR="00057A76">
            <w:rPr>
              <w:b/>
              <w:sz w:val="28"/>
              <w:szCs w:val="28"/>
            </w:rPr>
            <w:t xml:space="preserve">microbial </w:t>
          </w:r>
          <w:r w:rsidRPr="00954217">
            <w:rPr>
              <w:b/>
              <w:sz w:val="28"/>
              <w:szCs w:val="28"/>
            </w:rPr>
            <w:t xml:space="preserve">mediated transformations </w:t>
          </w:r>
          <w:r w:rsidR="00057A76">
            <w:rPr>
              <w:b/>
              <w:sz w:val="28"/>
              <w:szCs w:val="28"/>
            </w:rPr>
            <w:t xml:space="preserve">of substrates </w:t>
          </w:r>
          <w:r w:rsidRPr="00954217">
            <w:rPr>
              <w:b/>
              <w:sz w:val="28"/>
              <w:szCs w:val="28"/>
            </w:rPr>
            <w:t>in groundwater</w:t>
          </w:r>
        </w:p>
        <w:bookmarkEnd w:id="0"/>
        <w:p w14:paraId="6D4B2C6E" w14:textId="77777777" w:rsidR="008045DD" w:rsidRDefault="008045DD" w:rsidP="008045DD">
          <w:pPr>
            <w:jc w:val="center"/>
            <w:rPr>
              <w:szCs w:val="24"/>
            </w:rPr>
          </w:pPr>
        </w:p>
        <w:p w14:paraId="77F467AD" w14:textId="77777777" w:rsidR="008045DD" w:rsidRDefault="008045DD" w:rsidP="008045DD">
          <w:pPr>
            <w:jc w:val="center"/>
            <w:rPr>
              <w:szCs w:val="24"/>
            </w:rPr>
          </w:pPr>
        </w:p>
        <w:p w14:paraId="763A5174" w14:textId="77777777" w:rsidR="008045DD" w:rsidRDefault="008045DD" w:rsidP="00360548">
          <w:pPr>
            <w:rPr>
              <w:szCs w:val="24"/>
            </w:rPr>
          </w:pPr>
        </w:p>
        <w:p w14:paraId="3653C7DA" w14:textId="77777777" w:rsidR="008045DD" w:rsidRDefault="008045DD" w:rsidP="008045DD">
          <w:pPr>
            <w:jc w:val="center"/>
            <w:rPr>
              <w:szCs w:val="24"/>
            </w:rPr>
          </w:pPr>
        </w:p>
        <w:p w14:paraId="4726C1A6" w14:textId="77777777" w:rsidR="008045DD" w:rsidRDefault="008045DD" w:rsidP="00360548">
          <w:pPr>
            <w:pStyle w:val="NoSpacing"/>
            <w:jc w:val="center"/>
          </w:pPr>
          <w:r w:rsidRPr="00E91056">
            <w:t>A Dissertation Presented for</w:t>
          </w:r>
          <w:r w:rsidR="008C1346">
            <w:t xml:space="preserve"> the</w:t>
          </w:r>
        </w:p>
        <w:p w14:paraId="34DFD3C6" w14:textId="77777777" w:rsidR="008045DD" w:rsidRDefault="008045DD" w:rsidP="00360548">
          <w:pPr>
            <w:pStyle w:val="NoSpacing"/>
            <w:jc w:val="center"/>
          </w:pPr>
        </w:p>
        <w:p w14:paraId="09CC1DF0" w14:textId="77777777" w:rsidR="008045DD" w:rsidRDefault="008045DD" w:rsidP="00360548">
          <w:pPr>
            <w:pStyle w:val="NoSpacing"/>
            <w:jc w:val="center"/>
          </w:pPr>
          <w:r w:rsidRPr="00E91056">
            <w:t>Doctor of Philosophy</w:t>
          </w:r>
        </w:p>
        <w:p w14:paraId="76A52CD7" w14:textId="77777777" w:rsidR="008045DD" w:rsidRPr="00E91056" w:rsidRDefault="008045DD" w:rsidP="00360548">
          <w:pPr>
            <w:pStyle w:val="NoSpacing"/>
            <w:jc w:val="center"/>
          </w:pPr>
        </w:p>
        <w:p w14:paraId="39B63E33" w14:textId="77777777" w:rsidR="008045DD" w:rsidRDefault="008045DD" w:rsidP="00360548">
          <w:pPr>
            <w:pStyle w:val="NoSpacing"/>
            <w:jc w:val="center"/>
          </w:pPr>
          <w:r w:rsidRPr="00E91056">
            <w:t>Degree</w:t>
          </w:r>
        </w:p>
        <w:p w14:paraId="1F7CFB61" w14:textId="77777777" w:rsidR="008045DD" w:rsidRPr="00E91056" w:rsidRDefault="008045DD" w:rsidP="00360548">
          <w:pPr>
            <w:pStyle w:val="NoSpacing"/>
            <w:jc w:val="center"/>
          </w:pPr>
        </w:p>
        <w:p w14:paraId="18C46B58" w14:textId="77777777" w:rsidR="008045DD" w:rsidRPr="00E91056" w:rsidRDefault="008045DD" w:rsidP="00360548">
          <w:pPr>
            <w:pStyle w:val="NoSpacing"/>
            <w:jc w:val="center"/>
          </w:pPr>
          <w:r w:rsidRPr="00E91056">
            <w:t>The University of Tennessee, Knoxville</w:t>
          </w:r>
        </w:p>
        <w:p w14:paraId="4256BDCD" w14:textId="77777777" w:rsidR="008045DD" w:rsidRDefault="008045DD" w:rsidP="008045DD">
          <w:pPr>
            <w:jc w:val="center"/>
          </w:pPr>
        </w:p>
        <w:p w14:paraId="14BC291B" w14:textId="77777777" w:rsidR="008045DD" w:rsidRDefault="008045DD" w:rsidP="008045DD">
          <w:pPr>
            <w:jc w:val="center"/>
          </w:pPr>
        </w:p>
        <w:p w14:paraId="1181BD2A" w14:textId="77777777" w:rsidR="008045DD" w:rsidRDefault="008045DD" w:rsidP="00360548"/>
        <w:p w14:paraId="3942AB42" w14:textId="77777777" w:rsidR="008045DD" w:rsidRDefault="008045DD" w:rsidP="00360548"/>
        <w:p w14:paraId="4DB0C2E4" w14:textId="77777777" w:rsidR="008045DD" w:rsidRPr="00E91056" w:rsidRDefault="008045DD" w:rsidP="008045DD"/>
        <w:p w14:paraId="11317C59" w14:textId="77777777" w:rsidR="008045DD" w:rsidRDefault="008045DD" w:rsidP="00360548">
          <w:pPr>
            <w:pStyle w:val="NoSpacing"/>
            <w:jc w:val="center"/>
          </w:pPr>
          <w:r>
            <w:t>Charles Joseph Paradis</w:t>
          </w:r>
        </w:p>
        <w:p w14:paraId="327C1BCE" w14:textId="77777777" w:rsidR="008045DD" w:rsidRPr="00E91056" w:rsidRDefault="008045DD" w:rsidP="00360548">
          <w:pPr>
            <w:pStyle w:val="NoSpacing"/>
            <w:jc w:val="center"/>
          </w:pPr>
        </w:p>
        <w:p w14:paraId="5E436D86" w14:textId="77777777" w:rsidR="008045DD" w:rsidRPr="00E91056" w:rsidRDefault="00FA5068" w:rsidP="00360548">
          <w:pPr>
            <w:pStyle w:val="NoSpacing"/>
            <w:jc w:val="center"/>
          </w:pPr>
          <w:r>
            <w:t>December</w:t>
          </w:r>
          <w:r w:rsidR="008045DD" w:rsidRPr="00E91056">
            <w:t xml:space="preserve"> 201</w:t>
          </w:r>
          <w:r w:rsidR="008045DD">
            <w:t>7</w:t>
          </w:r>
        </w:p>
        <w:p w14:paraId="5BCD96A7" w14:textId="77777777" w:rsidR="008045DD" w:rsidRDefault="008045DD" w:rsidP="002D1B51">
          <w:pPr>
            <w:rPr>
              <w:rFonts w:eastAsia="Calibri"/>
            </w:rPr>
          </w:pPr>
        </w:p>
        <w:p w14:paraId="791970DC" w14:textId="77777777" w:rsidR="003F487F" w:rsidRDefault="003F487F" w:rsidP="00A67D37"/>
        <w:p w14:paraId="600BB336" w14:textId="77777777" w:rsidR="003F487F" w:rsidRDefault="003F487F" w:rsidP="00A67D37"/>
        <w:p w14:paraId="3BE7123B" w14:textId="77777777" w:rsidR="003F487F" w:rsidRDefault="003F487F" w:rsidP="00A67D37"/>
        <w:p w14:paraId="2AB345B0" w14:textId="77777777" w:rsidR="003F487F" w:rsidRDefault="003F487F" w:rsidP="00A67D37"/>
        <w:p w14:paraId="3A854C20" w14:textId="77777777" w:rsidR="003F487F" w:rsidRDefault="003F487F" w:rsidP="00A67D37"/>
        <w:p w14:paraId="26C643A4" w14:textId="77777777" w:rsidR="003F487F" w:rsidRDefault="003F487F" w:rsidP="00A67D37"/>
        <w:p w14:paraId="1F1DA027" w14:textId="77777777" w:rsidR="00ED66BD" w:rsidRPr="00A972A7" w:rsidRDefault="00CA2C3C" w:rsidP="00A972A7"/>
      </w:sdtContent>
    </w:sdt>
    <w:p w14:paraId="6D736E50" w14:textId="67271DAE" w:rsidR="00C75CE2" w:rsidRPr="00DA19D2" w:rsidRDefault="00C75CE2" w:rsidP="002427AC">
      <w:pPr>
        <w:jc w:val="center"/>
        <w:rPr>
          <w:b/>
          <w:i/>
          <w:sz w:val="28"/>
          <w:szCs w:val="28"/>
        </w:rPr>
      </w:pPr>
      <w:r w:rsidRPr="00DA19D2">
        <w:rPr>
          <w:b/>
          <w:i/>
          <w:sz w:val="28"/>
          <w:szCs w:val="28"/>
        </w:rPr>
        <w:lastRenderedPageBreak/>
        <w:t>Dedication</w:t>
      </w:r>
    </w:p>
    <w:p w14:paraId="0B481C17" w14:textId="5E017569" w:rsidR="00C75CE2" w:rsidRPr="002427AC" w:rsidRDefault="00C75CE2" w:rsidP="002427AC">
      <w:pPr>
        <w:jc w:val="center"/>
        <w:rPr>
          <w:b/>
          <w:i/>
          <w:sz w:val="28"/>
          <w:szCs w:val="28"/>
        </w:rPr>
      </w:pPr>
      <w:r w:rsidRPr="002427AC">
        <w:rPr>
          <w:i/>
        </w:rPr>
        <w:t>Th</w:t>
      </w:r>
      <w:r w:rsidR="002427AC" w:rsidRPr="002427AC">
        <w:rPr>
          <w:i/>
        </w:rPr>
        <w:t>is dissertation is dedicated to my lovely wife, Wen</w:t>
      </w:r>
      <w:r w:rsidR="001613A6">
        <w:rPr>
          <w:i/>
        </w:rPr>
        <w:t>dy</w:t>
      </w:r>
      <w:r w:rsidR="002427AC" w:rsidRPr="002427AC">
        <w:rPr>
          <w:i/>
        </w:rPr>
        <w:t>, and my spirited</w:t>
      </w:r>
      <w:r w:rsidR="00156CAB">
        <w:rPr>
          <w:i/>
        </w:rPr>
        <w:t xml:space="preserve"> daughter, Fabi</w:t>
      </w:r>
      <w:r w:rsidR="001613A6">
        <w:rPr>
          <w:i/>
        </w:rPr>
        <w:t>enne</w:t>
      </w:r>
      <w:r w:rsidR="00156CAB">
        <w:rPr>
          <w:i/>
        </w:rPr>
        <w:t>.</w:t>
      </w:r>
    </w:p>
    <w:p w14:paraId="119E0E3D" w14:textId="77777777" w:rsidR="00C75CE2" w:rsidRDefault="00C75CE2" w:rsidP="00C75CE2">
      <w:pPr>
        <w:rPr>
          <w:b/>
          <w:sz w:val="28"/>
          <w:szCs w:val="28"/>
        </w:rPr>
      </w:pPr>
    </w:p>
    <w:p w14:paraId="1E228135" w14:textId="77777777" w:rsidR="00C75CE2" w:rsidRDefault="00C75CE2" w:rsidP="00C75CE2">
      <w:pPr>
        <w:rPr>
          <w:b/>
          <w:sz w:val="28"/>
          <w:szCs w:val="28"/>
        </w:rPr>
      </w:pPr>
    </w:p>
    <w:p w14:paraId="5EF395BE" w14:textId="77777777" w:rsidR="00C75CE2" w:rsidRDefault="00C75CE2" w:rsidP="00C75CE2">
      <w:pPr>
        <w:rPr>
          <w:b/>
          <w:sz w:val="28"/>
          <w:szCs w:val="28"/>
        </w:rPr>
      </w:pPr>
    </w:p>
    <w:p w14:paraId="24ACE22C" w14:textId="77777777" w:rsidR="00C75CE2" w:rsidRDefault="00C75CE2" w:rsidP="00C75CE2">
      <w:pPr>
        <w:rPr>
          <w:b/>
          <w:sz w:val="28"/>
          <w:szCs w:val="28"/>
        </w:rPr>
      </w:pPr>
    </w:p>
    <w:p w14:paraId="3675CC05" w14:textId="77777777" w:rsidR="00C75CE2" w:rsidRDefault="00C75CE2" w:rsidP="00C75CE2">
      <w:pPr>
        <w:rPr>
          <w:b/>
          <w:sz w:val="28"/>
          <w:szCs w:val="28"/>
        </w:rPr>
      </w:pPr>
    </w:p>
    <w:p w14:paraId="11E43403" w14:textId="77777777" w:rsidR="00C75CE2" w:rsidRDefault="00C75CE2" w:rsidP="00C75CE2">
      <w:pPr>
        <w:rPr>
          <w:b/>
          <w:sz w:val="28"/>
          <w:szCs w:val="28"/>
        </w:rPr>
      </w:pPr>
    </w:p>
    <w:p w14:paraId="6A765FF6" w14:textId="77777777" w:rsidR="00C75CE2" w:rsidRDefault="00C75CE2" w:rsidP="00C75CE2">
      <w:pPr>
        <w:rPr>
          <w:b/>
          <w:sz w:val="28"/>
          <w:szCs w:val="28"/>
        </w:rPr>
      </w:pPr>
    </w:p>
    <w:p w14:paraId="52A85EB0" w14:textId="77777777" w:rsidR="00C75CE2" w:rsidRDefault="00C75CE2" w:rsidP="00C75CE2">
      <w:pPr>
        <w:rPr>
          <w:b/>
          <w:sz w:val="28"/>
          <w:szCs w:val="28"/>
        </w:rPr>
      </w:pPr>
    </w:p>
    <w:p w14:paraId="6C13106F" w14:textId="77777777" w:rsidR="00C75CE2" w:rsidRDefault="00C75CE2" w:rsidP="00C75CE2">
      <w:pPr>
        <w:rPr>
          <w:b/>
          <w:sz w:val="28"/>
          <w:szCs w:val="28"/>
        </w:rPr>
      </w:pPr>
    </w:p>
    <w:p w14:paraId="71078954" w14:textId="77777777" w:rsidR="00C75CE2" w:rsidRDefault="00C75CE2" w:rsidP="00C75CE2">
      <w:pPr>
        <w:rPr>
          <w:b/>
          <w:sz w:val="28"/>
          <w:szCs w:val="28"/>
        </w:rPr>
      </w:pPr>
    </w:p>
    <w:p w14:paraId="1FE6A492" w14:textId="77777777" w:rsidR="00C75CE2" w:rsidRDefault="00C75CE2" w:rsidP="00C75CE2">
      <w:pPr>
        <w:rPr>
          <w:b/>
          <w:sz w:val="28"/>
          <w:szCs w:val="28"/>
        </w:rPr>
      </w:pPr>
    </w:p>
    <w:p w14:paraId="6581A7DB" w14:textId="77777777" w:rsidR="00C75CE2" w:rsidRDefault="00C75CE2" w:rsidP="00C75CE2">
      <w:pPr>
        <w:rPr>
          <w:b/>
          <w:sz w:val="28"/>
          <w:szCs w:val="28"/>
        </w:rPr>
      </w:pPr>
    </w:p>
    <w:p w14:paraId="0C8FAC63" w14:textId="77777777" w:rsidR="00C75CE2" w:rsidRDefault="00C75CE2" w:rsidP="00C75CE2">
      <w:pPr>
        <w:rPr>
          <w:b/>
          <w:sz w:val="28"/>
          <w:szCs w:val="28"/>
        </w:rPr>
      </w:pPr>
    </w:p>
    <w:p w14:paraId="19C4A0BE" w14:textId="77777777" w:rsidR="00DA19D2" w:rsidRDefault="00DA19D2" w:rsidP="00C75CE2">
      <w:pPr>
        <w:rPr>
          <w:b/>
          <w:sz w:val="28"/>
          <w:szCs w:val="28"/>
        </w:rPr>
      </w:pPr>
    </w:p>
    <w:p w14:paraId="6DE1B98C" w14:textId="77777777" w:rsidR="00DA19D2" w:rsidRDefault="00DA19D2" w:rsidP="00C75CE2">
      <w:pPr>
        <w:rPr>
          <w:b/>
          <w:sz w:val="28"/>
          <w:szCs w:val="28"/>
        </w:rPr>
      </w:pPr>
    </w:p>
    <w:p w14:paraId="301B7159" w14:textId="77777777" w:rsidR="00DA19D2" w:rsidRDefault="00DA19D2" w:rsidP="00C75CE2">
      <w:pPr>
        <w:rPr>
          <w:b/>
          <w:sz w:val="28"/>
          <w:szCs w:val="28"/>
        </w:rPr>
      </w:pPr>
    </w:p>
    <w:p w14:paraId="56D8A134" w14:textId="77777777" w:rsidR="00DA19D2" w:rsidRDefault="00DA19D2" w:rsidP="00C75CE2">
      <w:pPr>
        <w:rPr>
          <w:b/>
          <w:sz w:val="28"/>
          <w:szCs w:val="28"/>
        </w:rPr>
      </w:pPr>
    </w:p>
    <w:p w14:paraId="4CC19956" w14:textId="77777777" w:rsidR="00DA19D2" w:rsidRDefault="00DA19D2" w:rsidP="00C75CE2">
      <w:pPr>
        <w:rPr>
          <w:b/>
          <w:sz w:val="28"/>
          <w:szCs w:val="28"/>
        </w:rPr>
      </w:pPr>
    </w:p>
    <w:p w14:paraId="0CF24F6F" w14:textId="3DF72134" w:rsidR="00C75CE2" w:rsidRPr="00906A19" w:rsidRDefault="00C75CE2" w:rsidP="00C75CE2">
      <w:pPr>
        <w:rPr>
          <w:b/>
          <w:sz w:val="28"/>
          <w:szCs w:val="28"/>
        </w:rPr>
      </w:pPr>
      <w:r>
        <w:rPr>
          <w:b/>
          <w:sz w:val="28"/>
          <w:szCs w:val="28"/>
        </w:rPr>
        <w:lastRenderedPageBreak/>
        <w:t>Acknowledgments</w:t>
      </w:r>
    </w:p>
    <w:p w14:paraId="40A95D9D" w14:textId="170C636E" w:rsidR="00CC77B6" w:rsidRDefault="00C75CE2" w:rsidP="00CC77B6">
      <w:pPr>
        <w:ind w:firstLine="720"/>
      </w:pPr>
      <w:r>
        <w:t>Th</w:t>
      </w:r>
      <w:r w:rsidR="004D792F">
        <w:t>is dissertation would not have been possible without the help of numero</w:t>
      </w:r>
      <w:r w:rsidR="00267770">
        <w:t>us individuals and institutions</w:t>
      </w:r>
      <w:r w:rsidR="00D238E9">
        <w:t>.</w:t>
      </w:r>
      <w:r w:rsidR="00EA3DFE">
        <w:t xml:space="preserve"> </w:t>
      </w:r>
      <w:r w:rsidR="008B3C12">
        <w:t xml:space="preserve">Funding was provided </w:t>
      </w:r>
      <w:r w:rsidR="00095417" w:rsidRPr="00095417">
        <w:t>by ENIGMA- Ecosystems and Networks Integrated with Genes and Molecular Assemblies (http://enigma.lbl.gov), a Scientific Focus Area Program at Lawrence Berkeley National Laboratory is based upon work supported by the U.S. Department of Energy, Office of Science, Office of Biological &amp; Environmental Research under contract number DE-AC02-05CH11231.</w:t>
      </w:r>
      <w:r w:rsidR="00B71FEF">
        <w:t xml:space="preserve"> </w:t>
      </w:r>
      <w:r w:rsidR="001D5BB1">
        <w:t>Paul Adams, Adam Arkin, and Astrid Terry</w:t>
      </w:r>
      <w:r w:rsidR="00451C4B">
        <w:t xml:space="preserve"> </w:t>
      </w:r>
      <w:r w:rsidR="001D5BB1">
        <w:t>of ENIGMA</w:t>
      </w:r>
      <w:r w:rsidR="00BA15A9">
        <w:t xml:space="preserve"> provided excellent guidance </w:t>
      </w:r>
      <w:r w:rsidR="00B71FEF">
        <w:t xml:space="preserve">and management </w:t>
      </w:r>
      <w:r w:rsidR="00BA15A9">
        <w:t>of th</w:t>
      </w:r>
      <w:r w:rsidR="00B71FEF">
        <w:t xml:space="preserve">e </w:t>
      </w:r>
      <w:r w:rsidR="00BA15A9">
        <w:t>scientific foc</w:t>
      </w:r>
      <w:r w:rsidR="00B71FEF">
        <w:t>i.</w:t>
      </w:r>
      <w:r w:rsidR="00435C46">
        <w:t xml:space="preserve"> </w:t>
      </w:r>
      <w:r w:rsidR="00C66288">
        <w:t>The field</w:t>
      </w:r>
      <w:r w:rsidR="007F50C5">
        <w:t>,</w:t>
      </w:r>
      <w:r w:rsidR="00C66288">
        <w:t xml:space="preserve"> laboratory</w:t>
      </w:r>
      <w:r w:rsidR="007F50C5">
        <w:t>, and course</w:t>
      </w:r>
      <w:r w:rsidR="00C66288">
        <w:t xml:space="preserve"> work was supported by </w:t>
      </w:r>
      <w:r w:rsidR="001D5BB1">
        <w:t xml:space="preserve">the </w:t>
      </w:r>
      <w:r w:rsidR="00C66288">
        <w:t>staff at</w:t>
      </w:r>
      <w:r w:rsidR="00BF5A7F">
        <w:t xml:space="preserve"> the</w:t>
      </w:r>
      <w:r w:rsidR="00C66288">
        <w:t xml:space="preserve"> Oak Ridge National Laboratory and</w:t>
      </w:r>
      <w:r w:rsidR="00BF5A7F">
        <w:t xml:space="preserve"> the</w:t>
      </w:r>
      <w:r w:rsidR="00C66288">
        <w:t xml:space="preserve"> </w:t>
      </w:r>
      <w:r w:rsidR="002C7DBD">
        <w:t xml:space="preserve">faculty, staff, and </w:t>
      </w:r>
      <w:r w:rsidR="00C66288">
        <w:t>students at the University of Tennessee Knoxville</w:t>
      </w:r>
      <w:r w:rsidR="001D5BB1">
        <w:t xml:space="preserve"> and include</w:t>
      </w:r>
      <w:r w:rsidR="002C7DBD">
        <w:t xml:space="preserve"> </w:t>
      </w:r>
      <w:r w:rsidR="001D5BB1">
        <w:t>the following:</w:t>
      </w:r>
      <w:r w:rsidR="00EF325F">
        <w:t xml:space="preserve"> Benjamin Adams, </w:t>
      </w:r>
      <w:r w:rsidR="00184EBF">
        <w:t xml:space="preserve">Melody Branch, </w:t>
      </w:r>
      <w:r w:rsidR="00EF325F">
        <w:t xml:space="preserve">Lora Davis, Emma Dixon, Kim Drew, </w:t>
      </w:r>
      <w:r w:rsidR="00614681">
        <w:t xml:space="preserve">Dwyane Elias, </w:t>
      </w:r>
      <w:r w:rsidR="00EF325F">
        <w:t xml:space="preserve">Kathleen Fitzgerald, </w:t>
      </w:r>
      <w:r w:rsidR="00614681">
        <w:t xml:space="preserve">Leslie Fox, </w:t>
      </w:r>
      <w:r w:rsidR="00EF325F">
        <w:t xml:space="preserve">Eriko Gordon, Dominque Joyner, </w:t>
      </w:r>
      <w:r w:rsidR="00620AF3">
        <w:t xml:space="preserve">Dawn Klingeman, </w:t>
      </w:r>
      <w:r w:rsidR="00EF325F">
        <w:t>Kenneth Lowe, Nagissa Mahmoudi, Tonia Mehlhorn, Izaak Miller, Ji-Wo</w:t>
      </w:r>
      <w:r w:rsidR="009B377F">
        <w:t xml:space="preserve">n </w:t>
      </w:r>
      <w:r w:rsidR="00EF325F">
        <w:t>Moon</w:t>
      </w:r>
      <w:r w:rsidR="009B377F">
        <w:t xml:space="preserve">, Kaela </w:t>
      </w:r>
      <w:r w:rsidR="00EF325F">
        <w:t>O'Dell</w:t>
      </w:r>
      <w:r w:rsidR="009B377F">
        <w:t xml:space="preserve">, </w:t>
      </w:r>
      <w:r w:rsidR="00614681">
        <w:t xml:space="preserve">Anthony Palumbo, Alex Patton, </w:t>
      </w:r>
      <w:r w:rsidR="00184EBF">
        <w:t xml:space="preserve">Edmund Perfect, </w:t>
      </w:r>
      <w:r w:rsidR="009B377F">
        <w:t xml:space="preserve">Miguel </w:t>
      </w:r>
      <w:r w:rsidR="008927E6">
        <w:t>Rodriguez</w:t>
      </w:r>
      <w:r w:rsidR="009B377F">
        <w:t>,</w:t>
      </w:r>
      <w:r w:rsidR="00184EBF">
        <w:t xml:space="preserve"> Angie Staley,</w:t>
      </w:r>
      <w:r w:rsidR="009B377F">
        <w:t xml:space="preserve"> David </w:t>
      </w:r>
      <w:r w:rsidR="00EF325F">
        <w:t>Watson</w:t>
      </w:r>
      <w:r w:rsidR="009B377F">
        <w:t xml:space="preserve">, </w:t>
      </w:r>
      <w:r w:rsidR="00184EBF">
        <w:t xml:space="preserve">and </w:t>
      </w:r>
      <w:r w:rsidR="009B377F">
        <w:t xml:space="preserve">Daniel </w:t>
      </w:r>
      <w:r w:rsidR="00EF325F">
        <w:t>Williams</w:t>
      </w:r>
      <w:r w:rsidR="00D5004F">
        <w:t>.</w:t>
      </w:r>
      <w:r w:rsidR="00CC77B6">
        <w:t xml:space="preserve"> Dr. Jack Istok of Oregon State University served as </w:t>
      </w:r>
      <w:r w:rsidR="000256BE">
        <w:t>the</w:t>
      </w:r>
      <w:r w:rsidR="00CC77B6">
        <w:t xml:space="preserve"> technical advisor for the push-pull test method. </w:t>
      </w:r>
      <w:r w:rsidR="00D5004F">
        <w:t>Drs. Terry Hazen</w:t>
      </w:r>
      <w:r w:rsidR="00CC77B6">
        <w:t xml:space="preserve"> (advisor),</w:t>
      </w:r>
      <w:r w:rsidR="00D5004F">
        <w:t xml:space="preserve"> Larry McKay</w:t>
      </w:r>
      <w:r w:rsidR="00CC77B6">
        <w:t xml:space="preserve"> (co-advisor), Andrew Steen, and Jack Parker</w:t>
      </w:r>
      <w:r w:rsidR="00D5004F">
        <w:t xml:space="preserve"> </w:t>
      </w:r>
      <w:r w:rsidR="00CC77B6">
        <w:t xml:space="preserve">of the University of Tennessee </w:t>
      </w:r>
      <w:r w:rsidR="00D5004F">
        <w:t xml:space="preserve">served as </w:t>
      </w:r>
      <w:r w:rsidR="00CC77B6">
        <w:t>the oversight committee.</w:t>
      </w:r>
      <w:r w:rsidR="000256BE">
        <w:t xml:space="preserve"> </w:t>
      </w:r>
    </w:p>
    <w:p w14:paraId="30FEACFD" w14:textId="77777777" w:rsidR="00CC77B6" w:rsidRDefault="00CC77B6" w:rsidP="00D5004F">
      <w:pPr>
        <w:ind w:firstLine="720"/>
      </w:pPr>
    </w:p>
    <w:p w14:paraId="0D823F6C" w14:textId="63C26D34" w:rsidR="00C803EA" w:rsidRDefault="00C803EA" w:rsidP="00BB2B57">
      <w:pPr>
        <w:ind w:firstLine="720"/>
      </w:pPr>
    </w:p>
    <w:p w14:paraId="34E44B71" w14:textId="77777777" w:rsidR="00CC77B6" w:rsidRDefault="00CC77B6" w:rsidP="00BB2B57">
      <w:pPr>
        <w:ind w:firstLine="720"/>
      </w:pPr>
    </w:p>
    <w:p w14:paraId="291403C8" w14:textId="77777777" w:rsidR="00C75CE2" w:rsidRDefault="00C75CE2" w:rsidP="00906A19">
      <w:pPr>
        <w:rPr>
          <w:b/>
          <w:sz w:val="28"/>
          <w:szCs w:val="28"/>
        </w:rPr>
      </w:pPr>
    </w:p>
    <w:p w14:paraId="4110FD62" w14:textId="77777777" w:rsidR="00C75CE2" w:rsidRDefault="00C75CE2" w:rsidP="00906A19">
      <w:pPr>
        <w:rPr>
          <w:b/>
          <w:sz w:val="28"/>
          <w:szCs w:val="28"/>
        </w:rPr>
      </w:pPr>
    </w:p>
    <w:p w14:paraId="171F01DE" w14:textId="207D1989" w:rsidR="004D792F" w:rsidRDefault="004D792F" w:rsidP="00906A19">
      <w:pPr>
        <w:rPr>
          <w:b/>
          <w:sz w:val="28"/>
          <w:szCs w:val="28"/>
        </w:rPr>
      </w:pPr>
    </w:p>
    <w:p w14:paraId="4E95CD23" w14:textId="42C83ED3" w:rsidR="00202668" w:rsidRPr="00906A19" w:rsidRDefault="00906A19" w:rsidP="00906A19">
      <w:pPr>
        <w:rPr>
          <w:b/>
          <w:sz w:val="28"/>
          <w:szCs w:val="28"/>
        </w:rPr>
      </w:pPr>
      <w:r>
        <w:rPr>
          <w:b/>
          <w:sz w:val="28"/>
          <w:szCs w:val="28"/>
        </w:rPr>
        <w:lastRenderedPageBreak/>
        <w:t>Abstract</w:t>
      </w:r>
    </w:p>
    <w:p w14:paraId="5F1F078D" w14:textId="5AC265D0" w:rsidR="005857C4" w:rsidRPr="002D1487" w:rsidRDefault="0087557A" w:rsidP="004A396A">
      <w:pPr>
        <w:tabs>
          <w:tab w:val="left" w:pos="1980"/>
        </w:tabs>
        <w:ind w:firstLine="720"/>
      </w:pPr>
      <w:r>
        <w:t>The flow, transport, and reactivity of dissolved-phase constituents in an unconfined</w:t>
      </w:r>
      <w:r w:rsidR="00367A0F">
        <w:t xml:space="preserve"> and </w:t>
      </w:r>
      <w:r>
        <w:t>shallow aquifer were characterized</w:t>
      </w:r>
      <w:r w:rsidR="00300BE8">
        <w:t>,</w:t>
      </w:r>
      <w:r>
        <w:t xml:space="preserve"> </w:t>
      </w:r>
      <w:r w:rsidR="00AF4FA9">
        <w:rPr>
          <w:i/>
          <w:iCs/>
        </w:rPr>
        <w:t>in situ</w:t>
      </w:r>
      <w:r w:rsidR="00300BE8">
        <w:t>,</w:t>
      </w:r>
      <w:r>
        <w:t xml:space="preserve"> by utilizing the single-well push-pull test</w:t>
      </w:r>
      <w:r w:rsidR="00A267F0">
        <w:t xml:space="preserve"> method</w:t>
      </w:r>
      <w:r w:rsidR="000A5750">
        <w:t xml:space="preserve">. </w:t>
      </w:r>
      <w:r w:rsidR="002A31FF">
        <w:t>In the first study, t</w:t>
      </w:r>
      <w:r w:rsidR="00A267F0">
        <w:t>he re-oxidation/mobility of uranium, in the presence of nitrate oxidant, was shown to be mitigated by preferential oxidation/mobilization of solid-phase, r</w:t>
      </w:r>
      <w:r w:rsidR="00300BE8">
        <w:t>educed, sulfur-bearing species</w:t>
      </w:r>
      <w:r w:rsidR="000A5750">
        <w:t xml:space="preserve">. </w:t>
      </w:r>
      <w:r w:rsidR="00300BE8">
        <w:t xml:space="preserve">These results indicated that </w:t>
      </w:r>
      <w:r w:rsidR="00300BE8" w:rsidRPr="00033E11">
        <w:t>establishing conditions conducive to uranium reduction and the formation o</w:t>
      </w:r>
      <w:r w:rsidR="00300BE8">
        <w:t>f reduced sulfur-bearing species</w:t>
      </w:r>
      <w:r w:rsidR="001D644F">
        <w:t xml:space="preserve"> can increase the efficacy of sustained uranium reduction/immo</w:t>
      </w:r>
      <w:r w:rsidR="006B59E8">
        <w:t>bility</w:t>
      </w:r>
      <w:r w:rsidR="001D644F">
        <w:t xml:space="preserve"> in the presence of re-mobilizing oxidants</w:t>
      </w:r>
      <w:r w:rsidR="000A5750">
        <w:t xml:space="preserve">. </w:t>
      </w:r>
      <w:r w:rsidR="002A31FF">
        <w:t>In the second study, t</w:t>
      </w:r>
      <w:r w:rsidR="001360FC" w:rsidRPr="00BF5EFF">
        <w:t xml:space="preserve">he analytical solution to describe the one-dimensional displacement of the center of mass of a tracer during </w:t>
      </w:r>
      <w:r w:rsidR="00A63ED3">
        <w:t xml:space="preserve">a </w:t>
      </w:r>
      <w:r w:rsidR="001360FC" w:rsidRPr="00BF5EFF">
        <w:t>push-pull test was expanded to account for displacement during the injection phase</w:t>
      </w:r>
      <w:r w:rsidR="000A5750">
        <w:t xml:space="preserve">. </w:t>
      </w:r>
      <w:r w:rsidR="00367A0F">
        <w:t>T</w:t>
      </w:r>
      <w:r w:rsidR="000E117E">
        <w:t xml:space="preserve">he expanded </w:t>
      </w:r>
      <w:r w:rsidR="00367A0F" w:rsidRPr="00BF5EFF">
        <w:t xml:space="preserve">solution improved the theoretical description of the displacement of a tracer during a push-pull test and the </w:t>
      </w:r>
      <w:proofErr w:type="gramStart"/>
      <w:r w:rsidR="00AF4FA9">
        <w:rPr>
          <w:i/>
          <w:iCs/>
        </w:rPr>
        <w:t>in situ</w:t>
      </w:r>
      <w:proofErr w:type="gramEnd"/>
      <w:r w:rsidR="00AF4FA9">
        <w:t xml:space="preserve"> </w:t>
      </w:r>
      <w:r w:rsidR="00367A0F" w:rsidRPr="00BF5EFF">
        <w:t>application demonstrated an improvement for the e</w:t>
      </w:r>
      <w:r w:rsidR="00F458B6">
        <w:t>stimation of effective porosity</w:t>
      </w:r>
      <w:r w:rsidR="000A5750">
        <w:t xml:space="preserve">. </w:t>
      </w:r>
      <w:r w:rsidR="002A31FF">
        <w:t xml:space="preserve">In the third study, </w:t>
      </w:r>
      <w:r w:rsidR="00907EA8">
        <w:t>a</w:t>
      </w:r>
      <w:r w:rsidR="00F458B6">
        <w:t>n</w:t>
      </w:r>
      <w:r w:rsidR="00907EA8">
        <w:t xml:space="preserve"> </w:t>
      </w:r>
      <w:r w:rsidR="00F458B6">
        <w:t xml:space="preserve">analytical model was developed to describe the breakthrough of a potentially reactive solute due to non-reactive mixing and was applied to an </w:t>
      </w:r>
      <w:proofErr w:type="gramStart"/>
      <w:r w:rsidR="00AF4FA9">
        <w:rPr>
          <w:i/>
          <w:iCs/>
        </w:rPr>
        <w:t>in situ</w:t>
      </w:r>
      <w:proofErr w:type="gramEnd"/>
      <w:r w:rsidR="00AF4FA9">
        <w:t xml:space="preserve"> </w:t>
      </w:r>
      <w:r w:rsidR="00F458B6">
        <w:t>data set</w:t>
      </w:r>
      <w:r w:rsidR="000A5750">
        <w:t xml:space="preserve">. </w:t>
      </w:r>
      <w:r w:rsidR="00DC4837">
        <w:t xml:space="preserve">The </w:t>
      </w:r>
      <w:r w:rsidR="00F458B6">
        <w:t>analytical model accurately predicted the breakthrough curve of non-reactive solutes and allowed for quantifying the rate and extent of reactive solute mass transfer and transformation</w:t>
      </w:r>
      <w:r w:rsidR="000A5750">
        <w:t xml:space="preserve">. </w:t>
      </w:r>
      <w:r w:rsidR="002A31FF">
        <w:t>In the fourth study,</w:t>
      </w:r>
      <w:r w:rsidR="00364F24">
        <w:t xml:space="preserve"> </w:t>
      </w:r>
      <w:r w:rsidR="00BB1241">
        <w:t>the exposure history dependence of microbial mediated ethanol transformation was demonstrated to last up to six week</w:t>
      </w:r>
      <w:r w:rsidR="000E117E">
        <w:t>s</w:t>
      </w:r>
      <w:r w:rsidR="00BB1241">
        <w:t xml:space="preserve"> in the absence of e</w:t>
      </w:r>
      <w:r w:rsidR="000E117E">
        <w:t>thanol injections</w:t>
      </w:r>
      <w:r w:rsidR="00F458B6">
        <w:t xml:space="preserve"> </w:t>
      </w:r>
      <w:r w:rsidR="00F458B6" w:rsidRPr="006C385A">
        <w:t>with no apparent enrichment of a select microbial community</w:t>
      </w:r>
      <w:r w:rsidR="000E117E">
        <w:t>.</w:t>
      </w:r>
      <w:r w:rsidR="00F458B6">
        <w:t xml:space="preserve"> This suggested that </w:t>
      </w:r>
      <w:r w:rsidR="00F458B6" w:rsidRPr="00F458B6">
        <w:t>the predominant mechanisms of adaptation may exist at the enzymatic- and/or genetic-levels</w:t>
      </w:r>
      <w:r w:rsidR="000A5750">
        <w:t xml:space="preserve">. </w:t>
      </w:r>
      <w:r w:rsidR="002A31FF">
        <w:t>In conclusion</w:t>
      </w:r>
      <w:r w:rsidR="000E117E">
        <w:t xml:space="preserve">, </w:t>
      </w:r>
      <w:r w:rsidR="00D34ACD">
        <w:t>the single-well push-pull test metho</w:t>
      </w:r>
      <w:r w:rsidR="00060E93">
        <w:t xml:space="preserve">d </w:t>
      </w:r>
      <w:r w:rsidR="00861777">
        <w:t>was utilized and improved to characterize hydraulic parameters and processes, and microbial mediated transformations of s</w:t>
      </w:r>
      <w:r w:rsidR="00F04A64">
        <w:t>ubstrates in groundwate</w:t>
      </w:r>
      <w:r w:rsidR="002B41EA">
        <w:t>r</w:t>
      </w:r>
      <w:r w:rsidR="004470ED">
        <w:t>.</w:t>
      </w:r>
    </w:p>
    <w:sdt>
      <w:sdtPr>
        <w:rPr>
          <w:b/>
          <w:bCs/>
        </w:rPr>
        <w:id w:val="-589470540"/>
        <w:docPartObj>
          <w:docPartGallery w:val="Table of Contents"/>
          <w:docPartUnique/>
        </w:docPartObj>
      </w:sdtPr>
      <w:sdtEndPr>
        <w:rPr>
          <w:b w:val="0"/>
          <w:bCs w:val="0"/>
          <w:noProof/>
        </w:rPr>
      </w:sdtEndPr>
      <w:sdtContent>
        <w:p w14:paraId="44718876" w14:textId="77777777" w:rsidR="00E35D3F" w:rsidRPr="002D1B51" w:rsidRDefault="00E35D3F" w:rsidP="002D1B51">
          <w:pPr>
            <w:rPr>
              <w:b/>
              <w:szCs w:val="24"/>
            </w:rPr>
          </w:pPr>
          <w:r w:rsidRPr="00452013">
            <w:rPr>
              <w:b/>
              <w:sz w:val="28"/>
              <w:szCs w:val="28"/>
            </w:rPr>
            <w:t>Table of Contents</w:t>
          </w:r>
        </w:p>
        <w:p w14:paraId="61B61CD7" w14:textId="6E1D0622" w:rsidR="00E41FF9" w:rsidRDefault="00603CC9">
          <w:pPr>
            <w:pStyle w:val="TOC1"/>
            <w:tabs>
              <w:tab w:val="left" w:pos="1440"/>
            </w:tabs>
            <w:rPr>
              <w:rFonts w:asciiTheme="minorHAnsi" w:hAnsiTheme="minorHAnsi"/>
              <w:b w:val="0"/>
              <w:bCs w:val="0"/>
              <w:color w:val="auto"/>
              <w:sz w:val="22"/>
              <w:szCs w:val="22"/>
              <w:lang w:bidi="ar-SA"/>
            </w:rPr>
          </w:pPr>
          <w:r>
            <w:rPr>
              <w:b w:val="0"/>
              <w:bCs w:val="0"/>
            </w:rPr>
            <w:fldChar w:fldCharType="begin"/>
          </w:r>
          <w:r>
            <w:rPr>
              <w:b w:val="0"/>
              <w:bCs w:val="0"/>
            </w:rPr>
            <w:instrText xml:space="preserve"> TOC \o "1-1" \h \z \t "Heading 2,2,Heading 3,3" </w:instrText>
          </w:r>
          <w:r>
            <w:rPr>
              <w:b w:val="0"/>
              <w:bCs w:val="0"/>
            </w:rPr>
            <w:fldChar w:fldCharType="separate"/>
          </w:r>
          <w:hyperlink w:anchor="_Toc498505018" w:history="1">
            <w:r w:rsidR="00E41FF9" w:rsidRPr="008C469D">
              <w:rPr>
                <w:rStyle w:val="Hyperlink"/>
                <w:sz w:val="28"/>
                <w:szCs w:val="28"/>
              </w:rPr>
              <w:t>Chapter 1:</w:t>
            </w:r>
            <w:r w:rsidR="00E41FF9" w:rsidRPr="008C469D">
              <w:rPr>
                <w:rFonts w:asciiTheme="minorHAnsi" w:hAnsiTheme="minorHAnsi"/>
                <w:b w:val="0"/>
                <w:bCs w:val="0"/>
                <w:color w:val="auto"/>
                <w:sz w:val="28"/>
                <w:szCs w:val="28"/>
                <w:lang w:bidi="ar-SA"/>
              </w:rPr>
              <w:tab/>
            </w:r>
            <w:r w:rsidR="00E41FF9" w:rsidRPr="008C469D">
              <w:rPr>
                <w:rStyle w:val="Hyperlink"/>
                <w:sz w:val="28"/>
                <w:szCs w:val="28"/>
              </w:rPr>
              <w:t>Introdu</w:t>
            </w:r>
            <w:r w:rsidR="00E41FF9" w:rsidRPr="008C469D">
              <w:rPr>
                <w:rStyle w:val="Hyperlink"/>
                <w:sz w:val="28"/>
                <w:szCs w:val="28"/>
              </w:rPr>
              <w:t>c</w:t>
            </w:r>
            <w:r w:rsidR="00E41FF9" w:rsidRPr="008C469D">
              <w:rPr>
                <w:rStyle w:val="Hyperlink"/>
                <w:sz w:val="28"/>
                <w:szCs w:val="28"/>
              </w:rPr>
              <w:t>tion</w:t>
            </w:r>
            <w:r w:rsidR="00E41FF9">
              <w:rPr>
                <w:webHidden/>
              </w:rPr>
              <w:tab/>
            </w:r>
            <w:r w:rsidR="00E41FF9">
              <w:rPr>
                <w:webHidden/>
              </w:rPr>
              <w:fldChar w:fldCharType="begin"/>
            </w:r>
            <w:r w:rsidR="00E41FF9">
              <w:rPr>
                <w:webHidden/>
              </w:rPr>
              <w:instrText xml:space="preserve"> PAGEREF _Toc498505018 \h </w:instrText>
            </w:r>
            <w:r w:rsidR="00E41FF9">
              <w:rPr>
                <w:webHidden/>
              </w:rPr>
            </w:r>
            <w:r w:rsidR="00E41FF9">
              <w:rPr>
                <w:webHidden/>
              </w:rPr>
              <w:fldChar w:fldCharType="separate"/>
            </w:r>
            <w:r w:rsidR="00627452">
              <w:rPr>
                <w:webHidden/>
              </w:rPr>
              <w:t>1</w:t>
            </w:r>
            <w:r w:rsidR="00E41FF9">
              <w:rPr>
                <w:webHidden/>
              </w:rPr>
              <w:fldChar w:fldCharType="end"/>
            </w:r>
          </w:hyperlink>
        </w:p>
        <w:p w14:paraId="227D57A6" w14:textId="7A23C26F" w:rsidR="00E41FF9" w:rsidRDefault="00E41FF9">
          <w:pPr>
            <w:pStyle w:val="TOC1"/>
            <w:tabs>
              <w:tab w:val="left" w:pos="1440"/>
            </w:tabs>
            <w:rPr>
              <w:rFonts w:asciiTheme="minorHAnsi" w:hAnsiTheme="minorHAnsi"/>
              <w:b w:val="0"/>
              <w:bCs w:val="0"/>
              <w:color w:val="auto"/>
              <w:sz w:val="22"/>
              <w:szCs w:val="22"/>
              <w:lang w:bidi="ar-SA"/>
            </w:rPr>
          </w:pPr>
          <w:hyperlink w:anchor="_Toc498505019" w:history="1">
            <w:r w:rsidRPr="008C469D">
              <w:rPr>
                <w:rStyle w:val="Hyperlink"/>
                <w:sz w:val="28"/>
                <w:szCs w:val="28"/>
              </w:rPr>
              <w:t>Chapter 2:</w:t>
            </w:r>
            <w:r w:rsidRPr="008C469D">
              <w:rPr>
                <w:rFonts w:asciiTheme="minorHAnsi" w:hAnsiTheme="minorHAnsi"/>
                <w:b w:val="0"/>
                <w:bCs w:val="0"/>
                <w:color w:val="auto"/>
                <w:sz w:val="28"/>
                <w:szCs w:val="28"/>
                <w:lang w:bidi="ar-SA"/>
              </w:rPr>
              <w:tab/>
            </w:r>
            <w:r w:rsidRPr="008C469D">
              <w:rPr>
                <w:rStyle w:val="Hyperlink"/>
                <w:sz w:val="28"/>
                <w:szCs w:val="28"/>
              </w:rPr>
              <w:t>In situ mobility of uranium in the presence of nitrate following sulfate-reducing conditions</w:t>
            </w:r>
            <w:r>
              <w:rPr>
                <w:webHidden/>
              </w:rPr>
              <w:tab/>
            </w:r>
            <w:r>
              <w:rPr>
                <w:webHidden/>
              </w:rPr>
              <w:fldChar w:fldCharType="begin"/>
            </w:r>
            <w:r>
              <w:rPr>
                <w:webHidden/>
              </w:rPr>
              <w:instrText xml:space="preserve"> PAGEREF _Toc498505019 \h </w:instrText>
            </w:r>
            <w:r>
              <w:rPr>
                <w:webHidden/>
              </w:rPr>
            </w:r>
            <w:r>
              <w:rPr>
                <w:webHidden/>
              </w:rPr>
              <w:fldChar w:fldCharType="separate"/>
            </w:r>
            <w:r w:rsidR="00627452">
              <w:rPr>
                <w:webHidden/>
              </w:rPr>
              <w:t>5</w:t>
            </w:r>
            <w:r>
              <w:rPr>
                <w:webHidden/>
              </w:rPr>
              <w:fldChar w:fldCharType="end"/>
            </w:r>
          </w:hyperlink>
        </w:p>
        <w:p w14:paraId="3D98323A" w14:textId="641BE5ED" w:rsidR="00E41FF9" w:rsidRDefault="00E41FF9">
          <w:pPr>
            <w:pStyle w:val="TOC2"/>
            <w:tabs>
              <w:tab w:val="left" w:pos="960"/>
              <w:tab w:val="right" w:leader="dot" w:pos="9350"/>
            </w:tabs>
            <w:rPr>
              <w:rFonts w:asciiTheme="minorHAnsi" w:hAnsiTheme="minorHAnsi"/>
              <w:noProof/>
              <w:color w:val="auto"/>
              <w:sz w:val="22"/>
              <w:szCs w:val="22"/>
              <w:lang w:bidi="ar-SA"/>
            </w:rPr>
          </w:pPr>
          <w:hyperlink w:anchor="_Toc498505020" w:history="1">
            <w:r w:rsidRPr="00452013">
              <w:rPr>
                <w:rStyle w:val="Hyperlink"/>
                <w:b/>
                <w:noProof/>
              </w:rPr>
              <w:t>2.1.</w:t>
            </w:r>
            <w:r w:rsidRPr="00452013">
              <w:rPr>
                <w:rFonts w:asciiTheme="minorHAnsi" w:hAnsiTheme="minorHAnsi"/>
                <w:b/>
                <w:noProof/>
                <w:color w:val="auto"/>
                <w:sz w:val="22"/>
                <w:szCs w:val="22"/>
                <w:lang w:bidi="ar-SA"/>
              </w:rPr>
              <w:tab/>
            </w:r>
            <w:r w:rsidRPr="00452013">
              <w:rPr>
                <w:rStyle w:val="Hyperlink"/>
                <w:b/>
                <w:noProof/>
              </w:rPr>
              <w:t>Abs</w:t>
            </w:r>
            <w:r w:rsidRPr="00452013">
              <w:rPr>
                <w:rStyle w:val="Hyperlink"/>
                <w:b/>
                <w:noProof/>
              </w:rPr>
              <w:t>t</w:t>
            </w:r>
            <w:r w:rsidRPr="00452013">
              <w:rPr>
                <w:rStyle w:val="Hyperlink"/>
                <w:b/>
                <w:noProof/>
              </w:rPr>
              <w:t>ract</w:t>
            </w:r>
            <w:r>
              <w:rPr>
                <w:noProof/>
                <w:webHidden/>
              </w:rPr>
              <w:tab/>
            </w:r>
            <w:r>
              <w:rPr>
                <w:noProof/>
                <w:webHidden/>
              </w:rPr>
              <w:fldChar w:fldCharType="begin"/>
            </w:r>
            <w:r>
              <w:rPr>
                <w:noProof/>
                <w:webHidden/>
              </w:rPr>
              <w:instrText xml:space="preserve"> PAGEREF _Toc498505020 \h </w:instrText>
            </w:r>
            <w:r>
              <w:rPr>
                <w:noProof/>
                <w:webHidden/>
              </w:rPr>
            </w:r>
            <w:r>
              <w:rPr>
                <w:noProof/>
                <w:webHidden/>
              </w:rPr>
              <w:fldChar w:fldCharType="separate"/>
            </w:r>
            <w:r w:rsidR="00627452">
              <w:rPr>
                <w:noProof/>
                <w:webHidden/>
              </w:rPr>
              <w:t>7</w:t>
            </w:r>
            <w:r>
              <w:rPr>
                <w:noProof/>
                <w:webHidden/>
              </w:rPr>
              <w:fldChar w:fldCharType="end"/>
            </w:r>
          </w:hyperlink>
        </w:p>
        <w:p w14:paraId="12CBBA62" w14:textId="37B0718A" w:rsidR="00E41FF9" w:rsidRDefault="00E41FF9">
          <w:pPr>
            <w:pStyle w:val="TOC2"/>
            <w:tabs>
              <w:tab w:val="left" w:pos="960"/>
              <w:tab w:val="right" w:leader="dot" w:pos="9350"/>
            </w:tabs>
            <w:rPr>
              <w:rFonts w:asciiTheme="minorHAnsi" w:hAnsiTheme="minorHAnsi"/>
              <w:noProof/>
              <w:color w:val="auto"/>
              <w:sz w:val="22"/>
              <w:szCs w:val="22"/>
              <w:lang w:bidi="ar-SA"/>
            </w:rPr>
          </w:pPr>
          <w:hyperlink w:anchor="_Toc498505021" w:history="1">
            <w:r w:rsidRPr="00452013">
              <w:rPr>
                <w:rStyle w:val="Hyperlink"/>
                <w:b/>
                <w:noProof/>
              </w:rPr>
              <w:t>2.2.</w:t>
            </w:r>
            <w:r w:rsidRPr="00452013">
              <w:rPr>
                <w:rFonts w:asciiTheme="minorHAnsi" w:hAnsiTheme="minorHAnsi"/>
                <w:b/>
                <w:noProof/>
                <w:color w:val="auto"/>
                <w:sz w:val="22"/>
                <w:szCs w:val="22"/>
                <w:lang w:bidi="ar-SA"/>
              </w:rPr>
              <w:tab/>
            </w:r>
            <w:r w:rsidRPr="00452013">
              <w:rPr>
                <w:rStyle w:val="Hyperlink"/>
                <w:b/>
                <w:noProof/>
              </w:rPr>
              <w:t>Introduction</w:t>
            </w:r>
            <w:r>
              <w:rPr>
                <w:noProof/>
                <w:webHidden/>
              </w:rPr>
              <w:tab/>
            </w:r>
            <w:r>
              <w:rPr>
                <w:noProof/>
                <w:webHidden/>
              </w:rPr>
              <w:fldChar w:fldCharType="begin"/>
            </w:r>
            <w:r>
              <w:rPr>
                <w:noProof/>
                <w:webHidden/>
              </w:rPr>
              <w:instrText xml:space="preserve"> PAGEREF _Toc498505021 \h </w:instrText>
            </w:r>
            <w:r>
              <w:rPr>
                <w:noProof/>
                <w:webHidden/>
              </w:rPr>
            </w:r>
            <w:r>
              <w:rPr>
                <w:noProof/>
                <w:webHidden/>
              </w:rPr>
              <w:fldChar w:fldCharType="separate"/>
            </w:r>
            <w:r w:rsidR="00627452">
              <w:rPr>
                <w:noProof/>
                <w:webHidden/>
              </w:rPr>
              <w:t>8</w:t>
            </w:r>
            <w:r>
              <w:rPr>
                <w:noProof/>
                <w:webHidden/>
              </w:rPr>
              <w:fldChar w:fldCharType="end"/>
            </w:r>
          </w:hyperlink>
        </w:p>
        <w:p w14:paraId="2CB9F6E1" w14:textId="3BEFCB2C" w:rsidR="00E41FF9" w:rsidRDefault="00E41FF9">
          <w:pPr>
            <w:pStyle w:val="TOC2"/>
            <w:tabs>
              <w:tab w:val="left" w:pos="960"/>
              <w:tab w:val="right" w:leader="dot" w:pos="9350"/>
            </w:tabs>
            <w:rPr>
              <w:rFonts w:asciiTheme="minorHAnsi" w:hAnsiTheme="minorHAnsi"/>
              <w:noProof/>
              <w:color w:val="auto"/>
              <w:sz w:val="22"/>
              <w:szCs w:val="22"/>
              <w:lang w:bidi="ar-SA"/>
            </w:rPr>
          </w:pPr>
          <w:hyperlink w:anchor="_Toc498505022" w:history="1">
            <w:r w:rsidRPr="00452013">
              <w:rPr>
                <w:rStyle w:val="Hyperlink"/>
                <w:b/>
                <w:noProof/>
              </w:rPr>
              <w:t xml:space="preserve">2.3. </w:t>
            </w:r>
            <w:r w:rsidRPr="00452013">
              <w:rPr>
                <w:rFonts w:asciiTheme="minorHAnsi" w:hAnsiTheme="minorHAnsi"/>
                <w:b/>
                <w:noProof/>
                <w:color w:val="auto"/>
                <w:sz w:val="22"/>
                <w:szCs w:val="22"/>
                <w:lang w:bidi="ar-SA"/>
              </w:rPr>
              <w:tab/>
            </w:r>
            <w:r w:rsidRPr="00452013">
              <w:rPr>
                <w:rStyle w:val="Hyperlink"/>
                <w:b/>
                <w:noProof/>
              </w:rPr>
              <w:t>Materials and methods</w:t>
            </w:r>
            <w:r>
              <w:rPr>
                <w:noProof/>
                <w:webHidden/>
              </w:rPr>
              <w:tab/>
            </w:r>
            <w:r>
              <w:rPr>
                <w:noProof/>
                <w:webHidden/>
              </w:rPr>
              <w:fldChar w:fldCharType="begin"/>
            </w:r>
            <w:r>
              <w:rPr>
                <w:noProof/>
                <w:webHidden/>
              </w:rPr>
              <w:instrText xml:space="preserve"> PAGEREF _Toc498505022 \h </w:instrText>
            </w:r>
            <w:r>
              <w:rPr>
                <w:noProof/>
                <w:webHidden/>
              </w:rPr>
            </w:r>
            <w:r>
              <w:rPr>
                <w:noProof/>
                <w:webHidden/>
              </w:rPr>
              <w:fldChar w:fldCharType="separate"/>
            </w:r>
            <w:r w:rsidR="00627452">
              <w:rPr>
                <w:noProof/>
                <w:webHidden/>
              </w:rPr>
              <w:t>11</w:t>
            </w:r>
            <w:r>
              <w:rPr>
                <w:noProof/>
                <w:webHidden/>
              </w:rPr>
              <w:fldChar w:fldCharType="end"/>
            </w:r>
          </w:hyperlink>
        </w:p>
        <w:p w14:paraId="7540CED5" w14:textId="622D748E" w:rsidR="00E41FF9" w:rsidRDefault="00E41FF9">
          <w:pPr>
            <w:pStyle w:val="TOC3"/>
            <w:tabs>
              <w:tab w:val="left" w:pos="1440"/>
              <w:tab w:val="right" w:leader="dot" w:pos="9350"/>
            </w:tabs>
            <w:rPr>
              <w:rFonts w:asciiTheme="minorHAnsi" w:hAnsiTheme="minorHAnsi"/>
              <w:i w:val="0"/>
              <w:iCs w:val="0"/>
              <w:noProof/>
              <w:color w:val="auto"/>
              <w:sz w:val="22"/>
              <w:szCs w:val="22"/>
              <w:lang w:bidi="ar-SA"/>
            </w:rPr>
          </w:pPr>
          <w:hyperlink w:anchor="_Toc498505023" w:history="1">
            <w:r w:rsidRPr="000F4DD7">
              <w:rPr>
                <w:rStyle w:val="Hyperlink"/>
                <w:noProof/>
              </w:rPr>
              <w:t xml:space="preserve">2.3.1. </w:t>
            </w:r>
            <w:r>
              <w:rPr>
                <w:rFonts w:asciiTheme="minorHAnsi" w:hAnsiTheme="minorHAnsi"/>
                <w:i w:val="0"/>
                <w:iCs w:val="0"/>
                <w:noProof/>
                <w:color w:val="auto"/>
                <w:sz w:val="22"/>
                <w:szCs w:val="22"/>
                <w:lang w:bidi="ar-SA"/>
              </w:rPr>
              <w:tab/>
            </w:r>
            <w:r w:rsidRPr="000F4DD7">
              <w:rPr>
                <w:rStyle w:val="Hyperlink"/>
                <w:noProof/>
              </w:rPr>
              <w:t>Study site</w:t>
            </w:r>
            <w:r>
              <w:rPr>
                <w:noProof/>
                <w:webHidden/>
              </w:rPr>
              <w:tab/>
            </w:r>
            <w:r>
              <w:rPr>
                <w:noProof/>
                <w:webHidden/>
              </w:rPr>
              <w:fldChar w:fldCharType="begin"/>
            </w:r>
            <w:r>
              <w:rPr>
                <w:noProof/>
                <w:webHidden/>
              </w:rPr>
              <w:instrText xml:space="preserve"> PAGEREF _Toc498505023 \h </w:instrText>
            </w:r>
            <w:r>
              <w:rPr>
                <w:noProof/>
                <w:webHidden/>
              </w:rPr>
            </w:r>
            <w:r>
              <w:rPr>
                <w:noProof/>
                <w:webHidden/>
              </w:rPr>
              <w:fldChar w:fldCharType="separate"/>
            </w:r>
            <w:r w:rsidR="00627452">
              <w:rPr>
                <w:noProof/>
                <w:webHidden/>
              </w:rPr>
              <w:t>11</w:t>
            </w:r>
            <w:r>
              <w:rPr>
                <w:noProof/>
                <w:webHidden/>
              </w:rPr>
              <w:fldChar w:fldCharType="end"/>
            </w:r>
          </w:hyperlink>
        </w:p>
        <w:p w14:paraId="524BAAF4" w14:textId="38F96A0B" w:rsidR="00E41FF9" w:rsidRDefault="00E41FF9">
          <w:pPr>
            <w:pStyle w:val="TOC3"/>
            <w:tabs>
              <w:tab w:val="left" w:pos="1440"/>
              <w:tab w:val="right" w:leader="dot" w:pos="9350"/>
            </w:tabs>
            <w:rPr>
              <w:rFonts w:asciiTheme="minorHAnsi" w:hAnsiTheme="minorHAnsi"/>
              <w:i w:val="0"/>
              <w:iCs w:val="0"/>
              <w:noProof/>
              <w:color w:val="auto"/>
              <w:sz w:val="22"/>
              <w:szCs w:val="22"/>
              <w:lang w:bidi="ar-SA"/>
            </w:rPr>
          </w:pPr>
          <w:hyperlink w:anchor="_Toc498505024" w:history="1">
            <w:r w:rsidRPr="000F4DD7">
              <w:rPr>
                <w:rStyle w:val="Hyperlink"/>
                <w:noProof/>
              </w:rPr>
              <w:t>2.3.2.</w:t>
            </w:r>
            <w:r>
              <w:rPr>
                <w:rFonts w:asciiTheme="minorHAnsi" w:hAnsiTheme="minorHAnsi"/>
                <w:i w:val="0"/>
                <w:iCs w:val="0"/>
                <w:noProof/>
                <w:color w:val="auto"/>
                <w:sz w:val="22"/>
                <w:szCs w:val="22"/>
                <w:lang w:bidi="ar-SA"/>
              </w:rPr>
              <w:tab/>
            </w:r>
            <w:r w:rsidRPr="000F4DD7">
              <w:rPr>
                <w:rStyle w:val="Hyperlink"/>
                <w:noProof/>
              </w:rPr>
              <w:t>Biostimulation and reoxidation tests</w:t>
            </w:r>
            <w:r>
              <w:rPr>
                <w:noProof/>
                <w:webHidden/>
              </w:rPr>
              <w:tab/>
            </w:r>
            <w:r>
              <w:rPr>
                <w:noProof/>
                <w:webHidden/>
              </w:rPr>
              <w:fldChar w:fldCharType="begin"/>
            </w:r>
            <w:r>
              <w:rPr>
                <w:noProof/>
                <w:webHidden/>
              </w:rPr>
              <w:instrText xml:space="preserve"> PAGEREF _Toc498505024 \h </w:instrText>
            </w:r>
            <w:r>
              <w:rPr>
                <w:noProof/>
                <w:webHidden/>
              </w:rPr>
            </w:r>
            <w:r>
              <w:rPr>
                <w:noProof/>
                <w:webHidden/>
              </w:rPr>
              <w:fldChar w:fldCharType="separate"/>
            </w:r>
            <w:r w:rsidR="00627452">
              <w:rPr>
                <w:noProof/>
                <w:webHidden/>
              </w:rPr>
              <w:t>12</w:t>
            </w:r>
            <w:r>
              <w:rPr>
                <w:noProof/>
                <w:webHidden/>
              </w:rPr>
              <w:fldChar w:fldCharType="end"/>
            </w:r>
          </w:hyperlink>
        </w:p>
        <w:p w14:paraId="3BEA29EF" w14:textId="0C5E3509" w:rsidR="00E41FF9" w:rsidRDefault="00E41FF9">
          <w:pPr>
            <w:pStyle w:val="TOC3"/>
            <w:tabs>
              <w:tab w:val="left" w:pos="1440"/>
              <w:tab w:val="right" w:leader="dot" w:pos="9350"/>
            </w:tabs>
            <w:rPr>
              <w:rFonts w:asciiTheme="minorHAnsi" w:hAnsiTheme="minorHAnsi"/>
              <w:i w:val="0"/>
              <w:iCs w:val="0"/>
              <w:noProof/>
              <w:color w:val="auto"/>
              <w:sz w:val="22"/>
              <w:szCs w:val="22"/>
              <w:lang w:bidi="ar-SA"/>
            </w:rPr>
          </w:pPr>
          <w:hyperlink w:anchor="_Toc498505025" w:history="1">
            <w:r w:rsidRPr="000F4DD7">
              <w:rPr>
                <w:rStyle w:val="Hyperlink"/>
                <w:noProof/>
              </w:rPr>
              <w:t>2.3.3.</w:t>
            </w:r>
            <w:r>
              <w:rPr>
                <w:rFonts w:asciiTheme="minorHAnsi" w:hAnsiTheme="minorHAnsi"/>
                <w:i w:val="0"/>
                <w:iCs w:val="0"/>
                <w:noProof/>
                <w:color w:val="auto"/>
                <w:sz w:val="22"/>
                <w:szCs w:val="22"/>
                <w:lang w:bidi="ar-SA"/>
              </w:rPr>
              <w:tab/>
            </w:r>
            <w:r w:rsidRPr="000F4DD7">
              <w:rPr>
                <w:rStyle w:val="Hyperlink"/>
                <w:noProof/>
              </w:rPr>
              <w:t>Laboratory analysis</w:t>
            </w:r>
            <w:r>
              <w:rPr>
                <w:noProof/>
                <w:webHidden/>
              </w:rPr>
              <w:tab/>
            </w:r>
            <w:r>
              <w:rPr>
                <w:noProof/>
                <w:webHidden/>
              </w:rPr>
              <w:fldChar w:fldCharType="begin"/>
            </w:r>
            <w:r>
              <w:rPr>
                <w:noProof/>
                <w:webHidden/>
              </w:rPr>
              <w:instrText xml:space="preserve"> PAGEREF _Toc498505025 \h </w:instrText>
            </w:r>
            <w:r>
              <w:rPr>
                <w:noProof/>
                <w:webHidden/>
              </w:rPr>
            </w:r>
            <w:r>
              <w:rPr>
                <w:noProof/>
                <w:webHidden/>
              </w:rPr>
              <w:fldChar w:fldCharType="separate"/>
            </w:r>
            <w:r w:rsidR="00627452">
              <w:rPr>
                <w:noProof/>
                <w:webHidden/>
              </w:rPr>
              <w:t>16</w:t>
            </w:r>
            <w:r>
              <w:rPr>
                <w:noProof/>
                <w:webHidden/>
              </w:rPr>
              <w:fldChar w:fldCharType="end"/>
            </w:r>
          </w:hyperlink>
        </w:p>
        <w:p w14:paraId="215780C1" w14:textId="5638069F" w:rsidR="00E41FF9" w:rsidRDefault="00E41FF9">
          <w:pPr>
            <w:pStyle w:val="TOC3"/>
            <w:tabs>
              <w:tab w:val="left" w:pos="1440"/>
              <w:tab w:val="right" w:leader="dot" w:pos="9350"/>
            </w:tabs>
            <w:rPr>
              <w:rFonts w:asciiTheme="minorHAnsi" w:hAnsiTheme="minorHAnsi"/>
              <w:i w:val="0"/>
              <w:iCs w:val="0"/>
              <w:noProof/>
              <w:color w:val="auto"/>
              <w:sz w:val="22"/>
              <w:szCs w:val="22"/>
              <w:lang w:bidi="ar-SA"/>
            </w:rPr>
          </w:pPr>
          <w:hyperlink w:anchor="_Toc498505026" w:history="1">
            <w:r w:rsidRPr="000F4DD7">
              <w:rPr>
                <w:rStyle w:val="Hyperlink"/>
                <w:noProof/>
              </w:rPr>
              <w:t>2.3.4.</w:t>
            </w:r>
            <w:r>
              <w:rPr>
                <w:rFonts w:asciiTheme="minorHAnsi" w:hAnsiTheme="minorHAnsi"/>
                <w:i w:val="0"/>
                <w:iCs w:val="0"/>
                <w:noProof/>
                <w:color w:val="auto"/>
                <w:sz w:val="22"/>
                <w:szCs w:val="22"/>
                <w:lang w:bidi="ar-SA"/>
              </w:rPr>
              <w:tab/>
            </w:r>
            <w:r w:rsidRPr="000F4DD7">
              <w:rPr>
                <w:rStyle w:val="Hyperlink"/>
                <w:noProof/>
              </w:rPr>
              <w:t>Data analysis</w:t>
            </w:r>
            <w:r>
              <w:rPr>
                <w:noProof/>
                <w:webHidden/>
              </w:rPr>
              <w:tab/>
            </w:r>
            <w:r>
              <w:rPr>
                <w:noProof/>
                <w:webHidden/>
              </w:rPr>
              <w:fldChar w:fldCharType="begin"/>
            </w:r>
            <w:r>
              <w:rPr>
                <w:noProof/>
                <w:webHidden/>
              </w:rPr>
              <w:instrText xml:space="preserve"> PAGEREF _Toc498505026 \h </w:instrText>
            </w:r>
            <w:r>
              <w:rPr>
                <w:noProof/>
                <w:webHidden/>
              </w:rPr>
            </w:r>
            <w:r>
              <w:rPr>
                <w:noProof/>
                <w:webHidden/>
              </w:rPr>
              <w:fldChar w:fldCharType="separate"/>
            </w:r>
            <w:r w:rsidR="00627452">
              <w:rPr>
                <w:noProof/>
                <w:webHidden/>
              </w:rPr>
              <w:t>16</w:t>
            </w:r>
            <w:r>
              <w:rPr>
                <w:noProof/>
                <w:webHidden/>
              </w:rPr>
              <w:fldChar w:fldCharType="end"/>
            </w:r>
          </w:hyperlink>
        </w:p>
        <w:p w14:paraId="34F3382B" w14:textId="74BFCFE3" w:rsidR="00E41FF9" w:rsidRDefault="00E41FF9">
          <w:pPr>
            <w:pStyle w:val="TOC2"/>
            <w:tabs>
              <w:tab w:val="left" w:pos="960"/>
              <w:tab w:val="right" w:leader="dot" w:pos="9350"/>
            </w:tabs>
            <w:rPr>
              <w:rFonts w:asciiTheme="minorHAnsi" w:hAnsiTheme="minorHAnsi"/>
              <w:noProof/>
              <w:color w:val="auto"/>
              <w:sz w:val="22"/>
              <w:szCs w:val="22"/>
              <w:lang w:bidi="ar-SA"/>
            </w:rPr>
          </w:pPr>
          <w:hyperlink w:anchor="_Toc498505027" w:history="1">
            <w:r w:rsidRPr="00452013">
              <w:rPr>
                <w:rStyle w:val="Hyperlink"/>
                <w:b/>
                <w:noProof/>
              </w:rPr>
              <w:t>2.4.</w:t>
            </w:r>
            <w:r w:rsidRPr="00452013">
              <w:rPr>
                <w:rFonts w:asciiTheme="minorHAnsi" w:hAnsiTheme="minorHAnsi"/>
                <w:b/>
                <w:noProof/>
                <w:color w:val="auto"/>
                <w:sz w:val="22"/>
                <w:szCs w:val="22"/>
                <w:lang w:bidi="ar-SA"/>
              </w:rPr>
              <w:tab/>
            </w:r>
            <w:r w:rsidRPr="00452013">
              <w:rPr>
                <w:rStyle w:val="Hyperlink"/>
                <w:b/>
                <w:noProof/>
              </w:rPr>
              <w:t>Results and discussion</w:t>
            </w:r>
            <w:r>
              <w:rPr>
                <w:noProof/>
                <w:webHidden/>
              </w:rPr>
              <w:tab/>
            </w:r>
            <w:r>
              <w:rPr>
                <w:noProof/>
                <w:webHidden/>
              </w:rPr>
              <w:fldChar w:fldCharType="begin"/>
            </w:r>
            <w:r>
              <w:rPr>
                <w:noProof/>
                <w:webHidden/>
              </w:rPr>
              <w:instrText xml:space="preserve"> PAGEREF _Toc498505027 \h </w:instrText>
            </w:r>
            <w:r>
              <w:rPr>
                <w:noProof/>
                <w:webHidden/>
              </w:rPr>
            </w:r>
            <w:r>
              <w:rPr>
                <w:noProof/>
                <w:webHidden/>
              </w:rPr>
              <w:fldChar w:fldCharType="separate"/>
            </w:r>
            <w:r w:rsidR="00627452">
              <w:rPr>
                <w:noProof/>
                <w:webHidden/>
              </w:rPr>
              <w:t>16</w:t>
            </w:r>
            <w:r>
              <w:rPr>
                <w:noProof/>
                <w:webHidden/>
              </w:rPr>
              <w:fldChar w:fldCharType="end"/>
            </w:r>
          </w:hyperlink>
        </w:p>
        <w:p w14:paraId="71BE8B1B" w14:textId="2A42CF45" w:rsidR="00E41FF9" w:rsidRDefault="00E41FF9">
          <w:pPr>
            <w:pStyle w:val="TOC3"/>
            <w:tabs>
              <w:tab w:val="left" w:pos="1440"/>
              <w:tab w:val="right" w:leader="dot" w:pos="9350"/>
            </w:tabs>
            <w:rPr>
              <w:rFonts w:asciiTheme="minorHAnsi" w:hAnsiTheme="minorHAnsi"/>
              <w:i w:val="0"/>
              <w:iCs w:val="0"/>
              <w:noProof/>
              <w:color w:val="auto"/>
              <w:sz w:val="22"/>
              <w:szCs w:val="22"/>
              <w:lang w:bidi="ar-SA"/>
            </w:rPr>
          </w:pPr>
          <w:hyperlink w:anchor="_Toc498505028" w:history="1">
            <w:r w:rsidRPr="000F4DD7">
              <w:rPr>
                <w:rStyle w:val="Hyperlink"/>
                <w:noProof/>
              </w:rPr>
              <w:t>2.4.1.</w:t>
            </w:r>
            <w:r>
              <w:rPr>
                <w:rFonts w:asciiTheme="minorHAnsi" w:hAnsiTheme="minorHAnsi"/>
                <w:i w:val="0"/>
                <w:iCs w:val="0"/>
                <w:noProof/>
                <w:color w:val="auto"/>
                <w:sz w:val="22"/>
                <w:szCs w:val="22"/>
                <w:lang w:bidi="ar-SA"/>
              </w:rPr>
              <w:tab/>
            </w:r>
            <w:r w:rsidRPr="000F4DD7">
              <w:rPr>
                <w:rStyle w:val="Hyperlink"/>
                <w:noProof/>
              </w:rPr>
              <w:t>Push-pull tests: Uranium and sulfate reduction in control well</w:t>
            </w:r>
            <w:r>
              <w:rPr>
                <w:noProof/>
                <w:webHidden/>
              </w:rPr>
              <w:tab/>
            </w:r>
            <w:r>
              <w:rPr>
                <w:noProof/>
                <w:webHidden/>
              </w:rPr>
              <w:fldChar w:fldCharType="begin"/>
            </w:r>
            <w:r>
              <w:rPr>
                <w:noProof/>
                <w:webHidden/>
              </w:rPr>
              <w:instrText xml:space="preserve"> PAGEREF _Toc498505028 \h </w:instrText>
            </w:r>
            <w:r>
              <w:rPr>
                <w:noProof/>
                <w:webHidden/>
              </w:rPr>
            </w:r>
            <w:r>
              <w:rPr>
                <w:noProof/>
                <w:webHidden/>
              </w:rPr>
              <w:fldChar w:fldCharType="separate"/>
            </w:r>
            <w:r w:rsidR="00627452">
              <w:rPr>
                <w:noProof/>
                <w:webHidden/>
              </w:rPr>
              <w:t>16</w:t>
            </w:r>
            <w:r>
              <w:rPr>
                <w:noProof/>
                <w:webHidden/>
              </w:rPr>
              <w:fldChar w:fldCharType="end"/>
            </w:r>
          </w:hyperlink>
        </w:p>
        <w:p w14:paraId="35EB8192" w14:textId="548DDDC4" w:rsidR="00E41FF9" w:rsidRDefault="00E41FF9">
          <w:pPr>
            <w:pStyle w:val="TOC3"/>
            <w:tabs>
              <w:tab w:val="left" w:pos="1440"/>
              <w:tab w:val="right" w:leader="dot" w:pos="9350"/>
            </w:tabs>
            <w:rPr>
              <w:rFonts w:asciiTheme="minorHAnsi" w:hAnsiTheme="minorHAnsi"/>
              <w:i w:val="0"/>
              <w:iCs w:val="0"/>
              <w:noProof/>
              <w:color w:val="auto"/>
              <w:sz w:val="22"/>
              <w:szCs w:val="22"/>
              <w:lang w:bidi="ar-SA"/>
            </w:rPr>
          </w:pPr>
          <w:hyperlink w:anchor="_Toc498505029" w:history="1">
            <w:r w:rsidRPr="000F4DD7">
              <w:rPr>
                <w:rStyle w:val="Hyperlink"/>
                <w:noProof/>
              </w:rPr>
              <w:t>2.4.2.</w:t>
            </w:r>
            <w:r>
              <w:rPr>
                <w:rFonts w:asciiTheme="minorHAnsi" w:hAnsiTheme="minorHAnsi"/>
                <w:i w:val="0"/>
                <w:iCs w:val="0"/>
                <w:noProof/>
                <w:color w:val="auto"/>
                <w:sz w:val="22"/>
                <w:szCs w:val="22"/>
                <w:lang w:bidi="ar-SA"/>
              </w:rPr>
              <w:tab/>
            </w:r>
            <w:r w:rsidRPr="000F4DD7">
              <w:rPr>
                <w:rStyle w:val="Hyperlink"/>
                <w:noProof/>
              </w:rPr>
              <w:t>Push-pull tests: Uranium mobility in the presence of high nitrate</w:t>
            </w:r>
            <w:r>
              <w:rPr>
                <w:noProof/>
                <w:webHidden/>
              </w:rPr>
              <w:tab/>
            </w:r>
            <w:r>
              <w:rPr>
                <w:noProof/>
                <w:webHidden/>
              </w:rPr>
              <w:fldChar w:fldCharType="begin"/>
            </w:r>
            <w:r>
              <w:rPr>
                <w:noProof/>
                <w:webHidden/>
              </w:rPr>
              <w:instrText xml:space="preserve"> PAGEREF _Toc498505029 \h </w:instrText>
            </w:r>
            <w:r>
              <w:rPr>
                <w:noProof/>
                <w:webHidden/>
              </w:rPr>
            </w:r>
            <w:r>
              <w:rPr>
                <w:noProof/>
                <w:webHidden/>
              </w:rPr>
              <w:fldChar w:fldCharType="separate"/>
            </w:r>
            <w:r w:rsidR="00627452">
              <w:rPr>
                <w:noProof/>
                <w:webHidden/>
              </w:rPr>
              <w:t>21</w:t>
            </w:r>
            <w:r>
              <w:rPr>
                <w:noProof/>
                <w:webHidden/>
              </w:rPr>
              <w:fldChar w:fldCharType="end"/>
            </w:r>
          </w:hyperlink>
        </w:p>
        <w:p w14:paraId="26D69422" w14:textId="4021B4C6" w:rsidR="00E41FF9" w:rsidRDefault="00E41FF9">
          <w:pPr>
            <w:pStyle w:val="TOC3"/>
            <w:tabs>
              <w:tab w:val="left" w:pos="1440"/>
              <w:tab w:val="right" w:leader="dot" w:pos="9350"/>
            </w:tabs>
            <w:rPr>
              <w:rFonts w:asciiTheme="minorHAnsi" w:hAnsiTheme="minorHAnsi"/>
              <w:i w:val="0"/>
              <w:iCs w:val="0"/>
              <w:noProof/>
              <w:color w:val="auto"/>
              <w:sz w:val="22"/>
              <w:szCs w:val="22"/>
              <w:lang w:bidi="ar-SA"/>
            </w:rPr>
          </w:pPr>
          <w:hyperlink w:anchor="_Toc498505030" w:history="1">
            <w:r w:rsidRPr="000F4DD7">
              <w:rPr>
                <w:rStyle w:val="Hyperlink"/>
                <w:noProof/>
              </w:rPr>
              <w:t>2.4.3.</w:t>
            </w:r>
            <w:r>
              <w:rPr>
                <w:rFonts w:asciiTheme="minorHAnsi" w:hAnsiTheme="minorHAnsi"/>
                <w:i w:val="0"/>
                <w:iCs w:val="0"/>
                <w:noProof/>
                <w:color w:val="auto"/>
                <w:sz w:val="22"/>
                <w:szCs w:val="22"/>
                <w:lang w:bidi="ar-SA"/>
              </w:rPr>
              <w:tab/>
            </w:r>
            <w:r w:rsidRPr="000F4DD7">
              <w:rPr>
                <w:rStyle w:val="Hyperlink"/>
                <w:noProof/>
              </w:rPr>
              <w:t>Push-pull tests: Uranium mobility in the presence of high nitrate and ethanol</w:t>
            </w:r>
            <w:r>
              <w:rPr>
                <w:noProof/>
                <w:webHidden/>
              </w:rPr>
              <w:tab/>
            </w:r>
            <w:r>
              <w:rPr>
                <w:noProof/>
                <w:webHidden/>
              </w:rPr>
              <w:fldChar w:fldCharType="begin"/>
            </w:r>
            <w:r>
              <w:rPr>
                <w:noProof/>
                <w:webHidden/>
              </w:rPr>
              <w:instrText xml:space="preserve"> PAGEREF _Toc498505030 \h </w:instrText>
            </w:r>
            <w:r>
              <w:rPr>
                <w:noProof/>
                <w:webHidden/>
              </w:rPr>
            </w:r>
            <w:r>
              <w:rPr>
                <w:noProof/>
                <w:webHidden/>
              </w:rPr>
              <w:fldChar w:fldCharType="separate"/>
            </w:r>
            <w:r w:rsidR="00627452">
              <w:rPr>
                <w:noProof/>
                <w:webHidden/>
              </w:rPr>
              <w:t>23</w:t>
            </w:r>
            <w:r>
              <w:rPr>
                <w:noProof/>
                <w:webHidden/>
              </w:rPr>
              <w:fldChar w:fldCharType="end"/>
            </w:r>
          </w:hyperlink>
        </w:p>
        <w:p w14:paraId="10FDAAE1" w14:textId="4F36D8F3" w:rsidR="00E41FF9" w:rsidRDefault="00E41FF9">
          <w:pPr>
            <w:pStyle w:val="TOC3"/>
            <w:tabs>
              <w:tab w:val="left" w:pos="1440"/>
              <w:tab w:val="right" w:leader="dot" w:pos="9350"/>
            </w:tabs>
            <w:rPr>
              <w:rFonts w:asciiTheme="minorHAnsi" w:hAnsiTheme="minorHAnsi"/>
              <w:i w:val="0"/>
              <w:iCs w:val="0"/>
              <w:noProof/>
              <w:color w:val="auto"/>
              <w:sz w:val="22"/>
              <w:szCs w:val="22"/>
              <w:lang w:bidi="ar-SA"/>
            </w:rPr>
          </w:pPr>
          <w:hyperlink w:anchor="_Toc498505031" w:history="1">
            <w:r w:rsidRPr="000F4DD7">
              <w:rPr>
                <w:rStyle w:val="Hyperlink"/>
                <w:noProof/>
              </w:rPr>
              <w:t>2.4.4.</w:t>
            </w:r>
            <w:r>
              <w:rPr>
                <w:rFonts w:asciiTheme="minorHAnsi" w:hAnsiTheme="minorHAnsi"/>
                <w:i w:val="0"/>
                <w:iCs w:val="0"/>
                <w:noProof/>
                <w:color w:val="auto"/>
                <w:sz w:val="22"/>
                <w:szCs w:val="22"/>
                <w:lang w:bidi="ar-SA"/>
              </w:rPr>
              <w:tab/>
            </w:r>
            <w:r w:rsidRPr="000F4DD7">
              <w:rPr>
                <w:rStyle w:val="Hyperlink"/>
                <w:noProof/>
              </w:rPr>
              <w:t>Push-pull tests: Uranium mobility in the presence of low nitrate and ethanol</w:t>
            </w:r>
            <w:r>
              <w:rPr>
                <w:noProof/>
                <w:webHidden/>
              </w:rPr>
              <w:tab/>
            </w:r>
            <w:r>
              <w:rPr>
                <w:noProof/>
                <w:webHidden/>
              </w:rPr>
              <w:fldChar w:fldCharType="begin"/>
            </w:r>
            <w:r>
              <w:rPr>
                <w:noProof/>
                <w:webHidden/>
              </w:rPr>
              <w:instrText xml:space="preserve"> PAGEREF _Toc498505031 \h </w:instrText>
            </w:r>
            <w:r>
              <w:rPr>
                <w:noProof/>
                <w:webHidden/>
              </w:rPr>
            </w:r>
            <w:r>
              <w:rPr>
                <w:noProof/>
                <w:webHidden/>
              </w:rPr>
              <w:fldChar w:fldCharType="separate"/>
            </w:r>
            <w:r w:rsidR="00627452">
              <w:rPr>
                <w:noProof/>
                <w:webHidden/>
              </w:rPr>
              <w:t>25</w:t>
            </w:r>
            <w:r>
              <w:rPr>
                <w:noProof/>
                <w:webHidden/>
              </w:rPr>
              <w:fldChar w:fldCharType="end"/>
            </w:r>
          </w:hyperlink>
        </w:p>
        <w:p w14:paraId="6E913B00" w14:textId="22A52770" w:rsidR="00E41FF9" w:rsidRDefault="00E41FF9">
          <w:pPr>
            <w:pStyle w:val="TOC3"/>
            <w:tabs>
              <w:tab w:val="left" w:pos="1440"/>
              <w:tab w:val="right" w:leader="dot" w:pos="9350"/>
            </w:tabs>
            <w:rPr>
              <w:rFonts w:asciiTheme="minorHAnsi" w:hAnsiTheme="minorHAnsi"/>
              <w:i w:val="0"/>
              <w:iCs w:val="0"/>
              <w:noProof/>
              <w:color w:val="auto"/>
              <w:sz w:val="22"/>
              <w:szCs w:val="22"/>
              <w:lang w:bidi="ar-SA"/>
            </w:rPr>
          </w:pPr>
          <w:hyperlink w:anchor="_Toc498505032" w:history="1">
            <w:r w:rsidRPr="000F4DD7">
              <w:rPr>
                <w:rStyle w:val="Hyperlink"/>
                <w:noProof/>
              </w:rPr>
              <w:t>2.4.5.</w:t>
            </w:r>
            <w:r>
              <w:rPr>
                <w:rFonts w:asciiTheme="minorHAnsi" w:hAnsiTheme="minorHAnsi"/>
                <w:i w:val="0"/>
                <w:iCs w:val="0"/>
                <w:noProof/>
                <w:color w:val="auto"/>
                <w:sz w:val="22"/>
                <w:szCs w:val="22"/>
                <w:lang w:bidi="ar-SA"/>
              </w:rPr>
              <w:tab/>
            </w:r>
            <w:r w:rsidRPr="000F4DD7">
              <w:rPr>
                <w:rStyle w:val="Hyperlink"/>
                <w:noProof/>
              </w:rPr>
              <w:t>Thermodynamics</w:t>
            </w:r>
            <w:r>
              <w:rPr>
                <w:noProof/>
                <w:webHidden/>
              </w:rPr>
              <w:tab/>
            </w:r>
            <w:r>
              <w:rPr>
                <w:noProof/>
                <w:webHidden/>
              </w:rPr>
              <w:fldChar w:fldCharType="begin"/>
            </w:r>
            <w:r>
              <w:rPr>
                <w:noProof/>
                <w:webHidden/>
              </w:rPr>
              <w:instrText xml:space="preserve"> PAGEREF _Toc498505032 \h </w:instrText>
            </w:r>
            <w:r>
              <w:rPr>
                <w:noProof/>
                <w:webHidden/>
              </w:rPr>
            </w:r>
            <w:r>
              <w:rPr>
                <w:noProof/>
                <w:webHidden/>
              </w:rPr>
              <w:fldChar w:fldCharType="separate"/>
            </w:r>
            <w:r w:rsidR="00627452">
              <w:rPr>
                <w:noProof/>
                <w:webHidden/>
              </w:rPr>
              <w:t>27</w:t>
            </w:r>
            <w:r>
              <w:rPr>
                <w:noProof/>
                <w:webHidden/>
              </w:rPr>
              <w:fldChar w:fldCharType="end"/>
            </w:r>
          </w:hyperlink>
        </w:p>
        <w:p w14:paraId="549150DB" w14:textId="0FB90728" w:rsidR="00E41FF9" w:rsidRDefault="00E41FF9">
          <w:pPr>
            <w:pStyle w:val="TOC2"/>
            <w:tabs>
              <w:tab w:val="left" w:pos="960"/>
              <w:tab w:val="right" w:leader="dot" w:pos="9350"/>
            </w:tabs>
            <w:rPr>
              <w:rFonts w:asciiTheme="minorHAnsi" w:hAnsiTheme="minorHAnsi"/>
              <w:noProof/>
              <w:color w:val="auto"/>
              <w:sz w:val="22"/>
              <w:szCs w:val="22"/>
              <w:lang w:bidi="ar-SA"/>
            </w:rPr>
          </w:pPr>
          <w:hyperlink w:anchor="_Toc498505033" w:history="1">
            <w:r w:rsidRPr="00452013">
              <w:rPr>
                <w:rStyle w:val="Hyperlink"/>
                <w:b/>
                <w:noProof/>
              </w:rPr>
              <w:t>2.5.</w:t>
            </w:r>
            <w:r w:rsidRPr="00452013">
              <w:rPr>
                <w:rFonts w:asciiTheme="minorHAnsi" w:hAnsiTheme="minorHAnsi"/>
                <w:b/>
                <w:noProof/>
                <w:color w:val="auto"/>
                <w:sz w:val="22"/>
                <w:szCs w:val="22"/>
                <w:lang w:bidi="ar-SA"/>
              </w:rPr>
              <w:tab/>
            </w:r>
            <w:r w:rsidRPr="00452013">
              <w:rPr>
                <w:rStyle w:val="Hyperlink"/>
                <w:b/>
                <w:noProof/>
              </w:rPr>
              <w:t>Conclusions</w:t>
            </w:r>
            <w:r>
              <w:rPr>
                <w:noProof/>
                <w:webHidden/>
              </w:rPr>
              <w:tab/>
            </w:r>
            <w:r>
              <w:rPr>
                <w:noProof/>
                <w:webHidden/>
              </w:rPr>
              <w:fldChar w:fldCharType="begin"/>
            </w:r>
            <w:r>
              <w:rPr>
                <w:noProof/>
                <w:webHidden/>
              </w:rPr>
              <w:instrText xml:space="preserve"> PAGEREF _Toc498505033 \h </w:instrText>
            </w:r>
            <w:r>
              <w:rPr>
                <w:noProof/>
                <w:webHidden/>
              </w:rPr>
            </w:r>
            <w:r>
              <w:rPr>
                <w:noProof/>
                <w:webHidden/>
              </w:rPr>
              <w:fldChar w:fldCharType="separate"/>
            </w:r>
            <w:r w:rsidR="00627452">
              <w:rPr>
                <w:noProof/>
                <w:webHidden/>
              </w:rPr>
              <w:t>28</w:t>
            </w:r>
            <w:r>
              <w:rPr>
                <w:noProof/>
                <w:webHidden/>
              </w:rPr>
              <w:fldChar w:fldCharType="end"/>
            </w:r>
          </w:hyperlink>
        </w:p>
        <w:p w14:paraId="65D7C416" w14:textId="64AF30A3" w:rsidR="00E41FF9" w:rsidRDefault="00E41FF9">
          <w:pPr>
            <w:pStyle w:val="TOC2"/>
            <w:tabs>
              <w:tab w:val="left" w:pos="960"/>
              <w:tab w:val="right" w:leader="dot" w:pos="9350"/>
            </w:tabs>
            <w:rPr>
              <w:rFonts w:asciiTheme="minorHAnsi" w:hAnsiTheme="minorHAnsi"/>
              <w:noProof/>
              <w:color w:val="auto"/>
              <w:sz w:val="22"/>
              <w:szCs w:val="22"/>
              <w:lang w:bidi="ar-SA"/>
            </w:rPr>
          </w:pPr>
          <w:hyperlink w:anchor="_Toc498505034" w:history="1">
            <w:r w:rsidRPr="00452013">
              <w:rPr>
                <w:rStyle w:val="Hyperlink"/>
                <w:b/>
                <w:noProof/>
              </w:rPr>
              <w:t>2.6.</w:t>
            </w:r>
            <w:r w:rsidRPr="00452013">
              <w:rPr>
                <w:rFonts w:asciiTheme="minorHAnsi" w:hAnsiTheme="minorHAnsi"/>
                <w:b/>
                <w:noProof/>
                <w:color w:val="auto"/>
                <w:sz w:val="22"/>
                <w:szCs w:val="22"/>
                <w:lang w:bidi="ar-SA"/>
              </w:rPr>
              <w:tab/>
            </w:r>
            <w:r w:rsidRPr="00452013">
              <w:rPr>
                <w:rStyle w:val="Hyperlink"/>
                <w:b/>
                <w:noProof/>
              </w:rPr>
              <w:t>References</w:t>
            </w:r>
            <w:r>
              <w:rPr>
                <w:noProof/>
                <w:webHidden/>
              </w:rPr>
              <w:tab/>
            </w:r>
            <w:r>
              <w:rPr>
                <w:noProof/>
                <w:webHidden/>
              </w:rPr>
              <w:fldChar w:fldCharType="begin"/>
            </w:r>
            <w:r>
              <w:rPr>
                <w:noProof/>
                <w:webHidden/>
              </w:rPr>
              <w:instrText xml:space="preserve"> PAGEREF _Toc498505034 \h </w:instrText>
            </w:r>
            <w:r>
              <w:rPr>
                <w:noProof/>
                <w:webHidden/>
              </w:rPr>
            </w:r>
            <w:r>
              <w:rPr>
                <w:noProof/>
                <w:webHidden/>
              </w:rPr>
              <w:fldChar w:fldCharType="separate"/>
            </w:r>
            <w:r w:rsidR="00627452">
              <w:rPr>
                <w:noProof/>
                <w:webHidden/>
              </w:rPr>
              <w:t>31</w:t>
            </w:r>
            <w:r>
              <w:rPr>
                <w:noProof/>
                <w:webHidden/>
              </w:rPr>
              <w:fldChar w:fldCharType="end"/>
            </w:r>
          </w:hyperlink>
        </w:p>
        <w:p w14:paraId="218A7ABA" w14:textId="34992054" w:rsidR="00E41FF9" w:rsidRDefault="00E41FF9">
          <w:pPr>
            <w:pStyle w:val="TOC2"/>
            <w:tabs>
              <w:tab w:val="left" w:pos="960"/>
              <w:tab w:val="right" w:leader="dot" w:pos="9350"/>
            </w:tabs>
            <w:rPr>
              <w:rFonts w:asciiTheme="minorHAnsi" w:hAnsiTheme="minorHAnsi"/>
              <w:noProof/>
              <w:color w:val="auto"/>
              <w:sz w:val="22"/>
              <w:szCs w:val="22"/>
              <w:lang w:bidi="ar-SA"/>
            </w:rPr>
          </w:pPr>
          <w:hyperlink w:anchor="_Toc498505035" w:history="1">
            <w:r w:rsidRPr="00452013">
              <w:rPr>
                <w:rStyle w:val="Hyperlink"/>
                <w:b/>
                <w:noProof/>
              </w:rPr>
              <w:t>2.7.</w:t>
            </w:r>
            <w:r w:rsidRPr="00452013">
              <w:rPr>
                <w:rFonts w:asciiTheme="minorHAnsi" w:hAnsiTheme="minorHAnsi"/>
                <w:b/>
                <w:noProof/>
                <w:color w:val="auto"/>
                <w:sz w:val="22"/>
                <w:szCs w:val="22"/>
                <w:lang w:bidi="ar-SA"/>
              </w:rPr>
              <w:tab/>
            </w:r>
            <w:r w:rsidRPr="00452013">
              <w:rPr>
                <w:rStyle w:val="Hyperlink"/>
                <w:b/>
                <w:noProof/>
              </w:rPr>
              <w:t>Appendix</w:t>
            </w:r>
            <w:r>
              <w:rPr>
                <w:noProof/>
                <w:webHidden/>
              </w:rPr>
              <w:tab/>
            </w:r>
            <w:r>
              <w:rPr>
                <w:noProof/>
                <w:webHidden/>
              </w:rPr>
              <w:fldChar w:fldCharType="begin"/>
            </w:r>
            <w:r>
              <w:rPr>
                <w:noProof/>
                <w:webHidden/>
              </w:rPr>
              <w:instrText xml:space="preserve"> PAGEREF _Toc498505035 \h </w:instrText>
            </w:r>
            <w:r>
              <w:rPr>
                <w:noProof/>
                <w:webHidden/>
              </w:rPr>
            </w:r>
            <w:r>
              <w:rPr>
                <w:noProof/>
                <w:webHidden/>
              </w:rPr>
              <w:fldChar w:fldCharType="separate"/>
            </w:r>
            <w:r w:rsidR="00627452">
              <w:rPr>
                <w:noProof/>
                <w:webHidden/>
              </w:rPr>
              <w:t>40</w:t>
            </w:r>
            <w:r>
              <w:rPr>
                <w:noProof/>
                <w:webHidden/>
              </w:rPr>
              <w:fldChar w:fldCharType="end"/>
            </w:r>
          </w:hyperlink>
        </w:p>
        <w:p w14:paraId="5892F947" w14:textId="6FCFE763" w:rsidR="00E41FF9" w:rsidRDefault="00E41FF9">
          <w:pPr>
            <w:pStyle w:val="TOC1"/>
            <w:tabs>
              <w:tab w:val="left" w:pos="1440"/>
            </w:tabs>
            <w:rPr>
              <w:rFonts w:asciiTheme="minorHAnsi" w:hAnsiTheme="minorHAnsi"/>
              <w:b w:val="0"/>
              <w:bCs w:val="0"/>
              <w:color w:val="auto"/>
              <w:sz w:val="22"/>
              <w:szCs w:val="22"/>
              <w:lang w:bidi="ar-SA"/>
            </w:rPr>
          </w:pPr>
          <w:hyperlink w:anchor="_Toc498505036" w:history="1">
            <w:r w:rsidRPr="008C469D">
              <w:rPr>
                <w:rStyle w:val="Hyperlink"/>
                <w:sz w:val="28"/>
                <w:szCs w:val="28"/>
              </w:rPr>
              <w:t>Chapter 3:</w:t>
            </w:r>
            <w:r w:rsidRPr="008C469D">
              <w:rPr>
                <w:rFonts w:asciiTheme="minorHAnsi" w:hAnsiTheme="minorHAnsi"/>
                <w:b w:val="0"/>
                <w:bCs w:val="0"/>
                <w:color w:val="auto"/>
                <w:sz w:val="28"/>
                <w:szCs w:val="28"/>
                <w:lang w:bidi="ar-SA"/>
              </w:rPr>
              <w:tab/>
            </w:r>
            <w:r w:rsidRPr="008C469D">
              <w:rPr>
                <w:rStyle w:val="Hyperlink"/>
                <w:sz w:val="28"/>
                <w:szCs w:val="28"/>
              </w:rPr>
              <w:t>Push-pull tests for estimating effective porosity: expanded analytical solution and in situ application</w:t>
            </w:r>
            <w:r>
              <w:rPr>
                <w:webHidden/>
              </w:rPr>
              <w:tab/>
            </w:r>
            <w:r>
              <w:rPr>
                <w:webHidden/>
              </w:rPr>
              <w:fldChar w:fldCharType="begin"/>
            </w:r>
            <w:r>
              <w:rPr>
                <w:webHidden/>
              </w:rPr>
              <w:instrText xml:space="preserve"> PAGEREF _Toc498505036 \h </w:instrText>
            </w:r>
            <w:r>
              <w:rPr>
                <w:webHidden/>
              </w:rPr>
            </w:r>
            <w:r>
              <w:rPr>
                <w:webHidden/>
              </w:rPr>
              <w:fldChar w:fldCharType="separate"/>
            </w:r>
            <w:r w:rsidR="00627452">
              <w:rPr>
                <w:webHidden/>
              </w:rPr>
              <w:t>41</w:t>
            </w:r>
            <w:r>
              <w:rPr>
                <w:webHidden/>
              </w:rPr>
              <w:fldChar w:fldCharType="end"/>
            </w:r>
          </w:hyperlink>
        </w:p>
        <w:p w14:paraId="1971EC1E" w14:textId="35796EDA" w:rsidR="00E41FF9" w:rsidRDefault="00E41FF9">
          <w:pPr>
            <w:pStyle w:val="TOC2"/>
            <w:tabs>
              <w:tab w:val="left" w:pos="960"/>
              <w:tab w:val="right" w:leader="dot" w:pos="9350"/>
            </w:tabs>
            <w:rPr>
              <w:rFonts w:asciiTheme="minorHAnsi" w:hAnsiTheme="minorHAnsi"/>
              <w:noProof/>
              <w:color w:val="auto"/>
              <w:sz w:val="22"/>
              <w:szCs w:val="22"/>
              <w:lang w:bidi="ar-SA"/>
            </w:rPr>
          </w:pPr>
          <w:hyperlink w:anchor="_Toc498505037" w:history="1">
            <w:r w:rsidRPr="00452013">
              <w:rPr>
                <w:rStyle w:val="Hyperlink"/>
                <w:b/>
                <w:noProof/>
              </w:rPr>
              <w:t>3.1.</w:t>
            </w:r>
            <w:r w:rsidRPr="00452013">
              <w:rPr>
                <w:rFonts w:asciiTheme="minorHAnsi" w:hAnsiTheme="minorHAnsi"/>
                <w:b/>
                <w:noProof/>
                <w:color w:val="auto"/>
                <w:sz w:val="22"/>
                <w:szCs w:val="22"/>
                <w:lang w:bidi="ar-SA"/>
              </w:rPr>
              <w:tab/>
            </w:r>
            <w:r w:rsidRPr="00452013">
              <w:rPr>
                <w:rStyle w:val="Hyperlink"/>
                <w:b/>
                <w:noProof/>
              </w:rPr>
              <w:t>Abstract</w:t>
            </w:r>
            <w:r>
              <w:rPr>
                <w:noProof/>
                <w:webHidden/>
              </w:rPr>
              <w:tab/>
            </w:r>
            <w:r>
              <w:rPr>
                <w:noProof/>
                <w:webHidden/>
              </w:rPr>
              <w:fldChar w:fldCharType="begin"/>
            </w:r>
            <w:r>
              <w:rPr>
                <w:noProof/>
                <w:webHidden/>
              </w:rPr>
              <w:instrText xml:space="preserve"> PAGEREF _Toc498505037 \h </w:instrText>
            </w:r>
            <w:r>
              <w:rPr>
                <w:noProof/>
                <w:webHidden/>
              </w:rPr>
            </w:r>
            <w:r>
              <w:rPr>
                <w:noProof/>
                <w:webHidden/>
              </w:rPr>
              <w:fldChar w:fldCharType="separate"/>
            </w:r>
            <w:r w:rsidR="00627452">
              <w:rPr>
                <w:noProof/>
                <w:webHidden/>
              </w:rPr>
              <w:t>43</w:t>
            </w:r>
            <w:r>
              <w:rPr>
                <w:noProof/>
                <w:webHidden/>
              </w:rPr>
              <w:fldChar w:fldCharType="end"/>
            </w:r>
          </w:hyperlink>
        </w:p>
        <w:p w14:paraId="427BEDC6" w14:textId="720AEC9E" w:rsidR="00E41FF9" w:rsidRDefault="00E41FF9">
          <w:pPr>
            <w:pStyle w:val="TOC2"/>
            <w:tabs>
              <w:tab w:val="left" w:pos="960"/>
              <w:tab w:val="right" w:leader="dot" w:pos="9350"/>
            </w:tabs>
            <w:rPr>
              <w:rFonts w:asciiTheme="minorHAnsi" w:hAnsiTheme="minorHAnsi"/>
              <w:noProof/>
              <w:color w:val="auto"/>
              <w:sz w:val="22"/>
              <w:szCs w:val="22"/>
              <w:lang w:bidi="ar-SA"/>
            </w:rPr>
          </w:pPr>
          <w:hyperlink w:anchor="_Toc498505038" w:history="1">
            <w:r w:rsidRPr="00452013">
              <w:rPr>
                <w:rStyle w:val="Hyperlink"/>
                <w:b/>
                <w:noProof/>
              </w:rPr>
              <w:t>3.2.</w:t>
            </w:r>
            <w:r w:rsidRPr="00452013">
              <w:rPr>
                <w:rFonts w:asciiTheme="minorHAnsi" w:hAnsiTheme="minorHAnsi"/>
                <w:b/>
                <w:noProof/>
                <w:color w:val="auto"/>
                <w:sz w:val="22"/>
                <w:szCs w:val="22"/>
                <w:lang w:bidi="ar-SA"/>
              </w:rPr>
              <w:tab/>
            </w:r>
            <w:r w:rsidRPr="00452013">
              <w:rPr>
                <w:rStyle w:val="Hyperlink"/>
                <w:b/>
                <w:noProof/>
              </w:rPr>
              <w:t>Introduction</w:t>
            </w:r>
            <w:r>
              <w:rPr>
                <w:noProof/>
                <w:webHidden/>
              </w:rPr>
              <w:tab/>
            </w:r>
            <w:r>
              <w:rPr>
                <w:noProof/>
                <w:webHidden/>
              </w:rPr>
              <w:fldChar w:fldCharType="begin"/>
            </w:r>
            <w:r>
              <w:rPr>
                <w:noProof/>
                <w:webHidden/>
              </w:rPr>
              <w:instrText xml:space="preserve"> PAGEREF _Toc498505038 \h </w:instrText>
            </w:r>
            <w:r>
              <w:rPr>
                <w:noProof/>
                <w:webHidden/>
              </w:rPr>
            </w:r>
            <w:r>
              <w:rPr>
                <w:noProof/>
                <w:webHidden/>
              </w:rPr>
              <w:fldChar w:fldCharType="separate"/>
            </w:r>
            <w:r w:rsidR="00627452">
              <w:rPr>
                <w:noProof/>
                <w:webHidden/>
              </w:rPr>
              <w:t>44</w:t>
            </w:r>
            <w:r>
              <w:rPr>
                <w:noProof/>
                <w:webHidden/>
              </w:rPr>
              <w:fldChar w:fldCharType="end"/>
            </w:r>
          </w:hyperlink>
        </w:p>
        <w:p w14:paraId="275DAB95" w14:textId="1783EFAA" w:rsidR="00E41FF9" w:rsidRDefault="00E41FF9">
          <w:pPr>
            <w:pStyle w:val="TOC2"/>
            <w:tabs>
              <w:tab w:val="left" w:pos="960"/>
              <w:tab w:val="right" w:leader="dot" w:pos="9350"/>
            </w:tabs>
            <w:rPr>
              <w:rFonts w:asciiTheme="minorHAnsi" w:hAnsiTheme="minorHAnsi"/>
              <w:noProof/>
              <w:color w:val="auto"/>
              <w:sz w:val="22"/>
              <w:szCs w:val="22"/>
              <w:lang w:bidi="ar-SA"/>
            </w:rPr>
          </w:pPr>
          <w:hyperlink w:anchor="_Toc498505039" w:history="1">
            <w:r w:rsidRPr="00452013">
              <w:rPr>
                <w:rStyle w:val="Hyperlink"/>
                <w:b/>
                <w:noProof/>
              </w:rPr>
              <w:t>3.3.</w:t>
            </w:r>
            <w:r w:rsidRPr="00452013">
              <w:rPr>
                <w:rFonts w:asciiTheme="minorHAnsi" w:hAnsiTheme="minorHAnsi"/>
                <w:b/>
                <w:noProof/>
                <w:color w:val="auto"/>
                <w:sz w:val="22"/>
                <w:szCs w:val="22"/>
                <w:lang w:bidi="ar-SA"/>
              </w:rPr>
              <w:tab/>
            </w:r>
            <w:r w:rsidRPr="00452013">
              <w:rPr>
                <w:rStyle w:val="Hyperlink"/>
                <w:b/>
                <w:noProof/>
              </w:rPr>
              <w:t>Materials and methods</w:t>
            </w:r>
            <w:r>
              <w:rPr>
                <w:noProof/>
                <w:webHidden/>
              </w:rPr>
              <w:tab/>
            </w:r>
            <w:r>
              <w:rPr>
                <w:noProof/>
                <w:webHidden/>
              </w:rPr>
              <w:fldChar w:fldCharType="begin"/>
            </w:r>
            <w:r>
              <w:rPr>
                <w:noProof/>
                <w:webHidden/>
              </w:rPr>
              <w:instrText xml:space="preserve"> PAGEREF _Toc498505039 \h </w:instrText>
            </w:r>
            <w:r>
              <w:rPr>
                <w:noProof/>
                <w:webHidden/>
              </w:rPr>
            </w:r>
            <w:r>
              <w:rPr>
                <w:noProof/>
                <w:webHidden/>
              </w:rPr>
              <w:fldChar w:fldCharType="separate"/>
            </w:r>
            <w:r w:rsidR="00627452">
              <w:rPr>
                <w:noProof/>
                <w:webHidden/>
              </w:rPr>
              <w:t>46</w:t>
            </w:r>
            <w:r>
              <w:rPr>
                <w:noProof/>
                <w:webHidden/>
              </w:rPr>
              <w:fldChar w:fldCharType="end"/>
            </w:r>
          </w:hyperlink>
        </w:p>
        <w:p w14:paraId="4F8C471F" w14:textId="52B163B3" w:rsidR="00E41FF9" w:rsidRDefault="00E41FF9">
          <w:pPr>
            <w:pStyle w:val="TOC3"/>
            <w:tabs>
              <w:tab w:val="left" w:pos="1440"/>
              <w:tab w:val="right" w:leader="dot" w:pos="9350"/>
            </w:tabs>
            <w:rPr>
              <w:rFonts w:asciiTheme="minorHAnsi" w:hAnsiTheme="minorHAnsi"/>
              <w:i w:val="0"/>
              <w:iCs w:val="0"/>
              <w:noProof/>
              <w:color w:val="auto"/>
              <w:sz w:val="22"/>
              <w:szCs w:val="22"/>
              <w:lang w:bidi="ar-SA"/>
            </w:rPr>
          </w:pPr>
          <w:hyperlink w:anchor="_Toc498505040" w:history="1">
            <w:r w:rsidRPr="000F4DD7">
              <w:rPr>
                <w:rStyle w:val="Hyperlink"/>
                <w:noProof/>
              </w:rPr>
              <w:t>3.3.1.</w:t>
            </w:r>
            <w:r>
              <w:rPr>
                <w:rFonts w:asciiTheme="minorHAnsi" w:hAnsiTheme="minorHAnsi"/>
                <w:i w:val="0"/>
                <w:iCs w:val="0"/>
                <w:noProof/>
                <w:color w:val="auto"/>
                <w:sz w:val="22"/>
                <w:szCs w:val="22"/>
                <w:lang w:bidi="ar-SA"/>
              </w:rPr>
              <w:tab/>
            </w:r>
            <w:r w:rsidRPr="000F4DD7">
              <w:rPr>
                <w:rStyle w:val="Hyperlink"/>
                <w:noProof/>
              </w:rPr>
              <w:t>Theory</w:t>
            </w:r>
            <w:r>
              <w:rPr>
                <w:noProof/>
                <w:webHidden/>
              </w:rPr>
              <w:tab/>
            </w:r>
            <w:r>
              <w:rPr>
                <w:noProof/>
                <w:webHidden/>
              </w:rPr>
              <w:fldChar w:fldCharType="begin"/>
            </w:r>
            <w:r>
              <w:rPr>
                <w:noProof/>
                <w:webHidden/>
              </w:rPr>
              <w:instrText xml:space="preserve"> PAGEREF _Toc498505040 \h </w:instrText>
            </w:r>
            <w:r>
              <w:rPr>
                <w:noProof/>
                <w:webHidden/>
              </w:rPr>
            </w:r>
            <w:r>
              <w:rPr>
                <w:noProof/>
                <w:webHidden/>
              </w:rPr>
              <w:fldChar w:fldCharType="separate"/>
            </w:r>
            <w:r w:rsidR="00627452">
              <w:rPr>
                <w:noProof/>
                <w:webHidden/>
              </w:rPr>
              <w:t>46</w:t>
            </w:r>
            <w:r>
              <w:rPr>
                <w:noProof/>
                <w:webHidden/>
              </w:rPr>
              <w:fldChar w:fldCharType="end"/>
            </w:r>
          </w:hyperlink>
        </w:p>
        <w:p w14:paraId="539161DA" w14:textId="1DB69F3A" w:rsidR="00E41FF9" w:rsidRDefault="00E41FF9">
          <w:pPr>
            <w:pStyle w:val="TOC3"/>
            <w:tabs>
              <w:tab w:val="left" w:pos="1440"/>
              <w:tab w:val="right" w:leader="dot" w:pos="9350"/>
            </w:tabs>
            <w:rPr>
              <w:rFonts w:asciiTheme="minorHAnsi" w:hAnsiTheme="minorHAnsi"/>
              <w:i w:val="0"/>
              <w:iCs w:val="0"/>
              <w:noProof/>
              <w:color w:val="auto"/>
              <w:sz w:val="22"/>
              <w:szCs w:val="22"/>
              <w:lang w:bidi="ar-SA"/>
            </w:rPr>
          </w:pPr>
          <w:hyperlink w:anchor="_Toc498505041" w:history="1">
            <w:r w:rsidRPr="000F4DD7">
              <w:rPr>
                <w:rStyle w:val="Hyperlink"/>
                <w:noProof/>
              </w:rPr>
              <w:t>3.3.2.</w:t>
            </w:r>
            <w:r>
              <w:rPr>
                <w:rFonts w:asciiTheme="minorHAnsi" w:hAnsiTheme="minorHAnsi"/>
                <w:i w:val="0"/>
                <w:iCs w:val="0"/>
                <w:noProof/>
                <w:color w:val="auto"/>
                <w:sz w:val="22"/>
                <w:szCs w:val="22"/>
                <w:lang w:bidi="ar-SA"/>
              </w:rPr>
              <w:tab/>
            </w:r>
            <w:r w:rsidRPr="000F4DD7">
              <w:rPr>
                <w:rStyle w:val="Hyperlink"/>
                <w:noProof/>
              </w:rPr>
              <w:t>Study site</w:t>
            </w:r>
            <w:r>
              <w:rPr>
                <w:noProof/>
                <w:webHidden/>
              </w:rPr>
              <w:tab/>
            </w:r>
            <w:r>
              <w:rPr>
                <w:noProof/>
                <w:webHidden/>
              </w:rPr>
              <w:fldChar w:fldCharType="begin"/>
            </w:r>
            <w:r>
              <w:rPr>
                <w:noProof/>
                <w:webHidden/>
              </w:rPr>
              <w:instrText xml:space="preserve"> PAGEREF _Toc498505041 \h </w:instrText>
            </w:r>
            <w:r>
              <w:rPr>
                <w:noProof/>
                <w:webHidden/>
              </w:rPr>
            </w:r>
            <w:r>
              <w:rPr>
                <w:noProof/>
                <w:webHidden/>
              </w:rPr>
              <w:fldChar w:fldCharType="separate"/>
            </w:r>
            <w:r w:rsidR="00627452">
              <w:rPr>
                <w:noProof/>
                <w:webHidden/>
              </w:rPr>
              <w:t>53</w:t>
            </w:r>
            <w:r>
              <w:rPr>
                <w:noProof/>
                <w:webHidden/>
              </w:rPr>
              <w:fldChar w:fldCharType="end"/>
            </w:r>
          </w:hyperlink>
        </w:p>
        <w:p w14:paraId="0B63D020" w14:textId="6922E4E8" w:rsidR="00E41FF9" w:rsidRDefault="00E41FF9">
          <w:pPr>
            <w:pStyle w:val="TOC3"/>
            <w:tabs>
              <w:tab w:val="left" w:pos="1440"/>
              <w:tab w:val="right" w:leader="dot" w:pos="9350"/>
            </w:tabs>
            <w:rPr>
              <w:rFonts w:asciiTheme="minorHAnsi" w:hAnsiTheme="minorHAnsi"/>
              <w:i w:val="0"/>
              <w:iCs w:val="0"/>
              <w:noProof/>
              <w:color w:val="auto"/>
              <w:sz w:val="22"/>
              <w:szCs w:val="22"/>
              <w:lang w:bidi="ar-SA"/>
            </w:rPr>
          </w:pPr>
          <w:hyperlink w:anchor="_Toc498505042" w:history="1">
            <w:r w:rsidRPr="000F4DD7">
              <w:rPr>
                <w:rStyle w:val="Hyperlink"/>
                <w:noProof/>
              </w:rPr>
              <w:t>3.3.3.</w:t>
            </w:r>
            <w:r>
              <w:rPr>
                <w:rFonts w:asciiTheme="minorHAnsi" w:hAnsiTheme="minorHAnsi"/>
                <w:i w:val="0"/>
                <w:iCs w:val="0"/>
                <w:noProof/>
                <w:color w:val="auto"/>
                <w:sz w:val="22"/>
                <w:szCs w:val="22"/>
                <w:lang w:bidi="ar-SA"/>
              </w:rPr>
              <w:tab/>
            </w:r>
            <w:r w:rsidRPr="000F4DD7">
              <w:rPr>
                <w:rStyle w:val="Hyperlink"/>
                <w:noProof/>
              </w:rPr>
              <w:t>Hydraulic gradient</w:t>
            </w:r>
            <w:r>
              <w:rPr>
                <w:noProof/>
                <w:webHidden/>
              </w:rPr>
              <w:tab/>
            </w:r>
            <w:r>
              <w:rPr>
                <w:noProof/>
                <w:webHidden/>
              </w:rPr>
              <w:fldChar w:fldCharType="begin"/>
            </w:r>
            <w:r>
              <w:rPr>
                <w:noProof/>
                <w:webHidden/>
              </w:rPr>
              <w:instrText xml:space="preserve"> PAGEREF _Toc498505042 \h </w:instrText>
            </w:r>
            <w:r>
              <w:rPr>
                <w:noProof/>
                <w:webHidden/>
              </w:rPr>
            </w:r>
            <w:r>
              <w:rPr>
                <w:noProof/>
                <w:webHidden/>
              </w:rPr>
              <w:fldChar w:fldCharType="separate"/>
            </w:r>
            <w:r w:rsidR="00627452">
              <w:rPr>
                <w:noProof/>
                <w:webHidden/>
              </w:rPr>
              <w:t>57</w:t>
            </w:r>
            <w:r>
              <w:rPr>
                <w:noProof/>
                <w:webHidden/>
              </w:rPr>
              <w:fldChar w:fldCharType="end"/>
            </w:r>
          </w:hyperlink>
        </w:p>
        <w:p w14:paraId="0F340CA2" w14:textId="7A879588" w:rsidR="00E41FF9" w:rsidRDefault="00E41FF9">
          <w:pPr>
            <w:pStyle w:val="TOC3"/>
            <w:tabs>
              <w:tab w:val="left" w:pos="1440"/>
              <w:tab w:val="right" w:leader="dot" w:pos="9350"/>
            </w:tabs>
            <w:rPr>
              <w:rFonts w:asciiTheme="minorHAnsi" w:hAnsiTheme="minorHAnsi"/>
              <w:i w:val="0"/>
              <w:iCs w:val="0"/>
              <w:noProof/>
              <w:color w:val="auto"/>
              <w:sz w:val="22"/>
              <w:szCs w:val="22"/>
              <w:lang w:bidi="ar-SA"/>
            </w:rPr>
          </w:pPr>
          <w:hyperlink w:anchor="_Toc498505043" w:history="1">
            <w:r w:rsidRPr="000F4DD7">
              <w:rPr>
                <w:rStyle w:val="Hyperlink"/>
                <w:noProof/>
              </w:rPr>
              <w:t>3.3.4.</w:t>
            </w:r>
            <w:r>
              <w:rPr>
                <w:rFonts w:asciiTheme="minorHAnsi" w:hAnsiTheme="minorHAnsi"/>
                <w:i w:val="0"/>
                <w:iCs w:val="0"/>
                <w:noProof/>
                <w:color w:val="auto"/>
                <w:sz w:val="22"/>
                <w:szCs w:val="22"/>
                <w:lang w:bidi="ar-SA"/>
              </w:rPr>
              <w:tab/>
            </w:r>
            <w:r w:rsidRPr="000F4DD7">
              <w:rPr>
                <w:rStyle w:val="Hyperlink"/>
                <w:noProof/>
              </w:rPr>
              <w:t>Hydraulic conductivity</w:t>
            </w:r>
            <w:r>
              <w:rPr>
                <w:noProof/>
                <w:webHidden/>
              </w:rPr>
              <w:tab/>
            </w:r>
            <w:r>
              <w:rPr>
                <w:noProof/>
                <w:webHidden/>
              </w:rPr>
              <w:fldChar w:fldCharType="begin"/>
            </w:r>
            <w:r>
              <w:rPr>
                <w:noProof/>
                <w:webHidden/>
              </w:rPr>
              <w:instrText xml:space="preserve"> PAGEREF _Toc498505043 \h </w:instrText>
            </w:r>
            <w:r>
              <w:rPr>
                <w:noProof/>
                <w:webHidden/>
              </w:rPr>
            </w:r>
            <w:r>
              <w:rPr>
                <w:noProof/>
                <w:webHidden/>
              </w:rPr>
              <w:fldChar w:fldCharType="separate"/>
            </w:r>
            <w:r w:rsidR="00627452">
              <w:rPr>
                <w:noProof/>
                <w:webHidden/>
              </w:rPr>
              <w:t>58</w:t>
            </w:r>
            <w:r>
              <w:rPr>
                <w:noProof/>
                <w:webHidden/>
              </w:rPr>
              <w:fldChar w:fldCharType="end"/>
            </w:r>
          </w:hyperlink>
        </w:p>
        <w:p w14:paraId="5AD54E62" w14:textId="6427E085" w:rsidR="00E41FF9" w:rsidRDefault="00E41FF9">
          <w:pPr>
            <w:pStyle w:val="TOC3"/>
            <w:tabs>
              <w:tab w:val="left" w:pos="1440"/>
              <w:tab w:val="right" w:leader="dot" w:pos="9350"/>
            </w:tabs>
            <w:rPr>
              <w:rFonts w:asciiTheme="minorHAnsi" w:hAnsiTheme="minorHAnsi"/>
              <w:i w:val="0"/>
              <w:iCs w:val="0"/>
              <w:noProof/>
              <w:color w:val="auto"/>
              <w:sz w:val="22"/>
              <w:szCs w:val="22"/>
              <w:lang w:bidi="ar-SA"/>
            </w:rPr>
          </w:pPr>
          <w:hyperlink w:anchor="_Toc498505044" w:history="1">
            <w:r w:rsidRPr="000F4DD7">
              <w:rPr>
                <w:rStyle w:val="Hyperlink"/>
                <w:noProof/>
              </w:rPr>
              <w:t>3.3.5.</w:t>
            </w:r>
            <w:r>
              <w:rPr>
                <w:rFonts w:asciiTheme="minorHAnsi" w:hAnsiTheme="minorHAnsi"/>
                <w:i w:val="0"/>
                <w:iCs w:val="0"/>
                <w:noProof/>
                <w:color w:val="auto"/>
                <w:sz w:val="22"/>
                <w:szCs w:val="22"/>
                <w:lang w:bidi="ar-SA"/>
              </w:rPr>
              <w:tab/>
            </w:r>
            <w:r w:rsidRPr="000F4DD7">
              <w:rPr>
                <w:rStyle w:val="Hyperlink"/>
                <w:noProof/>
              </w:rPr>
              <w:t>Effective porosity</w:t>
            </w:r>
            <w:r>
              <w:rPr>
                <w:noProof/>
                <w:webHidden/>
              </w:rPr>
              <w:tab/>
            </w:r>
            <w:r>
              <w:rPr>
                <w:noProof/>
                <w:webHidden/>
              </w:rPr>
              <w:fldChar w:fldCharType="begin"/>
            </w:r>
            <w:r>
              <w:rPr>
                <w:noProof/>
                <w:webHidden/>
              </w:rPr>
              <w:instrText xml:space="preserve"> PAGEREF _Toc498505044 \h </w:instrText>
            </w:r>
            <w:r>
              <w:rPr>
                <w:noProof/>
                <w:webHidden/>
              </w:rPr>
            </w:r>
            <w:r>
              <w:rPr>
                <w:noProof/>
                <w:webHidden/>
              </w:rPr>
              <w:fldChar w:fldCharType="separate"/>
            </w:r>
            <w:r w:rsidR="00627452">
              <w:rPr>
                <w:noProof/>
                <w:webHidden/>
              </w:rPr>
              <w:t>59</w:t>
            </w:r>
            <w:r>
              <w:rPr>
                <w:noProof/>
                <w:webHidden/>
              </w:rPr>
              <w:fldChar w:fldCharType="end"/>
            </w:r>
          </w:hyperlink>
        </w:p>
        <w:p w14:paraId="442CF3E5" w14:textId="0900E532" w:rsidR="00E41FF9" w:rsidRDefault="00E41FF9">
          <w:pPr>
            <w:pStyle w:val="TOC3"/>
            <w:tabs>
              <w:tab w:val="left" w:pos="1440"/>
              <w:tab w:val="right" w:leader="dot" w:pos="9350"/>
            </w:tabs>
            <w:rPr>
              <w:rFonts w:asciiTheme="minorHAnsi" w:hAnsiTheme="minorHAnsi"/>
              <w:i w:val="0"/>
              <w:iCs w:val="0"/>
              <w:noProof/>
              <w:color w:val="auto"/>
              <w:sz w:val="22"/>
              <w:szCs w:val="22"/>
              <w:lang w:bidi="ar-SA"/>
            </w:rPr>
          </w:pPr>
          <w:hyperlink w:anchor="_Toc498505045" w:history="1">
            <w:r w:rsidRPr="000F4DD7">
              <w:rPr>
                <w:rStyle w:val="Hyperlink"/>
                <w:noProof/>
              </w:rPr>
              <w:t>3.3.6.</w:t>
            </w:r>
            <w:r>
              <w:rPr>
                <w:rFonts w:asciiTheme="minorHAnsi" w:hAnsiTheme="minorHAnsi"/>
                <w:i w:val="0"/>
                <w:iCs w:val="0"/>
                <w:noProof/>
                <w:color w:val="auto"/>
                <w:sz w:val="22"/>
                <w:szCs w:val="22"/>
                <w:lang w:bidi="ar-SA"/>
              </w:rPr>
              <w:tab/>
            </w:r>
            <w:r w:rsidRPr="000F4DD7">
              <w:rPr>
                <w:rStyle w:val="Hyperlink"/>
                <w:noProof/>
              </w:rPr>
              <w:t>Uncertainty analysis</w:t>
            </w:r>
            <w:r>
              <w:rPr>
                <w:noProof/>
                <w:webHidden/>
              </w:rPr>
              <w:tab/>
            </w:r>
            <w:r>
              <w:rPr>
                <w:noProof/>
                <w:webHidden/>
              </w:rPr>
              <w:fldChar w:fldCharType="begin"/>
            </w:r>
            <w:r>
              <w:rPr>
                <w:noProof/>
                <w:webHidden/>
              </w:rPr>
              <w:instrText xml:space="preserve"> PAGEREF _Toc498505045 \h </w:instrText>
            </w:r>
            <w:r>
              <w:rPr>
                <w:noProof/>
                <w:webHidden/>
              </w:rPr>
            </w:r>
            <w:r>
              <w:rPr>
                <w:noProof/>
                <w:webHidden/>
              </w:rPr>
              <w:fldChar w:fldCharType="separate"/>
            </w:r>
            <w:r w:rsidR="00627452">
              <w:rPr>
                <w:noProof/>
                <w:webHidden/>
              </w:rPr>
              <w:t>60</w:t>
            </w:r>
            <w:r>
              <w:rPr>
                <w:noProof/>
                <w:webHidden/>
              </w:rPr>
              <w:fldChar w:fldCharType="end"/>
            </w:r>
          </w:hyperlink>
        </w:p>
        <w:p w14:paraId="0B95806C" w14:textId="07A85231" w:rsidR="00E41FF9" w:rsidRDefault="00E41FF9">
          <w:pPr>
            <w:pStyle w:val="TOC2"/>
            <w:tabs>
              <w:tab w:val="left" w:pos="960"/>
              <w:tab w:val="right" w:leader="dot" w:pos="9350"/>
            </w:tabs>
            <w:rPr>
              <w:rFonts w:asciiTheme="minorHAnsi" w:hAnsiTheme="minorHAnsi"/>
              <w:noProof/>
              <w:color w:val="auto"/>
              <w:sz w:val="22"/>
              <w:szCs w:val="22"/>
              <w:lang w:bidi="ar-SA"/>
            </w:rPr>
          </w:pPr>
          <w:hyperlink w:anchor="_Toc498505046" w:history="1">
            <w:r w:rsidRPr="00452013">
              <w:rPr>
                <w:rStyle w:val="Hyperlink"/>
                <w:b/>
                <w:noProof/>
              </w:rPr>
              <w:t>3.4.</w:t>
            </w:r>
            <w:r w:rsidRPr="00452013">
              <w:rPr>
                <w:rFonts w:asciiTheme="minorHAnsi" w:hAnsiTheme="minorHAnsi"/>
                <w:b/>
                <w:noProof/>
                <w:color w:val="auto"/>
                <w:sz w:val="22"/>
                <w:szCs w:val="22"/>
                <w:lang w:bidi="ar-SA"/>
              </w:rPr>
              <w:tab/>
            </w:r>
            <w:r w:rsidRPr="00452013">
              <w:rPr>
                <w:rStyle w:val="Hyperlink"/>
                <w:b/>
                <w:noProof/>
              </w:rPr>
              <w:t>Results</w:t>
            </w:r>
            <w:r>
              <w:rPr>
                <w:noProof/>
                <w:webHidden/>
              </w:rPr>
              <w:tab/>
            </w:r>
            <w:r>
              <w:rPr>
                <w:noProof/>
                <w:webHidden/>
              </w:rPr>
              <w:fldChar w:fldCharType="begin"/>
            </w:r>
            <w:r>
              <w:rPr>
                <w:noProof/>
                <w:webHidden/>
              </w:rPr>
              <w:instrText xml:space="preserve"> PAGEREF _Toc498505046 \h </w:instrText>
            </w:r>
            <w:r>
              <w:rPr>
                <w:noProof/>
                <w:webHidden/>
              </w:rPr>
            </w:r>
            <w:r>
              <w:rPr>
                <w:noProof/>
                <w:webHidden/>
              </w:rPr>
              <w:fldChar w:fldCharType="separate"/>
            </w:r>
            <w:r w:rsidR="00627452">
              <w:rPr>
                <w:noProof/>
                <w:webHidden/>
              </w:rPr>
              <w:t>60</w:t>
            </w:r>
            <w:r>
              <w:rPr>
                <w:noProof/>
                <w:webHidden/>
              </w:rPr>
              <w:fldChar w:fldCharType="end"/>
            </w:r>
          </w:hyperlink>
        </w:p>
        <w:p w14:paraId="016C55C0" w14:textId="61800446" w:rsidR="00E41FF9" w:rsidRDefault="00E41FF9">
          <w:pPr>
            <w:pStyle w:val="TOC3"/>
            <w:tabs>
              <w:tab w:val="left" w:pos="1440"/>
              <w:tab w:val="right" w:leader="dot" w:pos="9350"/>
            </w:tabs>
            <w:rPr>
              <w:rFonts w:asciiTheme="minorHAnsi" w:hAnsiTheme="minorHAnsi"/>
              <w:i w:val="0"/>
              <w:iCs w:val="0"/>
              <w:noProof/>
              <w:color w:val="auto"/>
              <w:sz w:val="22"/>
              <w:szCs w:val="22"/>
              <w:lang w:bidi="ar-SA"/>
            </w:rPr>
          </w:pPr>
          <w:hyperlink w:anchor="_Toc498505047" w:history="1">
            <w:r w:rsidRPr="000F4DD7">
              <w:rPr>
                <w:rStyle w:val="Hyperlink"/>
                <w:noProof/>
              </w:rPr>
              <w:t>3.4.1.</w:t>
            </w:r>
            <w:r>
              <w:rPr>
                <w:rFonts w:asciiTheme="minorHAnsi" w:hAnsiTheme="minorHAnsi"/>
                <w:i w:val="0"/>
                <w:iCs w:val="0"/>
                <w:noProof/>
                <w:color w:val="auto"/>
                <w:sz w:val="22"/>
                <w:szCs w:val="22"/>
                <w:lang w:bidi="ar-SA"/>
              </w:rPr>
              <w:tab/>
            </w:r>
            <w:r w:rsidRPr="000F4DD7">
              <w:rPr>
                <w:rStyle w:val="Hyperlink"/>
                <w:noProof/>
              </w:rPr>
              <w:t>Hydraulic gradient</w:t>
            </w:r>
            <w:r>
              <w:rPr>
                <w:noProof/>
                <w:webHidden/>
              </w:rPr>
              <w:tab/>
            </w:r>
            <w:r>
              <w:rPr>
                <w:noProof/>
                <w:webHidden/>
              </w:rPr>
              <w:fldChar w:fldCharType="begin"/>
            </w:r>
            <w:r>
              <w:rPr>
                <w:noProof/>
                <w:webHidden/>
              </w:rPr>
              <w:instrText xml:space="preserve"> PAGEREF _Toc498505047 \h </w:instrText>
            </w:r>
            <w:r>
              <w:rPr>
                <w:noProof/>
                <w:webHidden/>
              </w:rPr>
            </w:r>
            <w:r>
              <w:rPr>
                <w:noProof/>
                <w:webHidden/>
              </w:rPr>
              <w:fldChar w:fldCharType="separate"/>
            </w:r>
            <w:r w:rsidR="00627452">
              <w:rPr>
                <w:noProof/>
                <w:webHidden/>
              </w:rPr>
              <w:t>60</w:t>
            </w:r>
            <w:r>
              <w:rPr>
                <w:noProof/>
                <w:webHidden/>
              </w:rPr>
              <w:fldChar w:fldCharType="end"/>
            </w:r>
          </w:hyperlink>
        </w:p>
        <w:p w14:paraId="3422682A" w14:textId="7A2037A0" w:rsidR="00E41FF9" w:rsidRDefault="00E41FF9">
          <w:pPr>
            <w:pStyle w:val="TOC3"/>
            <w:tabs>
              <w:tab w:val="left" w:pos="1440"/>
              <w:tab w:val="right" w:leader="dot" w:pos="9350"/>
            </w:tabs>
            <w:rPr>
              <w:rFonts w:asciiTheme="minorHAnsi" w:hAnsiTheme="minorHAnsi"/>
              <w:i w:val="0"/>
              <w:iCs w:val="0"/>
              <w:noProof/>
              <w:color w:val="auto"/>
              <w:sz w:val="22"/>
              <w:szCs w:val="22"/>
              <w:lang w:bidi="ar-SA"/>
            </w:rPr>
          </w:pPr>
          <w:hyperlink w:anchor="_Toc498505048" w:history="1">
            <w:r w:rsidRPr="000F4DD7">
              <w:rPr>
                <w:rStyle w:val="Hyperlink"/>
                <w:noProof/>
              </w:rPr>
              <w:t>3.4.2.</w:t>
            </w:r>
            <w:r>
              <w:rPr>
                <w:rFonts w:asciiTheme="minorHAnsi" w:hAnsiTheme="minorHAnsi"/>
                <w:i w:val="0"/>
                <w:iCs w:val="0"/>
                <w:noProof/>
                <w:color w:val="auto"/>
                <w:sz w:val="22"/>
                <w:szCs w:val="22"/>
                <w:lang w:bidi="ar-SA"/>
              </w:rPr>
              <w:tab/>
            </w:r>
            <w:r w:rsidRPr="000F4DD7">
              <w:rPr>
                <w:rStyle w:val="Hyperlink"/>
                <w:noProof/>
              </w:rPr>
              <w:t>Hydraulic conductivity</w:t>
            </w:r>
            <w:r>
              <w:rPr>
                <w:noProof/>
                <w:webHidden/>
              </w:rPr>
              <w:tab/>
            </w:r>
            <w:r>
              <w:rPr>
                <w:noProof/>
                <w:webHidden/>
              </w:rPr>
              <w:fldChar w:fldCharType="begin"/>
            </w:r>
            <w:r>
              <w:rPr>
                <w:noProof/>
                <w:webHidden/>
              </w:rPr>
              <w:instrText xml:space="preserve"> PAGEREF _Toc498505048 \h </w:instrText>
            </w:r>
            <w:r>
              <w:rPr>
                <w:noProof/>
                <w:webHidden/>
              </w:rPr>
            </w:r>
            <w:r>
              <w:rPr>
                <w:noProof/>
                <w:webHidden/>
              </w:rPr>
              <w:fldChar w:fldCharType="separate"/>
            </w:r>
            <w:r w:rsidR="00627452">
              <w:rPr>
                <w:noProof/>
                <w:webHidden/>
              </w:rPr>
              <w:t>61</w:t>
            </w:r>
            <w:r>
              <w:rPr>
                <w:noProof/>
                <w:webHidden/>
              </w:rPr>
              <w:fldChar w:fldCharType="end"/>
            </w:r>
          </w:hyperlink>
        </w:p>
        <w:p w14:paraId="2702DCB1" w14:textId="29B2A774" w:rsidR="00E41FF9" w:rsidRDefault="00E41FF9">
          <w:pPr>
            <w:pStyle w:val="TOC3"/>
            <w:tabs>
              <w:tab w:val="left" w:pos="1440"/>
              <w:tab w:val="right" w:leader="dot" w:pos="9350"/>
            </w:tabs>
            <w:rPr>
              <w:rFonts w:asciiTheme="minorHAnsi" w:hAnsiTheme="minorHAnsi"/>
              <w:i w:val="0"/>
              <w:iCs w:val="0"/>
              <w:noProof/>
              <w:color w:val="auto"/>
              <w:sz w:val="22"/>
              <w:szCs w:val="22"/>
              <w:lang w:bidi="ar-SA"/>
            </w:rPr>
          </w:pPr>
          <w:hyperlink w:anchor="_Toc498505049" w:history="1">
            <w:r w:rsidRPr="000F4DD7">
              <w:rPr>
                <w:rStyle w:val="Hyperlink"/>
                <w:noProof/>
              </w:rPr>
              <w:t>3.4.3.</w:t>
            </w:r>
            <w:r>
              <w:rPr>
                <w:rFonts w:asciiTheme="minorHAnsi" w:hAnsiTheme="minorHAnsi"/>
                <w:i w:val="0"/>
                <w:iCs w:val="0"/>
                <w:noProof/>
                <w:color w:val="auto"/>
                <w:sz w:val="22"/>
                <w:szCs w:val="22"/>
                <w:lang w:bidi="ar-SA"/>
              </w:rPr>
              <w:tab/>
            </w:r>
            <w:r w:rsidRPr="000F4DD7">
              <w:rPr>
                <w:rStyle w:val="Hyperlink"/>
                <w:noProof/>
              </w:rPr>
              <w:t>Effective porosity</w:t>
            </w:r>
            <w:r>
              <w:rPr>
                <w:noProof/>
                <w:webHidden/>
              </w:rPr>
              <w:tab/>
            </w:r>
            <w:r>
              <w:rPr>
                <w:noProof/>
                <w:webHidden/>
              </w:rPr>
              <w:fldChar w:fldCharType="begin"/>
            </w:r>
            <w:r>
              <w:rPr>
                <w:noProof/>
                <w:webHidden/>
              </w:rPr>
              <w:instrText xml:space="preserve"> PAGEREF _Toc498505049 \h </w:instrText>
            </w:r>
            <w:r>
              <w:rPr>
                <w:noProof/>
                <w:webHidden/>
              </w:rPr>
            </w:r>
            <w:r>
              <w:rPr>
                <w:noProof/>
                <w:webHidden/>
              </w:rPr>
              <w:fldChar w:fldCharType="separate"/>
            </w:r>
            <w:r w:rsidR="00627452">
              <w:rPr>
                <w:noProof/>
                <w:webHidden/>
              </w:rPr>
              <w:t>63</w:t>
            </w:r>
            <w:r>
              <w:rPr>
                <w:noProof/>
                <w:webHidden/>
              </w:rPr>
              <w:fldChar w:fldCharType="end"/>
            </w:r>
          </w:hyperlink>
        </w:p>
        <w:p w14:paraId="33D93194" w14:textId="2B9472F9" w:rsidR="00E41FF9" w:rsidRDefault="00E41FF9">
          <w:pPr>
            <w:pStyle w:val="TOC3"/>
            <w:tabs>
              <w:tab w:val="left" w:pos="1440"/>
              <w:tab w:val="right" w:leader="dot" w:pos="9350"/>
            </w:tabs>
            <w:rPr>
              <w:rFonts w:asciiTheme="minorHAnsi" w:hAnsiTheme="minorHAnsi"/>
              <w:i w:val="0"/>
              <w:iCs w:val="0"/>
              <w:noProof/>
              <w:color w:val="auto"/>
              <w:sz w:val="22"/>
              <w:szCs w:val="22"/>
              <w:lang w:bidi="ar-SA"/>
            </w:rPr>
          </w:pPr>
          <w:hyperlink w:anchor="_Toc498505050" w:history="1">
            <w:r w:rsidRPr="000F4DD7">
              <w:rPr>
                <w:rStyle w:val="Hyperlink"/>
                <w:noProof/>
              </w:rPr>
              <w:t>3.4.4.</w:t>
            </w:r>
            <w:r>
              <w:rPr>
                <w:rFonts w:asciiTheme="minorHAnsi" w:hAnsiTheme="minorHAnsi"/>
                <w:i w:val="0"/>
                <w:iCs w:val="0"/>
                <w:noProof/>
                <w:color w:val="auto"/>
                <w:sz w:val="22"/>
                <w:szCs w:val="22"/>
                <w:lang w:bidi="ar-SA"/>
              </w:rPr>
              <w:tab/>
            </w:r>
            <w:r w:rsidRPr="000F4DD7">
              <w:rPr>
                <w:rStyle w:val="Hyperlink"/>
                <w:noProof/>
              </w:rPr>
              <w:t>Uncertainty analysis</w:t>
            </w:r>
            <w:r>
              <w:rPr>
                <w:noProof/>
                <w:webHidden/>
              </w:rPr>
              <w:tab/>
            </w:r>
            <w:r>
              <w:rPr>
                <w:noProof/>
                <w:webHidden/>
              </w:rPr>
              <w:fldChar w:fldCharType="begin"/>
            </w:r>
            <w:r>
              <w:rPr>
                <w:noProof/>
                <w:webHidden/>
              </w:rPr>
              <w:instrText xml:space="preserve"> PAGEREF _Toc498505050 \h </w:instrText>
            </w:r>
            <w:r>
              <w:rPr>
                <w:noProof/>
                <w:webHidden/>
              </w:rPr>
            </w:r>
            <w:r>
              <w:rPr>
                <w:noProof/>
                <w:webHidden/>
              </w:rPr>
              <w:fldChar w:fldCharType="separate"/>
            </w:r>
            <w:r w:rsidR="00627452">
              <w:rPr>
                <w:noProof/>
                <w:webHidden/>
              </w:rPr>
              <w:t>67</w:t>
            </w:r>
            <w:r>
              <w:rPr>
                <w:noProof/>
                <w:webHidden/>
              </w:rPr>
              <w:fldChar w:fldCharType="end"/>
            </w:r>
          </w:hyperlink>
        </w:p>
        <w:p w14:paraId="2E4FD099" w14:textId="489343D4" w:rsidR="00E41FF9" w:rsidRDefault="00E41FF9">
          <w:pPr>
            <w:pStyle w:val="TOC2"/>
            <w:tabs>
              <w:tab w:val="left" w:pos="960"/>
              <w:tab w:val="right" w:leader="dot" w:pos="9350"/>
            </w:tabs>
            <w:rPr>
              <w:rFonts w:asciiTheme="minorHAnsi" w:hAnsiTheme="minorHAnsi"/>
              <w:noProof/>
              <w:color w:val="auto"/>
              <w:sz w:val="22"/>
              <w:szCs w:val="22"/>
              <w:lang w:bidi="ar-SA"/>
            </w:rPr>
          </w:pPr>
          <w:hyperlink w:anchor="_Toc498505051" w:history="1">
            <w:r w:rsidRPr="00452013">
              <w:rPr>
                <w:rStyle w:val="Hyperlink"/>
                <w:b/>
                <w:noProof/>
              </w:rPr>
              <w:t>3.5.</w:t>
            </w:r>
            <w:r w:rsidRPr="00452013">
              <w:rPr>
                <w:rFonts w:asciiTheme="minorHAnsi" w:hAnsiTheme="minorHAnsi"/>
                <w:b/>
                <w:noProof/>
                <w:color w:val="auto"/>
                <w:sz w:val="22"/>
                <w:szCs w:val="22"/>
                <w:lang w:bidi="ar-SA"/>
              </w:rPr>
              <w:tab/>
            </w:r>
            <w:r w:rsidRPr="00452013">
              <w:rPr>
                <w:rStyle w:val="Hyperlink"/>
                <w:b/>
                <w:noProof/>
              </w:rPr>
              <w:t>Discussion</w:t>
            </w:r>
            <w:r>
              <w:rPr>
                <w:noProof/>
                <w:webHidden/>
              </w:rPr>
              <w:tab/>
            </w:r>
            <w:r>
              <w:rPr>
                <w:noProof/>
                <w:webHidden/>
              </w:rPr>
              <w:fldChar w:fldCharType="begin"/>
            </w:r>
            <w:r>
              <w:rPr>
                <w:noProof/>
                <w:webHidden/>
              </w:rPr>
              <w:instrText xml:space="preserve"> PAGEREF _Toc498505051 \h </w:instrText>
            </w:r>
            <w:r>
              <w:rPr>
                <w:noProof/>
                <w:webHidden/>
              </w:rPr>
            </w:r>
            <w:r>
              <w:rPr>
                <w:noProof/>
                <w:webHidden/>
              </w:rPr>
              <w:fldChar w:fldCharType="separate"/>
            </w:r>
            <w:r w:rsidR="00627452">
              <w:rPr>
                <w:noProof/>
                <w:webHidden/>
              </w:rPr>
              <w:t>70</w:t>
            </w:r>
            <w:r>
              <w:rPr>
                <w:noProof/>
                <w:webHidden/>
              </w:rPr>
              <w:fldChar w:fldCharType="end"/>
            </w:r>
          </w:hyperlink>
        </w:p>
        <w:p w14:paraId="470246E6" w14:textId="4CD64E3F" w:rsidR="00E41FF9" w:rsidRDefault="00E41FF9">
          <w:pPr>
            <w:pStyle w:val="TOC3"/>
            <w:tabs>
              <w:tab w:val="left" w:pos="1440"/>
              <w:tab w:val="right" w:leader="dot" w:pos="9350"/>
            </w:tabs>
            <w:rPr>
              <w:rFonts w:asciiTheme="minorHAnsi" w:hAnsiTheme="minorHAnsi"/>
              <w:i w:val="0"/>
              <w:iCs w:val="0"/>
              <w:noProof/>
              <w:color w:val="auto"/>
              <w:sz w:val="22"/>
              <w:szCs w:val="22"/>
              <w:lang w:bidi="ar-SA"/>
            </w:rPr>
          </w:pPr>
          <w:hyperlink w:anchor="_Toc498505052" w:history="1">
            <w:r w:rsidRPr="000F4DD7">
              <w:rPr>
                <w:rStyle w:val="Hyperlink"/>
                <w:noProof/>
              </w:rPr>
              <w:t>3.5.1.</w:t>
            </w:r>
            <w:r>
              <w:rPr>
                <w:rFonts w:asciiTheme="minorHAnsi" w:hAnsiTheme="minorHAnsi"/>
                <w:i w:val="0"/>
                <w:iCs w:val="0"/>
                <w:noProof/>
                <w:color w:val="auto"/>
                <w:sz w:val="22"/>
                <w:szCs w:val="22"/>
                <w:lang w:bidi="ar-SA"/>
              </w:rPr>
              <w:tab/>
            </w:r>
            <w:r w:rsidRPr="000F4DD7">
              <w:rPr>
                <w:rStyle w:val="Hyperlink"/>
                <w:noProof/>
              </w:rPr>
              <w:t xml:space="preserve"> Hydraulic gradient</w:t>
            </w:r>
            <w:r>
              <w:rPr>
                <w:noProof/>
                <w:webHidden/>
              </w:rPr>
              <w:tab/>
            </w:r>
            <w:r>
              <w:rPr>
                <w:noProof/>
                <w:webHidden/>
              </w:rPr>
              <w:fldChar w:fldCharType="begin"/>
            </w:r>
            <w:r>
              <w:rPr>
                <w:noProof/>
                <w:webHidden/>
              </w:rPr>
              <w:instrText xml:space="preserve"> PAGEREF _Toc498505052 \h </w:instrText>
            </w:r>
            <w:r>
              <w:rPr>
                <w:noProof/>
                <w:webHidden/>
              </w:rPr>
            </w:r>
            <w:r>
              <w:rPr>
                <w:noProof/>
                <w:webHidden/>
              </w:rPr>
              <w:fldChar w:fldCharType="separate"/>
            </w:r>
            <w:r w:rsidR="00627452">
              <w:rPr>
                <w:noProof/>
                <w:webHidden/>
              </w:rPr>
              <w:t>70</w:t>
            </w:r>
            <w:r>
              <w:rPr>
                <w:noProof/>
                <w:webHidden/>
              </w:rPr>
              <w:fldChar w:fldCharType="end"/>
            </w:r>
          </w:hyperlink>
        </w:p>
        <w:p w14:paraId="3D66C86C" w14:textId="7D846358" w:rsidR="00E41FF9" w:rsidRDefault="00E41FF9">
          <w:pPr>
            <w:pStyle w:val="TOC3"/>
            <w:tabs>
              <w:tab w:val="left" w:pos="1440"/>
              <w:tab w:val="right" w:leader="dot" w:pos="9350"/>
            </w:tabs>
            <w:rPr>
              <w:rFonts w:asciiTheme="minorHAnsi" w:hAnsiTheme="minorHAnsi"/>
              <w:i w:val="0"/>
              <w:iCs w:val="0"/>
              <w:noProof/>
              <w:color w:val="auto"/>
              <w:sz w:val="22"/>
              <w:szCs w:val="22"/>
              <w:lang w:bidi="ar-SA"/>
            </w:rPr>
          </w:pPr>
          <w:hyperlink w:anchor="_Toc498505053" w:history="1">
            <w:r w:rsidRPr="000F4DD7">
              <w:rPr>
                <w:rStyle w:val="Hyperlink"/>
                <w:noProof/>
              </w:rPr>
              <w:t>3.5.2.</w:t>
            </w:r>
            <w:r>
              <w:rPr>
                <w:rFonts w:asciiTheme="minorHAnsi" w:hAnsiTheme="minorHAnsi"/>
                <w:i w:val="0"/>
                <w:iCs w:val="0"/>
                <w:noProof/>
                <w:color w:val="auto"/>
                <w:sz w:val="22"/>
                <w:szCs w:val="22"/>
                <w:lang w:bidi="ar-SA"/>
              </w:rPr>
              <w:tab/>
            </w:r>
            <w:r w:rsidRPr="000F4DD7">
              <w:rPr>
                <w:rStyle w:val="Hyperlink"/>
                <w:noProof/>
              </w:rPr>
              <w:t>Hydraulic conductivity</w:t>
            </w:r>
            <w:r>
              <w:rPr>
                <w:noProof/>
                <w:webHidden/>
              </w:rPr>
              <w:tab/>
            </w:r>
            <w:r>
              <w:rPr>
                <w:noProof/>
                <w:webHidden/>
              </w:rPr>
              <w:fldChar w:fldCharType="begin"/>
            </w:r>
            <w:r>
              <w:rPr>
                <w:noProof/>
                <w:webHidden/>
              </w:rPr>
              <w:instrText xml:space="preserve"> PAGEREF _Toc498505053 \h </w:instrText>
            </w:r>
            <w:r>
              <w:rPr>
                <w:noProof/>
                <w:webHidden/>
              </w:rPr>
            </w:r>
            <w:r>
              <w:rPr>
                <w:noProof/>
                <w:webHidden/>
              </w:rPr>
              <w:fldChar w:fldCharType="separate"/>
            </w:r>
            <w:r w:rsidR="00627452">
              <w:rPr>
                <w:noProof/>
                <w:webHidden/>
              </w:rPr>
              <w:t>70</w:t>
            </w:r>
            <w:r>
              <w:rPr>
                <w:noProof/>
                <w:webHidden/>
              </w:rPr>
              <w:fldChar w:fldCharType="end"/>
            </w:r>
          </w:hyperlink>
        </w:p>
        <w:p w14:paraId="2B23B7BE" w14:textId="7DE7D2EB" w:rsidR="00E41FF9" w:rsidRDefault="00E41FF9">
          <w:pPr>
            <w:pStyle w:val="TOC3"/>
            <w:tabs>
              <w:tab w:val="left" w:pos="1440"/>
              <w:tab w:val="right" w:leader="dot" w:pos="9350"/>
            </w:tabs>
            <w:rPr>
              <w:rFonts w:asciiTheme="minorHAnsi" w:hAnsiTheme="minorHAnsi"/>
              <w:i w:val="0"/>
              <w:iCs w:val="0"/>
              <w:noProof/>
              <w:color w:val="auto"/>
              <w:sz w:val="22"/>
              <w:szCs w:val="22"/>
              <w:lang w:bidi="ar-SA"/>
            </w:rPr>
          </w:pPr>
          <w:hyperlink w:anchor="_Toc498505054" w:history="1">
            <w:r w:rsidRPr="000F4DD7">
              <w:rPr>
                <w:rStyle w:val="Hyperlink"/>
                <w:noProof/>
              </w:rPr>
              <w:t>3.5.3.</w:t>
            </w:r>
            <w:r>
              <w:rPr>
                <w:rFonts w:asciiTheme="minorHAnsi" w:hAnsiTheme="minorHAnsi"/>
                <w:i w:val="0"/>
                <w:iCs w:val="0"/>
                <w:noProof/>
                <w:color w:val="auto"/>
                <w:sz w:val="22"/>
                <w:szCs w:val="22"/>
                <w:lang w:bidi="ar-SA"/>
              </w:rPr>
              <w:tab/>
            </w:r>
            <w:r w:rsidRPr="000F4DD7">
              <w:rPr>
                <w:rStyle w:val="Hyperlink"/>
                <w:noProof/>
              </w:rPr>
              <w:t>Effective porosity</w:t>
            </w:r>
            <w:r>
              <w:rPr>
                <w:noProof/>
                <w:webHidden/>
              </w:rPr>
              <w:tab/>
            </w:r>
            <w:r>
              <w:rPr>
                <w:noProof/>
                <w:webHidden/>
              </w:rPr>
              <w:fldChar w:fldCharType="begin"/>
            </w:r>
            <w:r>
              <w:rPr>
                <w:noProof/>
                <w:webHidden/>
              </w:rPr>
              <w:instrText xml:space="preserve"> PAGEREF _Toc498505054 \h </w:instrText>
            </w:r>
            <w:r>
              <w:rPr>
                <w:noProof/>
                <w:webHidden/>
              </w:rPr>
            </w:r>
            <w:r>
              <w:rPr>
                <w:noProof/>
                <w:webHidden/>
              </w:rPr>
              <w:fldChar w:fldCharType="separate"/>
            </w:r>
            <w:r w:rsidR="00627452">
              <w:rPr>
                <w:noProof/>
                <w:webHidden/>
              </w:rPr>
              <w:t>72</w:t>
            </w:r>
            <w:r>
              <w:rPr>
                <w:noProof/>
                <w:webHidden/>
              </w:rPr>
              <w:fldChar w:fldCharType="end"/>
            </w:r>
          </w:hyperlink>
        </w:p>
        <w:p w14:paraId="144CCC11" w14:textId="50F32C30" w:rsidR="00E41FF9" w:rsidRDefault="00E41FF9">
          <w:pPr>
            <w:pStyle w:val="TOC3"/>
            <w:tabs>
              <w:tab w:val="left" w:pos="1440"/>
              <w:tab w:val="right" w:leader="dot" w:pos="9350"/>
            </w:tabs>
            <w:rPr>
              <w:rFonts w:asciiTheme="minorHAnsi" w:hAnsiTheme="minorHAnsi"/>
              <w:i w:val="0"/>
              <w:iCs w:val="0"/>
              <w:noProof/>
              <w:color w:val="auto"/>
              <w:sz w:val="22"/>
              <w:szCs w:val="22"/>
              <w:lang w:bidi="ar-SA"/>
            </w:rPr>
          </w:pPr>
          <w:hyperlink w:anchor="_Toc498505055" w:history="1">
            <w:r w:rsidRPr="000F4DD7">
              <w:rPr>
                <w:rStyle w:val="Hyperlink"/>
                <w:noProof/>
              </w:rPr>
              <w:t>3.5.4.</w:t>
            </w:r>
            <w:r>
              <w:rPr>
                <w:rFonts w:asciiTheme="minorHAnsi" w:hAnsiTheme="minorHAnsi"/>
                <w:i w:val="0"/>
                <w:iCs w:val="0"/>
                <w:noProof/>
                <w:color w:val="auto"/>
                <w:sz w:val="22"/>
                <w:szCs w:val="22"/>
                <w:lang w:bidi="ar-SA"/>
              </w:rPr>
              <w:tab/>
            </w:r>
            <w:r w:rsidRPr="000F4DD7">
              <w:rPr>
                <w:rStyle w:val="Hyperlink"/>
                <w:noProof/>
              </w:rPr>
              <w:t>Uncertainty analysis</w:t>
            </w:r>
            <w:r>
              <w:rPr>
                <w:noProof/>
                <w:webHidden/>
              </w:rPr>
              <w:tab/>
            </w:r>
            <w:r>
              <w:rPr>
                <w:noProof/>
                <w:webHidden/>
              </w:rPr>
              <w:fldChar w:fldCharType="begin"/>
            </w:r>
            <w:r>
              <w:rPr>
                <w:noProof/>
                <w:webHidden/>
              </w:rPr>
              <w:instrText xml:space="preserve"> PAGEREF _Toc498505055 \h </w:instrText>
            </w:r>
            <w:r>
              <w:rPr>
                <w:noProof/>
                <w:webHidden/>
              </w:rPr>
            </w:r>
            <w:r>
              <w:rPr>
                <w:noProof/>
                <w:webHidden/>
              </w:rPr>
              <w:fldChar w:fldCharType="separate"/>
            </w:r>
            <w:r w:rsidR="00627452">
              <w:rPr>
                <w:noProof/>
                <w:webHidden/>
              </w:rPr>
              <w:t>76</w:t>
            </w:r>
            <w:r>
              <w:rPr>
                <w:noProof/>
                <w:webHidden/>
              </w:rPr>
              <w:fldChar w:fldCharType="end"/>
            </w:r>
          </w:hyperlink>
        </w:p>
        <w:p w14:paraId="613D6C0F" w14:textId="577908CC" w:rsidR="00E41FF9" w:rsidRDefault="00E41FF9">
          <w:pPr>
            <w:pStyle w:val="TOC2"/>
            <w:tabs>
              <w:tab w:val="left" w:pos="960"/>
              <w:tab w:val="right" w:leader="dot" w:pos="9350"/>
            </w:tabs>
            <w:rPr>
              <w:rFonts w:asciiTheme="minorHAnsi" w:hAnsiTheme="minorHAnsi"/>
              <w:noProof/>
              <w:color w:val="auto"/>
              <w:sz w:val="22"/>
              <w:szCs w:val="22"/>
              <w:lang w:bidi="ar-SA"/>
            </w:rPr>
          </w:pPr>
          <w:hyperlink w:anchor="_Toc498505056" w:history="1">
            <w:r w:rsidRPr="00452013">
              <w:rPr>
                <w:rStyle w:val="Hyperlink"/>
                <w:b/>
                <w:noProof/>
              </w:rPr>
              <w:t xml:space="preserve">3.6. </w:t>
            </w:r>
            <w:r w:rsidRPr="00452013">
              <w:rPr>
                <w:rFonts w:asciiTheme="minorHAnsi" w:hAnsiTheme="minorHAnsi"/>
                <w:b/>
                <w:noProof/>
                <w:color w:val="auto"/>
                <w:sz w:val="22"/>
                <w:szCs w:val="22"/>
                <w:lang w:bidi="ar-SA"/>
              </w:rPr>
              <w:tab/>
            </w:r>
            <w:r w:rsidRPr="00452013">
              <w:rPr>
                <w:rStyle w:val="Hyperlink"/>
                <w:b/>
                <w:noProof/>
              </w:rPr>
              <w:t>Conclusions</w:t>
            </w:r>
            <w:r>
              <w:rPr>
                <w:noProof/>
                <w:webHidden/>
              </w:rPr>
              <w:tab/>
            </w:r>
            <w:r>
              <w:rPr>
                <w:noProof/>
                <w:webHidden/>
              </w:rPr>
              <w:fldChar w:fldCharType="begin"/>
            </w:r>
            <w:r>
              <w:rPr>
                <w:noProof/>
                <w:webHidden/>
              </w:rPr>
              <w:instrText xml:space="preserve"> PAGEREF _Toc498505056 \h </w:instrText>
            </w:r>
            <w:r>
              <w:rPr>
                <w:noProof/>
                <w:webHidden/>
              </w:rPr>
            </w:r>
            <w:r>
              <w:rPr>
                <w:noProof/>
                <w:webHidden/>
              </w:rPr>
              <w:fldChar w:fldCharType="separate"/>
            </w:r>
            <w:r w:rsidR="00627452">
              <w:rPr>
                <w:noProof/>
                <w:webHidden/>
              </w:rPr>
              <w:t>77</w:t>
            </w:r>
            <w:r>
              <w:rPr>
                <w:noProof/>
                <w:webHidden/>
              </w:rPr>
              <w:fldChar w:fldCharType="end"/>
            </w:r>
          </w:hyperlink>
        </w:p>
        <w:p w14:paraId="0C676B05" w14:textId="6EAE2D17" w:rsidR="00E41FF9" w:rsidRDefault="00E41FF9">
          <w:pPr>
            <w:pStyle w:val="TOC2"/>
            <w:tabs>
              <w:tab w:val="left" w:pos="960"/>
              <w:tab w:val="right" w:leader="dot" w:pos="9350"/>
            </w:tabs>
            <w:rPr>
              <w:rFonts w:asciiTheme="minorHAnsi" w:hAnsiTheme="minorHAnsi"/>
              <w:noProof/>
              <w:color w:val="auto"/>
              <w:sz w:val="22"/>
              <w:szCs w:val="22"/>
              <w:lang w:bidi="ar-SA"/>
            </w:rPr>
          </w:pPr>
          <w:hyperlink w:anchor="_Toc498505057" w:history="1">
            <w:r w:rsidRPr="00452013">
              <w:rPr>
                <w:rStyle w:val="Hyperlink"/>
                <w:b/>
                <w:noProof/>
              </w:rPr>
              <w:t xml:space="preserve">3.7. </w:t>
            </w:r>
            <w:r w:rsidRPr="00452013">
              <w:rPr>
                <w:rFonts w:asciiTheme="minorHAnsi" w:hAnsiTheme="minorHAnsi"/>
                <w:b/>
                <w:noProof/>
                <w:color w:val="auto"/>
                <w:sz w:val="22"/>
                <w:szCs w:val="22"/>
                <w:lang w:bidi="ar-SA"/>
              </w:rPr>
              <w:tab/>
            </w:r>
            <w:r w:rsidRPr="00452013">
              <w:rPr>
                <w:rStyle w:val="Hyperlink"/>
                <w:b/>
                <w:noProof/>
              </w:rPr>
              <w:t>References</w:t>
            </w:r>
            <w:r>
              <w:rPr>
                <w:noProof/>
                <w:webHidden/>
              </w:rPr>
              <w:tab/>
            </w:r>
            <w:r>
              <w:rPr>
                <w:noProof/>
                <w:webHidden/>
              </w:rPr>
              <w:fldChar w:fldCharType="begin"/>
            </w:r>
            <w:r>
              <w:rPr>
                <w:noProof/>
                <w:webHidden/>
              </w:rPr>
              <w:instrText xml:space="preserve"> PAGEREF _Toc498505057 \h </w:instrText>
            </w:r>
            <w:r>
              <w:rPr>
                <w:noProof/>
                <w:webHidden/>
              </w:rPr>
            </w:r>
            <w:r>
              <w:rPr>
                <w:noProof/>
                <w:webHidden/>
              </w:rPr>
              <w:fldChar w:fldCharType="separate"/>
            </w:r>
            <w:r w:rsidR="00627452">
              <w:rPr>
                <w:noProof/>
                <w:webHidden/>
              </w:rPr>
              <w:t>78</w:t>
            </w:r>
            <w:r>
              <w:rPr>
                <w:noProof/>
                <w:webHidden/>
              </w:rPr>
              <w:fldChar w:fldCharType="end"/>
            </w:r>
          </w:hyperlink>
        </w:p>
        <w:p w14:paraId="7681640C" w14:textId="710DA9C3" w:rsidR="00E41FF9" w:rsidRDefault="00E41FF9">
          <w:pPr>
            <w:pStyle w:val="TOC1"/>
            <w:tabs>
              <w:tab w:val="left" w:pos="1440"/>
            </w:tabs>
            <w:rPr>
              <w:rFonts w:asciiTheme="minorHAnsi" w:hAnsiTheme="minorHAnsi"/>
              <w:b w:val="0"/>
              <w:bCs w:val="0"/>
              <w:color w:val="auto"/>
              <w:sz w:val="22"/>
              <w:szCs w:val="22"/>
              <w:lang w:bidi="ar-SA"/>
            </w:rPr>
          </w:pPr>
          <w:hyperlink w:anchor="_Toc498505058" w:history="1">
            <w:r w:rsidRPr="008C469D">
              <w:rPr>
                <w:rStyle w:val="Hyperlink"/>
                <w:sz w:val="28"/>
                <w:szCs w:val="28"/>
              </w:rPr>
              <w:t>Chapter 4:</w:t>
            </w:r>
            <w:r w:rsidRPr="008C469D">
              <w:rPr>
                <w:rFonts w:asciiTheme="minorHAnsi" w:hAnsiTheme="minorHAnsi"/>
                <w:b w:val="0"/>
                <w:bCs w:val="0"/>
                <w:color w:val="auto"/>
                <w:sz w:val="28"/>
                <w:szCs w:val="28"/>
                <w:lang w:bidi="ar-SA"/>
              </w:rPr>
              <w:tab/>
            </w:r>
            <w:r w:rsidRPr="008C469D">
              <w:rPr>
                <w:rStyle w:val="Hyperlink"/>
                <w:sz w:val="28"/>
                <w:szCs w:val="28"/>
              </w:rPr>
              <w:t>Stepwise mixing model for quantifying solute mass transfer and transformation during push-pull tests</w:t>
            </w:r>
            <w:r>
              <w:rPr>
                <w:webHidden/>
              </w:rPr>
              <w:tab/>
            </w:r>
            <w:r>
              <w:rPr>
                <w:webHidden/>
              </w:rPr>
              <w:fldChar w:fldCharType="begin"/>
            </w:r>
            <w:r>
              <w:rPr>
                <w:webHidden/>
              </w:rPr>
              <w:instrText xml:space="preserve"> PAGEREF _Toc498505058 \h </w:instrText>
            </w:r>
            <w:r>
              <w:rPr>
                <w:webHidden/>
              </w:rPr>
            </w:r>
            <w:r>
              <w:rPr>
                <w:webHidden/>
              </w:rPr>
              <w:fldChar w:fldCharType="separate"/>
            </w:r>
            <w:r w:rsidR="00627452">
              <w:rPr>
                <w:webHidden/>
              </w:rPr>
              <w:t>83</w:t>
            </w:r>
            <w:r>
              <w:rPr>
                <w:webHidden/>
              </w:rPr>
              <w:fldChar w:fldCharType="end"/>
            </w:r>
          </w:hyperlink>
        </w:p>
        <w:p w14:paraId="5CE81A44" w14:textId="2B602017" w:rsidR="00E41FF9" w:rsidRDefault="00E41FF9">
          <w:pPr>
            <w:pStyle w:val="TOC2"/>
            <w:tabs>
              <w:tab w:val="left" w:pos="960"/>
              <w:tab w:val="right" w:leader="dot" w:pos="9350"/>
            </w:tabs>
            <w:rPr>
              <w:rFonts w:asciiTheme="minorHAnsi" w:hAnsiTheme="minorHAnsi"/>
              <w:noProof/>
              <w:color w:val="auto"/>
              <w:sz w:val="22"/>
              <w:szCs w:val="22"/>
              <w:lang w:bidi="ar-SA"/>
            </w:rPr>
          </w:pPr>
          <w:hyperlink w:anchor="_Toc498505059" w:history="1">
            <w:r w:rsidRPr="003169A6">
              <w:rPr>
                <w:rStyle w:val="Hyperlink"/>
                <w:b/>
                <w:noProof/>
              </w:rPr>
              <w:t>4.1.</w:t>
            </w:r>
            <w:r w:rsidRPr="003169A6">
              <w:rPr>
                <w:rFonts w:asciiTheme="minorHAnsi" w:hAnsiTheme="minorHAnsi"/>
                <w:b/>
                <w:noProof/>
                <w:color w:val="auto"/>
                <w:sz w:val="22"/>
                <w:szCs w:val="22"/>
                <w:lang w:bidi="ar-SA"/>
              </w:rPr>
              <w:tab/>
            </w:r>
            <w:r w:rsidRPr="003169A6">
              <w:rPr>
                <w:rStyle w:val="Hyperlink"/>
                <w:b/>
                <w:noProof/>
              </w:rPr>
              <w:t>Abstract</w:t>
            </w:r>
            <w:r>
              <w:rPr>
                <w:noProof/>
                <w:webHidden/>
              </w:rPr>
              <w:tab/>
            </w:r>
            <w:r>
              <w:rPr>
                <w:noProof/>
                <w:webHidden/>
              </w:rPr>
              <w:fldChar w:fldCharType="begin"/>
            </w:r>
            <w:r>
              <w:rPr>
                <w:noProof/>
                <w:webHidden/>
              </w:rPr>
              <w:instrText xml:space="preserve"> PAGEREF _Toc498505059 \h </w:instrText>
            </w:r>
            <w:r>
              <w:rPr>
                <w:noProof/>
                <w:webHidden/>
              </w:rPr>
            </w:r>
            <w:r>
              <w:rPr>
                <w:noProof/>
                <w:webHidden/>
              </w:rPr>
              <w:fldChar w:fldCharType="separate"/>
            </w:r>
            <w:r w:rsidR="00627452">
              <w:rPr>
                <w:noProof/>
                <w:webHidden/>
              </w:rPr>
              <w:t>85</w:t>
            </w:r>
            <w:r>
              <w:rPr>
                <w:noProof/>
                <w:webHidden/>
              </w:rPr>
              <w:fldChar w:fldCharType="end"/>
            </w:r>
          </w:hyperlink>
        </w:p>
        <w:p w14:paraId="4F4490EC" w14:textId="4055B7DD" w:rsidR="00E41FF9" w:rsidRDefault="00E41FF9">
          <w:pPr>
            <w:pStyle w:val="TOC2"/>
            <w:tabs>
              <w:tab w:val="left" w:pos="960"/>
              <w:tab w:val="right" w:leader="dot" w:pos="9350"/>
            </w:tabs>
            <w:rPr>
              <w:rFonts w:asciiTheme="minorHAnsi" w:hAnsiTheme="minorHAnsi"/>
              <w:noProof/>
              <w:color w:val="auto"/>
              <w:sz w:val="22"/>
              <w:szCs w:val="22"/>
              <w:lang w:bidi="ar-SA"/>
            </w:rPr>
          </w:pPr>
          <w:hyperlink w:anchor="_Toc498505060" w:history="1">
            <w:r w:rsidRPr="003169A6">
              <w:rPr>
                <w:rStyle w:val="Hyperlink"/>
                <w:b/>
                <w:noProof/>
              </w:rPr>
              <w:t>4.2.</w:t>
            </w:r>
            <w:r w:rsidRPr="003169A6">
              <w:rPr>
                <w:rFonts w:asciiTheme="minorHAnsi" w:hAnsiTheme="minorHAnsi"/>
                <w:b/>
                <w:noProof/>
                <w:color w:val="auto"/>
                <w:sz w:val="22"/>
                <w:szCs w:val="22"/>
                <w:lang w:bidi="ar-SA"/>
              </w:rPr>
              <w:tab/>
            </w:r>
            <w:r w:rsidRPr="003169A6">
              <w:rPr>
                <w:rStyle w:val="Hyperlink"/>
                <w:b/>
                <w:noProof/>
              </w:rPr>
              <w:t>Introduction</w:t>
            </w:r>
            <w:r>
              <w:rPr>
                <w:noProof/>
                <w:webHidden/>
              </w:rPr>
              <w:tab/>
            </w:r>
            <w:r>
              <w:rPr>
                <w:noProof/>
                <w:webHidden/>
              </w:rPr>
              <w:fldChar w:fldCharType="begin"/>
            </w:r>
            <w:r>
              <w:rPr>
                <w:noProof/>
                <w:webHidden/>
              </w:rPr>
              <w:instrText xml:space="preserve"> PAGEREF _Toc498505060 \h </w:instrText>
            </w:r>
            <w:r>
              <w:rPr>
                <w:noProof/>
                <w:webHidden/>
              </w:rPr>
            </w:r>
            <w:r>
              <w:rPr>
                <w:noProof/>
                <w:webHidden/>
              </w:rPr>
              <w:fldChar w:fldCharType="separate"/>
            </w:r>
            <w:r w:rsidR="00627452">
              <w:rPr>
                <w:noProof/>
                <w:webHidden/>
              </w:rPr>
              <w:t>86</w:t>
            </w:r>
            <w:r>
              <w:rPr>
                <w:noProof/>
                <w:webHidden/>
              </w:rPr>
              <w:fldChar w:fldCharType="end"/>
            </w:r>
          </w:hyperlink>
        </w:p>
        <w:p w14:paraId="14788EFF" w14:textId="21DCC5B9" w:rsidR="00E41FF9" w:rsidRDefault="00E41FF9">
          <w:pPr>
            <w:pStyle w:val="TOC2"/>
            <w:tabs>
              <w:tab w:val="left" w:pos="960"/>
              <w:tab w:val="right" w:leader="dot" w:pos="9350"/>
            </w:tabs>
            <w:rPr>
              <w:rFonts w:asciiTheme="minorHAnsi" w:hAnsiTheme="minorHAnsi"/>
              <w:noProof/>
              <w:color w:val="auto"/>
              <w:sz w:val="22"/>
              <w:szCs w:val="22"/>
              <w:lang w:bidi="ar-SA"/>
            </w:rPr>
          </w:pPr>
          <w:hyperlink w:anchor="_Toc498505061" w:history="1">
            <w:r w:rsidRPr="003169A6">
              <w:rPr>
                <w:rStyle w:val="Hyperlink"/>
                <w:b/>
                <w:noProof/>
              </w:rPr>
              <w:t>4.3.</w:t>
            </w:r>
            <w:r w:rsidRPr="003169A6">
              <w:rPr>
                <w:rFonts w:asciiTheme="minorHAnsi" w:hAnsiTheme="minorHAnsi"/>
                <w:b/>
                <w:noProof/>
                <w:color w:val="auto"/>
                <w:sz w:val="22"/>
                <w:szCs w:val="22"/>
                <w:lang w:bidi="ar-SA"/>
              </w:rPr>
              <w:tab/>
            </w:r>
            <w:r w:rsidRPr="003169A6">
              <w:rPr>
                <w:rStyle w:val="Hyperlink"/>
                <w:b/>
                <w:noProof/>
              </w:rPr>
              <w:t>Theoretical development</w:t>
            </w:r>
            <w:r>
              <w:rPr>
                <w:noProof/>
                <w:webHidden/>
              </w:rPr>
              <w:tab/>
            </w:r>
            <w:r>
              <w:rPr>
                <w:noProof/>
                <w:webHidden/>
              </w:rPr>
              <w:fldChar w:fldCharType="begin"/>
            </w:r>
            <w:r>
              <w:rPr>
                <w:noProof/>
                <w:webHidden/>
              </w:rPr>
              <w:instrText xml:space="preserve"> PAGEREF _Toc498505061 \h </w:instrText>
            </w:r>
            <w:r>
              <w:rPr>
                <w:noProof/>
                <w:webHidden/>
              </w:rPr>
            </w:r>
            <w:r>
              <w:rPr>
                <w:noProof/>
                <w:webHidden/>
              </w:rPr>
              <w:fldChar w:fldCharType="separate"/>
            </w:r>
            <w:r w:rsidR="00627452">
              <w:rPr>
                <w:noProof/>
                <w:webHidden/>
              </w:rPr>
              <w:t>90</w:t>
            </w:r>
            <w:r>
              <w:rPr>
                <w:noProof/>
                <w:webHidden/>
              </w:rPr>
              <w:fldChar w:fldCharType="end"/>
            </w:r>
          </w:hyperlink>
        </w:p>
        <w:p w14:paraId="70127745" w14:textId="08A00900" w:rsidR="00E41FF9" w:rsidRDefault="00E41FF9">
          <w:pPr>
            <w:pStyle w:val="TOC2"/>
            <w:tabs>
              <w:tab w:val="left" w:pos="960"/>
              <w:tab w:val="right" w:leader="dot" w:pos="9350"/>
            </w:tabs>
            <w:rPr>
              <w:rFonts w:asciiTheme="minorHAnsi" w:hAnsiTheme="minorHAnsi"/>
              <w:noProof/>
              <w:color w:val="auto"/>
              <w:sz w:val="22"/>
              <w:szCs w:val="22"/>
              <w:lang w:bidi="ar-SA"/>
            </w:rPr>
          </w:pPr>
          <w:hyperlink w:anchor="_Toc498505062" w:history="1">
            <w:r w:rsidRPr="003169A6">
              <w:rPr>
                <w:rStyle w:val="Hyperlink"/>
                <w:b/>
                <w:noProof/>
              </w:rPr>
              <w:t>4.4.</w:t>
            </w:r>
            <w:r w:rsidRPr="003169A6">
              <w:rPr>
                <w:rFonts w:asciiTheme="minorHAnsi" w:hAnsiTheme="minorHAnsi"/>
                <w:b/>
                <w:noProof/>
                <w:color w:val="auto"/>
                <w:sz w:val="22"/>
                <w:szCs w:val="22"/>
                <w:lang w:bidi="ar-SA"/>
              </w:rPr>
              <w:tab/>
            </w:r>
            <w:r w:rsidRPr="003169A6">
              <w:rPr>
                <w:rStyle w:val="Hyperlink"/>
                <w:b/>
                <w:noProof/>
              </w:rPr>
              <w:t>Model validation</w:t>
            </w:r>
            <w:r>
              <w:rPr>
                <w:noProof/>
                <w:webHidden/>
              </w:rPr>
              <w:tab/>
            </w:r>
            <w:r>
              <w:rPr>
                <w:noProof/>
                <w:webHidden/>
              </w:rPr>
              <w:fldChar w:fldCharType="begin"/>
            </w:r>
            <w:r>
              <w:rPr>
                <w:noProof/>
                <w:webHidden/>
              </w:rPr>
              <w:instrText xml:space="preserve"> PAGEREF _Toc498505062 \h </w:instrText>
            </w:r>
            <w:r>
              <w:rPr>
                <w:noProof/>
                <w:webHidden/>
              </w:rPr>
            </w:r>
            <w:r>
              <w:rPr>
                <w:noProof/>
                <w:webHidden/>
              </w:rPr>
              <w:fldChar w:fldCharType="separate"/>
            </w:r>
            <w:r w:rsidR="00627452">
              <w:rPr>
                <w:noProof/>
                <w:webHidden/>
              </w:rPr>
              <w:t>94</w:t>
            </w:r>
            <w:r>
              <w:rPr>
                <w:noProof/>
                <w:webHidden/>
              </w:rPr>
              <w:fldChar w:fldCharType="end"/>
            </w:r>
          </w:hyperlink>
        </w:p>
        <w:p w14:paraId="0F767979" w14:textId="728C29A8" w:rsidR="00E41FF9" w:rsidRDefault="00E41FF9">
          <w:pPr>
            <w:pStyle w:val="TOC2"/>
            <w:tabs>
              <w:tab w:val="left" w:pos="960"/>
              <w:tab w:val="right" w:leader="dot" w:pos="9350"/>
            </w:tabs>
            <w:rPr>
              <w:rFonts w:asciiTheme="minorHAnsi" w:hAnsiTheme="minorHAnsi"/>
              <w:noProof/>
              <w:color w:val="auto"/>
              <w:sz w:val="22"/>
              <w:szCs w:val="22"/>
              <w:lang w:bidi="ar-SA"/>
            </w:rPr>
          </w:pPr>
          <w:hyperlink w:anchor="_Toc498505063" w:history="1">
            <w:r w:rsidRPr="003169A6">
              <w:rPr>
                <w:rStyle w:val="Hyperlink"/>
                <w:b/>
                <w:noProof/>
              </w:rPr>
              <w:t>4.5.</w:t>
            </w:r>
            <w:r w:rsidRPr="003169A6">
              <w:rPr>
                <w:rFonts w:asciiTheme="minorHAnsi" w:hAnsiTheme="minorHAnsi"/>
                <w:b/>
                <w:noProof/>
                <w:color w:val="auto"/>
                <w:sz w:val="22"/>
                <w:szCs w:val="22"/>
                <w:lang w:bidi="ar-SA"/>
              </w:rPr>
              <w:tab/>
            </w:r>
            <w:r w:rsidRPr="003169A6">
              <w:rPr>
                <w:rStyle w:val="Hyperlink"/>
                <w:b/>
                <w:noProof/>
              </w:rPr>
              <w:t>In situ application</w:t>
            </w:r>
            <w:r>
              <w:rPr>
                <w:noProof/>
                <w:webHidden/>
              </w:rPr>
              <w:tab/>
            </w:r>
            <w:r>
              <w:rPr>
                <w:noProof/>
                <w:webHidden/>
              </w:rPr>
              <w:fldChar w:fldCharType="begin"/>
            </w:r>
            <w:r>
              <w:rPr>
                <w:noProof/>
                <w:webHidden/>
              </w:rPr>
              <w:instrText xml:space="preserve"> PAGEREF _Toc498505063 \h </w:instrText>
            </w:r>
            <w:r>
              <w:rPr>
                <w:noProof/>
                <w:webHidden/>
              </w:rPr>
            </w:r>
            <w:r>
              <w:rPr>
                <w:noProof/>
                <w:webHidden/>
              </w:rPr>
              <w:fldChar w:fldCharType="separate"/>
            </w:r>
            <w:r w:rsidR="00627452">
              <w:rPr>
                <w:noProof/>
                <w:webHidden/>
              </w:rPr>
              <w:t>98</w:t>
            </w:r>
            <w:r>
              <w:rPr>
                <w:noProof/>
                <w:webHidden/>
              </w:rPr>
              <w:fldChar w:fldCharType="end"/>
            </w:r>
          </w:hyperlink>
        </w:p>
        <w:p w14:paraId="4F1EBD8B" w14:textId="21EDF0D3" w:rsidR="00E41FF9" w:rsidRDefault="00E41FF9">
          <w:pPr>
            <w:pStyle w:val="TOC2"/>
            <w:tabs>
              <w:tab w:val="left" w:pos="960"/>
              <w:tab w:val="right" w:leader="dot" w:pos="9350"/>
            </w:tabs>
            <w:rPr>
              <w:rFonts w:asciiTheme="minorHAnsi" w:hAnsiTheme="minorHAnsi"/>
              <w:noProof/>
              <w:color w:val="auto"/>
              <w:sz w:val="22"/>
              <w:szCs w:val="22"/>
              <w:lang w:bidi="ar-SA"/>
            </w:rPr>
          </w:pPr>
          <w:hyperlink w:anchor="_Toc498505064" w:history="1">
            <w:r w:rsidRPr="003169A6">
              <w:rPr>
                <w:rStyle w:val="Hyperlink"/>
                <w:b/>
                <w:noProof/>
              </w:rPr>
              <w:t>4.6.</w:t>
            </w:r>
            <w:r w:rsidRPr="003169A6">
              <w:rPr>
                <w:rFonts w:asciiTheme="minorHAnsi" w:hAnsiTheme="minorHAnsi"/>
                <w:b/>
                <w:noProof/>
                <w:color w:val="auto"/>
                <w:sz w:val="22"/>
                <w:szCs w:val="22"/>
                <w:lang w:bidi="ar-SA"/>
              </w:rPr>
              <w:tab/>
            </w:r>
            <w:r w:rsidRPr="003169A6">
              <w:rPr>
                <w:rStyle w:val="Hyperlink"/>
                <w:b/>
                <w:noProof/>
              </w:rPr>
              <w:t>Conclusions</w:t>
            </w:r>
            <w:r>
              <w:rPr>
                <w:noProof/>
                <w:webHidden/>
              </w:rPr>
              <w:tab/>
            </w:r>
            <w:r>
              <w:rPr>
                <w:noProof/>
                <w:webHidden/>
              </w:rPr>
              <w:fldChar w:fldCharType="begin"/>
            </w:r>
            <w:r>
              <w:rPr>
                <w:noProof/>
                <w:webHidden/>
              </w:rPr>
              <w:instrText xml:space="preserve"> PAGEREF _Toc498505064 \h </w:instrText>
            </w:r>
            <w:r>
              <w:rPr>
                <w:noProof/>
                <w:webHidden/>
              </w:rPr>
            </w:r>
            <w:r>
              <w:rPr>
                <w:noProof/>
                <w:webHidden/>
              </w:rPr>
              <w:fldChar w:fldCharType="separate"/>
            </w:r>
            <w:r w:rsidR="00627452">
              <w:rPr>
                <w:noProof/>
                <w:webHidden/>
              </w:rPr>
              <w:t>106</w:t>
            </w:r>
            <w:r>
              <w:rPr>
                <w:noProof/>
                <w:webHidden/>
              </w:rPr>
              <w:fldChar w:fldCharType="end"/>
            </w:r>
          </w:hyperlink>
        </w:p>
        <w:p w14:paraId="695A6C3D" w14:textId="6F417C2A" w:rsidR="00E41FF9" w:rsidRDefault="00E41FF9">
          <w:pPr>
            <w:pStyle w:val="TOC2"/>
            <w:tabs>
              <w:tab w:val="left" w:pos="960"/>
              <w:tab w:val="right" w:leader="dot" w:pos="9350"/>
            </w:tabs>
            <w:rPr>
              <w:rFonts w:asciiTheme="minorHAnsi" w:hAnsiTheme="minorHAnsi"/>
              <w:noProof/>
              <w:color w:val="auto"/>
              <w:sz w:val="22"/>
              <w:szCs w:val="22"/>
              <w:lang w:bidi="ar-SA"/>
            </w:rPr>
          </w:pPr>
          <w:hyperlink w:anchor="_Toc498505065" w:history="1">
            <w:r w:rsidRPr="003169A6">
              <w:rPr>
                <w:rStyle w:val="Hyperlink"/>
                <w:b/>
                <w:noProof/>
              </w:rPr>
              <w:t>4.6.</w:t>
            </w:r>
            <w:r w:rsidRPr="003169A6">
              <w:rPr>
                <w:rFonts w:asciiTheme="minorHAnsi" w:hAnsiTheme="minorHAnsi"/>
                <w:b/>
                <w:noProof/>
                <w:color w:val="auto"/>
                <w:sz w:val="22"/>
                <w:szCs w:val="22"/>
                <w:lang w:bidi="ar-SA"/>
              </w:rPr>
              <w:tab/>
            </w:r>
            <w:r w:rsidRPr="003169A6">
              <w:rPr>
                <w:rStyle w:val="Hyperlink"/>
                <w:b/>
                <w:noProof/>
              </w:rPr>
              <w:t>References</w:t>
            </w:r>
            <w:r>
              <w:rPr>
                <w:noProof/>
                <w:webHidden/>
              </w:rPr>
              <w:tab/>
            </w:r>
            <w:r>
              <w:rPr>
                <w:noProof/>
                <w:webHidden/>
              </w:rPr>
              <w:fldChar w:fldCharType="begin"/>
            </w:r>
            <w:r>
              <w:rPr>
                <w:noProof/>
                <w:webHidden/>
              </w:rPr>
              <w:instrText xml:space="preserve"> PAGEREF _Toc498505065 \h </w:instrText>
            </w:r>
            <w:r>
              <w:rPr>
                <w:noProof/>
                <w:webHidden/>
              </w:rPr>
            </w:r>
            <w:r>
              <w:rPr>
                <w:noProof/>
                <w:webHidden/>
              </w:rPr>
              <w:fldChar w:fldCharType="separate"/>
            </w:r>
            <w:r w:rsidR="00627452">
              <w:rPr>
                <w:noProof/>
                <w:webHidden/>
              </w:rPr>
              <w:t>107</w:t>
            </w:r>
            <w:r>
              <w:rPr>
                <w:noProof/>
                <w:webHidden/>
              </w:rPr>
              <w:fldChar w:fldCharType="end"/>
            </w:r>
          </w:hyperlink>
        </w:p>
        <w:p w14:paraId="4CF74BD5" w14:textId="006DB2C4" w:rsidR="00E41FF9" w:rsidRDefault="00E41FF9">
          <w:pPr>
            <w:pStyle w:val="TOC1"/>
            <w:tabs>
              <w:tab w:val="left" w:pos="1440"/>
            </w:tabs>
            <w:rPr>
              <w:rFonts w:asciiTheme="minorHAnsi" w:hAnsiTheme="minorHAnsi"/>
              <w:b w:val="0"/>
              <w:bCs w:val="0"/>
              <w:color w:val="auto"/>
              <w:sz w:val="22"/>
              <w:szCs w:val="22"/>
              <w:lang w:bidi="ar-SA"/>
            </w:rPr>
          </w:pPr>
          <w:hyperlink w:anchor="_Toc498505066" w:history="1">
            <w:r w:rsidRPr="008C469D">
              <w:rPr>
                <w:rStyle w:val="Hyperlink"/>
                <w:sz w:val="28"/>
                <w:szCs w:val="28"/>
              </w:rPr>
              <w:t>Chapter 5:</w:t>
            </w:r>
            <w:r w:rsidRPr="008C469D">
              <w:rPr>
                <w:rFonts w:asciiTheme="minorHAnsi" w:hAnsiTheme="minorHAnsi"/>
                <w:b w:val="0"/>
                <w:bCs w:val="0"/>
                <w:color w:val="auto"/>
                <w:sz w:val="28"/>
                <w:szCs w:val="28"/>
                <w:lang w:bidi="ar-SA"/>
              </w:rPr>
              <w:tab/>
            </w:r>
            <w:r w:rsidRPr="008C469D">
              <w:rPr>
                <w:rStyle w:val="Hyperlink"/>
                <w:sz w:val="28"/>
                <w:szCs w:val="28"/>
              </w:rPr>
              <w:t>In situ demonstration of sustained adaptation of a natural microbial community to transform substrates</w:t>
            </w:r>
            <w:r>
              <w:rPr>
                <w:webHidden/>
              </w:rPr>
              <w:tab/>
            </w:r>
            <w:r>
              <w:rPr>
                <w:webHidden/>
              </w:rPr>
              <w:fldChar w:fldCharType="begin"/>
            </w:r>
            <w:r>
              <w:rPr>
                <w:webHidden/>
              </w:rPr>
              <w:instrText xml:space="preserve"> PAGEREF _Toc498505066 \h </w:instrText>
            </w:r>
            <w:r>
              <w:rPr>
                <w:webHidden/>
              </w:rPr>
            </w:r>
            <w:r>
              <w:rPr>
                <w:webHidden/>
              </w:rPr>
              <w:fldChar w:fldCharType="separate"/>
            </w:r>
            <w:r w:rsidR="00627452">
              <w:rPr>
                <w:webHidden/>
              </w:rPr>
              <w:t>108</w:t>
            </w:r>
            <w:r>
              <w:rPr>
                <w:webHidden/>
              </w:rPr>
              <w:fldChar w:fldCharType="end"/>
            </w:r>
          </w:hyperlink>
        </w:p>
        <w:p w14:paraId="462504E4" w14:textId="57D45A53" w:rsidR="00E41FF9" w:rsidRDefault="00E41FF9">
          <w:pPr>
            <w:pStyle w:val="TOC2"/>
            <w:tabs>
              <w:tab w:val="left" w:pos="960"/>
              <w:tab w:val="right" w:leader="dot" w:pos="9350"/>
            </w:tabs>
            <w:rPr>
              <w:rFonts w:asciiTheme="minorHAnsi" w:hAnsiTheme="minorHAnsi"/>
              <w:noProof/>
              <w:color w:val="auto"/>
              <w:sz w:val="22"/>
              <w:szCs w:val="22"/>
              <w:lang w:bidi="ar-SA"/>
            </w:rPr>
          </w:pPr>
          <w:hyperlink w:anchor="_Toc498505067" w:history="1">
            <w:r w:rsidRPr="003169A6">
              <w:rPr>
                <w:rStyle w:val="Hyperlink"/>
                <w:b/>
                <w:noProof/>
              </w:rPr>
              <w:t>5.1.</w:t>
            </w:r>
            <w:r w:rsidRPr="003169A6">
              <w:rPr>
                <w:rFonts w:asciiTheme="minorHAnsi" w:hAnsiTheme="minorHAnsi"/>
                <w:b/>
                <w:noProof/>
                <w:color w:val="auto"/>
                <w:sz w:val="22"/>
                <w:szCs w:val="22"/>
                <w:lang w:bidi="ar-SA"/>
              </w:rPr>
              <w:tab/>
            </w:r>
            <w:r w:rsidRPr="003169A6">
              <w:rPr>
                <w:rStyle w:val="Hyperlink"/>
                <w:b/>
                <w:noProof/>
              </w:rPr>
              <w:t>Abstract</w:t>
            </w:r>
            <w:r>
              <w:rPr>
                <w:noProof/>
                <w:webHidden/>
              </w:rPr>
              <w:tab/>
            </w:r>
            <w:r>
              <w:rPr>
                <w:noProof/>
                <w:webHidden/>
              </w:rPr>
              <w:fldChar w:fldCharType="begin"/>
            </w:r>
            <w:r>
              <w:rPr>
                <w:noProof/>
                <w:webHidden/>
              </w:rPr>
              <w:instrText xml:space="preserve"> PAGEREF _Toc498505067 \h </w:instrText>
            </w:r>
            <w:r>
              <w:rPr>
                <w:noProof/>
                <w:webHidden/>
              </w:rPr>
            </w:r>
            <w:r>
              <w:rPr>
                <w:noProof/>
                <w:webHidden/>
              </w:rPr>
              <w:fldChar w:fldCharType="separate"/>
            </w:r>
            <w:r w:rsidR="00627452">
              <w:rPr>
                <w:noProof/>
                <w:webHidden/>
              </w:rPr>
              <w:t>110</w:t>
            </w:r>
            <w:r>
              <w:rPr>
                <w:noProof/>
                <w:webHidden/>
              </w:rPr>
              <w:fldChar w:fldCharType="end"/>
            </w:r>
          </w:hyperlink>
        </w:p>
        <w:p w14:paraId="153988DB" w14:textId="1724384F" w:rsidR="00E41FF9" w:rsidRDefault="00E41FF9">
          <w:pPr>
            <w:pStyle w:val="TOC2"/>
            <w:tabs>
              <w:tab w:val="left" w:pos="960"/>
              <w:tab w:val="right" w:leader="dot" w:pos="9350"/>
            </w:tabs>
            <w:rPr>
              <w:rFonts w:asciiTheme="minorHAnsi" w:hAnsiTheme="minorHAnsi"/>
              <w:noProof/>
              <w:color w:val="auto"/>
              <w:sz w:val="22"/>
              <w:szCs w:val="22"/>
              <w:lang w:bidi="ar-SA"/>
            </w:rPr>
          </w:pPr>
          <w:hyperlink w:anchor="_Toc498505068" w:history="1">
            <w:r w:rsidRPr="003169A6">
              <w:rPr>
                <w:rStyle w:val="Hyperlink"/>
                <w:b/>
                <w:noProof/>
              </w:rPr>
              <w:t>5.2.</w:t>
            </w:r>
            <w:r w:rsidRPr="003169A6">
              <w:rPr>
                <w:rFonts w:asciiTheme="minorHAnsi" w:hAnsiTheme="minorHAnsi"/>
                <w:b/>
                <w:noProof/>
                <w:color w:val="auto"/>
                <w:sz w:val="22"/>
                <w:szCs w:val="22"/>
                <w:lang w:bidi="ar-SA"/>
              </w:rPr>
              <w:tab/>
            </w:r>
            <w:r w:rsidRPr="003169A6">
              <w:rPr>
                <w:rStyle w:val="Hyperlink"/>
                <w:b/>
                <w:noProof/>
              </w:rPr>
              <w:t>Introduction</w:t>
            </w:r>
            <w:r>
              <w:rPr>
                <w:noProof/>
                <w:webHidden/>
              </w:rPr>
              <w:tab/>
            </w:r>
            <w:r>
              <w:rPr>
                <w:noProof/>
                <w:webHidden/>
              </w:rPr>
              <w:fldChar w:fldCharType="begin"/>
            </w:r>
            <w:r>
              <w:rPr>
                <w:noProof/>
                <w:webHidden/>
              </w:rPr>
              <w:instrText xml:space="preserve"> PAGEREF _Toc498505068 \h </w:instrText>
            </w:r>
            <w:r>
              <w:rPr>
                <w:noProof/>
                <w:webHidden/>
              </w:rPr>
            </w:r>
            <w:r>
              <w:rPr>
                <w:noProof/>
                <w:webHidden/>
              </w:rPr>
              <w:fldChar w:fldCharType="separate"/>
            </w:r>
            <w:r w:rsidR="00627452">
              <w:rPr>
                <w:noProof/>
                <w:webHidden/>
              </w:rPr>
              <w:t>111</w:t>
            </w:r>
            <w:r>
              <w:rPr>
                <w:noProof/>
                <w:webHidden/>
              </w:rPr>
              <w:fldChar w:fldCharType="end"/>
            </w:r>
          </w:hyperlink>
        </w:p>
        <w:p w14:paraId="5B43EDDB" w14:textId="4C973819" w:rsidR="00E41FF9" w:rsidRDefault="00E41FF9">
          <w:pPr>
            <w:pStyle w:val="TOC2"/>
            <w:tabs>
              <w:tab w:val="left" w:pos="960"/>
              <w:tab w:val="right" w:leader="dot" w:pos="9350"/>
            </w:tabs>
            <w:rPr>
              <w:rFonts w:asciiTheme="minorHAnsi" w:hAnsiTheme="minorHAnsi"/>
              <w:noProof/>
              <w:color w:val="auto"/>
              <w:sz w:val="22"/>
              <w:szCs w:val="22"/>
              <w:lang w:bidi="ar-SA"/>
            </w:rPr>
          </w:pPr>
          <w:hyperlink w:anchor="_Toc498505069" w:history="1">
            <w:r w:rsidRPr="003169A6">
              <w:rPr>
                <w:rStyle w:val="Hyperlink"/>
                <w:b/>
                <w:noProof/>
              </w:rPr>
              <w:t>5.3.</w:t>
            </w:r>
            <w:r w:rsidRPr="003169A6">
              <w:rPr>
                <w:rFonts w:asciiTheme="minorHAnsi" w:hAnsiTheme="minorHAnsi"/>
                <w:b/>
                <w:noProof/>
                <w:color w:val="auto"/>
                <w:sz w:val="22"/>
                <w:szCs w:val="22"/>
                <w:lang w:bidi="ar-SA"/>
              </w:rPr>
              <w:tab/>
            </w:r>
            <w:r w:rsidRPr="003169A6">
              <w:rPr>
                <w:rStyle w:val="Hyperlink"/>
                <w:b/>
                <w:noProof/>
              </w:rPr>
              <w:t>Materials and methods</w:t>
            </w:r>
            <w:r>
              <w:rPr>
                <w:noProof/>
                <w:webHidden/>
              </w:rPr>
              <w:tab/>
            </w:r>
            <w:r>
              <w:rPr>
                <w:noProof/>
                <w:webHidden/>
              </w:rPr>
              <w:fldChar w:fldCharType="begin"/>
            </w:r>
            <w:r>
              <w:rPr>
                <w:noProof/>
                <w:webHidden/>
              </w:rPr>
              <w:instrText xml:space="preserve"> PAGEREF _Toc498505069 \h </w:instrText>
            </w:r>
            <w:r>
              <w:rPr>
                <w:noProof/>
                <w:webHidden/>
              </w:rPr>
            </w:r>
            <w:r>
              <w:rPr>
                <w:noProof/>
                <w:webHidden/>
              </w:rPr>
              <w:fldChar w:fldCharType="separate"/>
            </w:r>
            <w:r w:rsidR="00627452">
              <w:rPr>
                <w:noProof/>
                <w:webHidden/>
              </w:rPr>
              <w:t>112</w:t>
            </w:r>
            <w:r>
              <w:rPr>
                <w:noProof/>
                <w:webHidden/>
              </w:rPr>
              <w:fldChar w:fldCharType="end"/>
            </w:r>
          </w:hyperlink>
        </w:p>
        <w:p w14:paraId="5808E285" w14:textId="78DCBCBE" w:rsidR="00E41FF9" w:rsidRDefault="00E41FF9">
          <w:pPr>
            <w:pStyle w:val="TOC3"/>
            <w:tabs>
              <w:tab w:val="left" w:pos="1440"/>
              <w:tab w:val="right" w:leader="dot" w:pos="9350"/>
            </w:tabs>
            <w:rPr>
              <w:rFonts w:asciiTheme="minorHAnsi" w:hAnsiTheme="minorHAnsi"/>
              <w:i w:val="0"/>
              <w:iCs w:val="0"/>
              <w:noProof/>
              <w:color w:val="auto"/>
              <w:sz w:val="22"/>
              <w:szCs w:val="22"/>
              <w:lang w:bidi="ar-SA"/>
            </w:rPr>
          </w:pPr>
          <w:hyperlink w:anchor="_Toc498505070" w:history="1">
            <w:r w:rsidRPr="000F4DD7">
              <w:rPr>
                <w:rStyle w:val="Hyperlink"/>
                <w:noProof/>
              </w:rPr>
              <w:t>5.3.1.</w:t>
            </w:r>
            <w:r>
              <w:rPr>
                <w:rFonts w:asciiTheme="minorHAnsi" w:hAnsiTheme="minorHAnsi"/>
                <w:i w:val="0"/>
                <w:iCs w:val="0"/>
                <w:noProof/>
                <w:color w:val="auto"/>
                <w:sz w:val="22"/>
                <w:szCs w:val="22"/>
                <w:lang w:bidi="ar-SA"/>
              </w:rPr>
              <w:tab/>
            </w:r>
            <w:r w:rsidRPr="000F4DD7">
              <w:rPr>
                <w:rStyle w:val="Hyperlink"/>
                <w:noProof/>
              </w:rPr>
              <w:t>Study site</w:t>
            </w:r>
            <w:r>
              <w:rPr>
                <w:noProof/>
                <w:webHidden/>
              </w:rPr>
              <w:tab/>
            </w:r>
            <w:r>
              <w:rPr>
                <w:noProof/>
                <w:webHidden/>
              </w:rPr>
              <w:fldChar w:fldCharType="begin"/>
            </w:r>
            <w:r>
              <w:rPr>
                <w:noProof/>
                <w:webHidden/>
              </w:rPr>
              <w:instrText xml:space="preserve"> PAGEREF _Toc498505070 \h </w:instrText>
            </w:r>
            <w:r>
              <w:rPr>
                <w:noProof/>
                <w:webHidden/>
              </w:rPr>
            </w:r>
            <w:r>
              <w:rPr>
                <w:noProof/>
                <w:webHidden/>
              </w:rPr>
              <w:fldChar w:fldCharType="separate"/>
            </w:r>
            <w:r w:rsidR="00627452">
              <w:rPr>
                <w:noProof/>
                <w:webHidden/>
              </w:rPr>
              <w:t>112</w:t>
            </w:r>
            <w:r>
              <w:rPr>
                <w:noProof/>
                <w:webHidden/>
              </w:rPr>
              <w:fldChar w:fldCharType="end"/>
            </w:r>
          </w:hyperlink>
        </w:p>
        <w:p w14:paraId="67E6DABC" w14:textId="425D46A0" w:rsidR="00E41FF9" w:rsidRDefault="00E41FF9">
          <w:pPr>
            <w:pStyle w:val="TOC3"/>
            <w:tabs>
              <w:tab w:val="left" w:pos="1440"/>
              <w:tab w:val="right" w:leader="dot" w:pos="9350"/>
            </w:tabs>
            <w:rPr>
              <w:rFonts w:asciiTheme="minorHAnsi" w:hAnsiTheme="minorHAnsi"/>
              <w:i w:val="0"/>
              <w:iCs w:val="0"/>
              <w:noProof/>
              <w:color w:val="auto"/>
              <w:sz w:val="22"/>
              <w:szCs w:val="22"/>
              <w:lang w:bidi="ar-SA"/>
            </w:rPr>
          </w:pPr>
          <w:hyperlink w:anchor="_Toc498505071" w:history="1">
            <w:r w:rsidRPr="000F4DD7">
              <w:rPr>
                <w:rStyle w:val="Hyperlink"/>
                <w:noProof/>
              </w:rPr>
              <w:t>5.3.2.</w:t>
            </w:r>
            <w:r>
              <w:rPr>
                <w:rFonts w:asciiTheme="minorHAnsi" w:hAnsiTheme="minorHAnsi"/>
                <w:i w:val="0"/>
                <w:iCs w:val="0"/>
                <w:noProof/>
                <w:color w:val="auto"/>
                <w:sz w:val="22"/>
                <w:szCs w:val="22"/>
                <w:lang w:bidi="ar-SA"/>
              </w:rPr>
              <w:tab/>
            </w:r>
            <w:r w:rsidRPr="000F4DD7">
              <w:rPr>
                <w:rStyle w:val="Hyperlink"/>
                <w:noProof/>
              </w:rPr>
              <w:t>Substrate exposure tests</w:t>
            </w:r>
            <w:r>
              <w:rPr>
                <w:noProof/>
                <w:webHidden/>
              </w:rPr>
              <w:tab/>
            </w:r>
            <w:r>
              <w:rPr>
                <w:noProof/>
                <w:webHidden/>
              </w:rPr>
              <w:fldChar w:fldCharType="begin"/>
            </w:r>
            <w:r>
              <w:rPr>
                <w:noProof/>
                <w:webHidden/>
              </w:rPr>
              <w:instrText xml:space="preserve"> PAGEREF _Toc498505071 \h </w:instrText>
            </w:r>
            <w:r>
              <w:rPr>
                <w:noProof/>
                <w:webHidden/>
              </w:rPr>
            </w:r>
            <w:r>
              <w:rPr>
                <w:noProof/>
                <w:webHidden/>
              </w:rPr>
              <w:fldChar w:fldCharType="separate"/>
            </w:r>
            <w:r w:rsidR="00627452">
              <w:rPr>
                <w:noProof/>
                <w:webHidden/>
              </w:rPr>
              <w:t>116</w:t>
            </w:r>
            <w:r>
              <w:rPr>
                <w:noProof/>
                <w:webHidden/>
              </w:rPr>
              <w:fldChar w:fldCharType="end"/>
            </w:r>
          </w:hyperlink>
        </w:p>
        <w:p w14:paraId="1E625702" w14:textId="2207C44F" w:rsidR="00E41FF9" w:rsidRDefault="00E41FF9">
          <w:pPr>
            <w:pStyle w:val="TOC3"/>
            <w:tabs>
              <w:tab w:val="left" w:pos="1440"/>
              <w:tab w:val="right" w:leader="dot" w:pos="9350"/>
            </w:tabs>
            <w:rPr>
              <w:rFonts w:asciiTheme="minorHAnsi" w:hAnsiTheme="minorHAnsi"/>
              <w:i w:val="0"/>
              <w:iCs w:val="0"/>
              <w:noProof/>
              <w:color w:val="auto"/>
              <w:sz w:val="22"/>
              <w:szCs w:val="22"/>
              <w:lang w:bidi="ar-SA"/>
            </w:rPr>
          </w:pPr>
          <w:hyperlink w:anchor="_Toc498505072" w:history="1">
            <w:r w:rsidRPr="000F4DD7">
              <w:rPr>
                <w:rStyle w:val="Hyperlink"/>
                <w:noProof/>
              </w:rPr>
              <w:t>5.3.3.</w:t>
            </w:r>
            <w:r>
              <w:rPr>
                <w:rFonts w:asciiTheme="minorHAnsi" w:hAnsiTheme="minorHAnsi"/>
                <w:i w:val="0"/>
                <w:iCs w:val="0"/>
                <w:noProof/>
                <w:color w:val="auto"/>
                <w:sz w:val="22"/>
                <w:szCs w:val="22"/>
                <w:lang w:bidi="ar-SA"/>
              </w:rPr>
              <w:tab/>
            </w:r>
            <w:r w:rsidRPr="000F4DD7">
              <w:rPr>
                <w:rStyle w:val="Hyperlink"/>
                <w:noProof/>
              </w:rPr>
              <w:t>Microbial community structure</w:t>
            </w:r>
            <w:r>
              <w:rPr>
                <w:noProof/>
                <w:webHidden/>
              </w:rPr>
              <w:tab/>
            </w:r>
            <w:r>
              <w:rPr>
                <w:noProof/>
                <w:webHidden/>
              </w:rPr>
              <w:fldChar w:fldCharType="begin"/>
            </w:r>
            <w:r>
              <w:rPr>
                <w:noProof/>
                <w:webHidden/>
              </w:rPr>
              <w:instrText xml:space="preserve"> PAGEREF _Toc498505072 \h </w:instrText>
            </w:r>
            <w:r>
              <w:rPr>
                <w:noProof/>
                <w:webHidden/>
              </w:rPr>
            </w:r>
            <w:r>
              <w:rPr>
                <w:noProof/>
                <w:webHidden/>
              </w:rPr>
              <w:fldChar w:fldCharType="separate"/>
            </w:r>
            <w:r w:rsidR="00627452">
              <w:rPr>
                <w:noProof/>
                <w:webHidden/>
              </w:rPr>
              <w:t>119</w:t>
            </w:r>
            <w:r>
              <w:rPr>
                <w:noProof/>
                <w:webHidden/>
              </w:rPr>
              <w:fldChar w:fldCharType="end"/>
            </w:r>
          </w:hyperlink>
        </w:p>
        <w:p w14:paraId="3DB0B31B" w14:textId="48E1A387" w:rsidR="00E41FF9" w:rsidRDefault="00E41FF9">
          <w:pPr>
            <w:pStyle w:val="TOC2"/>
            <w:tabs>
              <w:tab w:val="left" w:pos="960"/>
              <w:tab w:val="right" w:leader="dot" w:pos="9350"/>
            </w:tabs>
            <w:rPr>
              <w:rFonts w:asciiTheme="minorHAnsi" w:hAnsiTheme="minorHAnsi"/>
              <w:noProof/>
              <w:color w:val="auto"/>
              <w:sz w:val="22"/>
              <w:szCs w:val="22"/>
              <w:lang w:bidi="ar-SA"/>
            </w:rPr>
          </w:pPr>
          <w:hyperlink w:anchor="_Toc498505073" w:history="1">
            <w:r w:rsidRPr="003169A6">
              <w:rPr>
                <w:rStyle w:val="Hyperlink"/>
                <w:b/>
                <w:noProof/>
              </w:rPr>
              <w:t>5.4.</w:t>
            </w:r>
            <w:r w:rsidRPr="003169A6">
              <w:rPr>
                <w:rFonts w:asciiTheme="minorHAnsi" w:hAnsiTheme="minorHAnsi"/>
                <w:b/>
                <w:noProof/>
                <w:color w:val="auto"/>
                <w:sz w:val="22"/>
                <w:szCs w:val="22"/>
                <w:lang w:bidi="ar-SA"/>
              </w:rPr>
              <w:tab/>
            </w:r>
            <w:r w:rsidRPr="003169A6">
              <w:rPr>
                <w:rStyle w:val="Hyperlink"/>
                <w:b/>
                <w:noProof/>
              </w:rPr>
              <w:t>Results and discussion</w:t>
            </w:r>
            <w:r>
              <w:rPr>
                <w:noProof/>
                <w:webHidden/>
              </w:rPr>
              <w:tab/>
            </w:r>
            <w:r>
              <w:rPr>
                <w:noProof/>
                <w:webHidden/>
              </w:rPr>
              <w:fldChar w:fldCharType="begin"/>
            </w:r>
            <w:r>
              <w:rPr>
                <w:noProof/>
                <w:webHidden/>
              </w:rPr>
              <w:instrText xml:space="preserve"> PAGEREF _Toc498505073 \h </w:instrText>
            </w:r>
            <w:r>
              <w:rPr>
                <w:noProof/>
                <w:webHidden/>
              </w:rPr>
            </w:r>
            <w:r>
              <w:rPr>
                <w:noProof/>
                <w:webHidden/>
              </w:rPr>
              <w:fldChar w:fldCharType="separate"/>
            </w:r>
            <w:r w:rsidR="00627452">
              <w:rPr>
                <w:noProof/>
                <w:webHidden/>
              </w:rPr>
              <w:t>120</w:t>
            </w:r>
            <w:r>
              <w:rPr>
                <w:noProof/>
                <w:webHidden/>
              </w:rPr>
              <w:fldChar w:fldCharType="end"/>
            </w:r>
          </w:hyperlink>
        </w:p>
        <w:p w14:paraId="3ED3E24F" w14:textId="4885E779" w:rsidR="00E41FF9" w:rsidRDefault="00E41FF9">
          <w:pPr>
            <w:pStyle w:val="TOC3"/>
            <w:tabs>
              <w:tab w:val="left" w:pos="1440"/>
              <w:tab w:val="right" w:leader="dot" w:pos="9350"/>
            </w:tabs>
            <w:rPr>
              <w:rFonts w:asciiTheme="minorHAnsi" w:hAnsiTheme="minorHAnsi"/>
              <w:i w:val="0"/>
              <w:iCs w:val="0"/>
              <w:noProof/>
              <w:color w:val="auto"/>
              <w:sz w:val="22"/>
              <w:szCs w:val="22"/>
              <w:lang w:bidi="ar-SA"/>
            </w:rPr>
          </w:pPr>
          <w:hyperlink w:anchor="_Toc498505074" w:history="1">
            <w:r w:rsidRPr="000F4DD7">
              <w:rPr>
                <w:rStyle w:val="Hyperlink"/>
                <w:noProof/>
              </w:rPr>
              <w:t>5.4.1.</w:t>
            </w:r>
            <w:r>
              <w:rPr>
                <w:rFonts w:asciiTheme="minorHAnsi" w:hAnsiTheme="minorHAnsi"/>
                <w:i w:val="0"/>
                <w:iCs w:val="0"/>
                <w:noProof/>
                <w:color w:val="auto"/>
                <w:sz w:val="22"/>
                <w:szCs w:val="22"/>
                <w:lang w:bidi="ar-SA"/>
              </w:rPr>
              <w:tab/>
            </w:r>
            <w:r w:rsidRPr="000F4DD7">
              <w:rPr>
                <w:rStyle w:val="Hyperlink"/>
                <w:noProof/>
              </w:rPr>
              <w:t>Substrate exposure tests</w:t>
            </w:r>
            <w:r>
              <w:rPr>
                <w:noProof/>
                <w:webHidden/>
              </w:rPr>
              <w:tab/>
            </w:r>
            <w:r>
              <w:rPr>
                <w:noProof/>
                <w:webHidden/>
              </w:rPr>
              <w:fldChar w:fldCharType="begin"/>
            </w:r>
            <w:r>
              <w:rPr>
                <w:noProof/>
                <w:webHidden/>
              </w:rPr>
              <w:instrText xml:space="preserve"> PAGEREF _Toc498505074 \h </w:instrText>
            </w:r>
            <w:r>
              <w:rPr>
                <w:noProof/>
                <w:webHidden/>
              </w:rPr>
            </w:r>
            <w:r>
              <w:rPr>
                <w:noProof/>
                <w:webHidden/>
              </w:rPr>
              <w:fldChar w:fldCharType="separate"/>
            </w:r>
            <w:r w:rsidR="00627452">
              <w:rPr>
                <w:noProof/>
                <w:webHidden/>
              </w:rPr>
              <w:t>120</w:t>
            </w:r>
            <w:r>
              <w:rPr>
                <w:noProof/>
                <w:webHidden/>
              </w:rPr>
              <w:fldChar w:fldCharType="end"/>
            </w:r>
          </w:hyperlink>
        </w:p>
        <w:p w14:paraId="619DBFD2" w14:textId="37447049" w:rsidR="00E41FF9" w:rsidRDefault="00E41FF9">
          <w:pPr>
            <w:pStyle w:val="TOC3"/>
            <w:tabs>
              <w:tab w:val="left" w:pos="1440"/>
              <w:tab w:val="right" w:leader="dot" w:pos="9350"/>
            </w:tabs>
            <w:rPr>
              <w:rFonts w:asciiTheme="minorHAnsi" w:hAnsiTheme="minorHAnsi"/>
              <w:i w:val="0"/>
              <w:iCs w:val="0"/>
              <w:noProof/>
              <w:color w:val="auto"/>
              <w:sz w:val="22"/>
              <w:szCs w:val="22"/>
              <w:lang w:bidi="ar-SA"/>
            </w:rPr>
          </w:pPr>
          <w:hyperlink w:anchor="_Toc498505075" w:history="1">
            <w:r w:rsidRPr="000F4DD7">
              <w:rPr>
                <w:rStyle w:val="Hyperlink"/>
                <w:noProof/>
              </w:rPr>
              <w:t>5.4.2.</w:t>
            </w:r>
            <w:r>
              <w:rPr>
                <w:rFonts w:asciiTheme="minorHAnsi" w:hAnsiTheme="minorHAnsi"/>
                <w:i w:val="0"/>
                <w:iCs w:val="0"/>
                <w:noProof/>
                <w:color w:val="auto"/>
                <w:sz w:val="22"/>
                <w:szCs w:val="22"/>
                <w:lang w:bidi="ar-SA"/>
              </w:rPr>
              <w:tab/>
            </w:r>
            <w:r w:rsidRPr="000F4DD7">
              <w:rPr>
                <w:rStyle w:val="Hyperlink"/>
                <w:noProof/>
              </w:rPr>
              <w:t>Microbial community structure</w:t>
            </w:r>
            <w:r>
              <w:rPr>
                <w:noProof/>
                <w:webHidden/>
              </w:rPr>
              <w:tab/>
            </w:r>
            <w:r>
              <w:rPr>
                <w:noProof/>
                <w:webHidden/>
              </w:rPr>
              <w:fldChar w:fldCharType="begin"/>
            </w:r>
            <w:r>
              <w:rPr>
                <w:noProof/>
                <w:webHidden/>
              </w:rPr>
              <w:instrText xml:space="preserve"> PAGEREF _Toc498505075 \h </w:instrText>
            </w:r>
            <w:r>
              <w:rPr>
                <w:noProof/>
                <w:webHidden/>
              </w:rPr>
            </w:r>
            <w:r>
              <w:rPr>
                <w:noProof/>
                <w:webHidden/>
              </w:rPr>
              <w:fldChar w:fldCharType="separate"/>
            </w:r>
            <w:r w:rsidR="00627452">
              <w:rPr>
                <w:noProof/>
                <w:webHidden/>
              </w:rPr>
              <w:t>123</w:t>
            </w:r>
            <w:r>
              <w:rPr>
                <w:noProof/>
                <w:webHidden/>
              </w:rPr>
              <w:fldChar w:fldCharType="end"/>
            </w:r>
          </w:hyperlink>
        </w:p>
        <w:p w14:paraId="7BD4D44C" w14:textId="771B4219" w:rsidR="00E41FF9" w:rsidRDefault="00E41FF9">
          <w:pPr>
            <w:pStyle w:val="TOC2"/>
            <w:tabs>
              <w:tab w:val="left" w:pos="960"/>
              <w:tab w:val="right" w:leader="dot" w:pos="9350"/>
            </w:tabs>
            <w:rPr>
              <w:rFonts w:asciiTheme="minorHAnsi" w:hAnsiTheme="minorHAnsi"/>
              <w:noProof/>
              <w:color w:val="auto"/>
              <w:sz w:val="22"/>
              <w:szCs w:val="22"/>
              <w:lang w:bidi="ar-SA"/>
            </w:rPr>
          </w:pPr>
          <w:hyperlink w:anchor="_Toc498505076" w:history="1">
            <w:r w:rsidRPr="003169A6">
              <w:rPr>
                <w:rStyle w:val="Hyperlink"/>
                <w:b/>
                <w:noProof/>
              </w:rPr>
              <w:t>5.6.</w:t>
            </w:r>
            <w:r w:rsidRPr="003169A6">
              <w:rPr>
                <w:rFonts w:asciiTheme="minorHAnsi" w:hAnsiTheme="minorHAnsi"/>
                <w:b/>
                <w:noProof/>
                <w:color w:val="auto"/>
                <w:sz w:val="22"/>
                <w:szCs w:val="22"/>
                <w:lang w:bidi="ar-SA"/>
              </w:rPr>
              <w:tab/>
            </w:r>
            <w:r w:rsidRPr="003169A6">
              <w:rPr>
                <w:rStyle w:val="Hyperlink"/>
                <w:b/>
                <w:noProof/>
              </w:rPr>
              <w:t>References</w:t>
            </w:r>
            <w:r>
              <w:rPr>
                <w:noProof/>
                <w:webHidden/>
              </w:rPr>
              <w:tab/>
            </w:r>
            <w:r>
              <w:rPr>
                <w:noProof/>
                <w:webHidden/>
              </w:rPr>
              <w:fldChar w:fldCharType="begin"/>
            </w:r>
            <w:r>
              <w:rPr>
                <w:noProof/>
                <w:webHidden/>
              </w:rPr>
              <w:instrText xml:space="preserve"> PAGEREF _Toc498505076 \h </w:instrText>
            </w:r>
            <w:r>
              <w:rPr>
                <w:noProof/>
                <w:webHidden/>
              </w:rPr>
            </w:r>
            <w:r>
              <w:rPr>
                <w:noProof/>
                <w:webHidden/>
              </w:rPr>
              <w:fldChar w:fldCharType="separate"/>
            </w:r>
            <w:r w:rsidR="00627452">
              <w:rPr>
                <w:noProof/>
                <w:webHidden/>
              </w:rPr>
              <w:t>132</w:t>
            </w:r>
            <w:r>
              <w:rPr>
                <w:noProof/>
                <w:webHidden/>
              </w:rPr>
              <w:fldChar w:fldCharType="end"/>
            </w:r>
          </w:hyperlink>
        </w:p>
        <w:p w14:paraId="2EE14EDD" w14:textId="4DD620C8" w:rsidR="00E41FF9" w:rsidRDefault="00E41FF9">
          <w:pPr>
            <w:pStyle w:val="TOC1"/>
            <w:tabs>
              <w:tab w:val="left" w:pos="1440"/>
            </w:tabs>
            <w:rPr>
              <w:rFonts w:asciiTheme="minorHAnsi" w:hAnsiTheme="minorHAnsi"/>
              <w:b w:val="0"/>
              <w:bCs w:val="0"/>
              <w:color w:val="auto"/>
              <w:sz w:val="22"/>
              <w:szCs w:val="22"/>
              <w:lang w:bidi="ar-SA"/>
            </w:rPr>
          </w:pPr>
          <w:hyperlink w:anchor="_Toc498505077" w:history="1">
            <w:r w:rsidRPr="008C469D">
              <w:rPr>
                <w:rStyle w:val="Hyperlink"/>
                <w:sz w:val="28"/>
                <w:szCs w:val="28"/>
              </w:rPr>
              <w:t>Chapter 6:</w:t>
            </w:r>
            <w:r w:rsidRPr="008C469D">
              <w:rPr>
                <w:rFonts w:asciiTheme="minorHAnsi" w:hAnsiTheme="minorHAnsi"/>
                <w:b w:val="0"/>
                <w:bCs w:val="0"/>
                <w:color w:val="auto"/>
                <w:sz w:val="28"/>
                <w:szCs w:val="28"/>
                <w:lang w:bidi="ar-SA"/>
              </w:rPr>
              <w:tab/>
            </w:r>
            <w:r w:rsidRPr="008C469D">
              <w:rPr>
                <w:rStyle w:val="Hyperlink"/>
                <w:sz w:val="28"/>
                <w:szCs w:val="28"/>
              </w:rPr>
              <w:t>Conclusions</w:t>
            </w:r>
            <w:r>
              <w:rPr>
                <w:webHidden/>
              </w:rPr>
              <w:tab/>
            </w:r>
            <w:r>
              <w:rPr>
                <w:webHidden/>
              </w:rPr>
              <w:fldChar w:fldCharType="begin"/>
            </w:r>
            <w:r>
              <w:rPr>
                <w:webHidden/>
              </w:rPr>
              <w:instrText xml:space="preserve"> PAGEREF _Toc498505077 \h </w:instrText>
            </w:r>
            <w:r>
              <w:rPr>
                <w:webHidden/>
              </w:rPr>
            </w:r>
            <w:r>
              <w:rPr>
                <w:webHidden/>
              </w:rPr>
              <w:fldChar w:fldCharType="separate"/>
            </w:r>
            <w:r w:rsidR="00627452">
              <w:rPr>
                <w:webHidden/>
              </w:rPr>
              <w:t>139</w:t>
            </w:r>
            <w:r>
              <w:rPr>
                <w:webHidden/>
              </w:rPr>
              <w:fldChar w:fldCharType="end"/>
            </w:r>
          </w:hyperlink>
        </w:p>
        <w:p w14:paraId="149B3374" w14:textId="68B8B6E0" w:rsidR="00E41FF9" w:rsidRDefault="00E41FF9">
          <w:pPr>
            <w:pStyle w:val="TOC1"/>
            <w:rPr>
              <w:rFonts w:asciiTheme="minorHAnsi" w:hAnsiTheme="minorHAnsi"/>
              <w:b w:val="0"/>
              <w:bCs w:val="0"/>
              <w:color w:val="auto"/>
              <w:sz w:val="22"/>
              <w:szCs w:val="22"/>
              <w:lang w:bidi="ar-SA"/>
            </w:rPr>
          </w:pPr>
          <w:hyperlink w:anchor="_Toc498505078" w:history="1">
            <w:r w:rsidRPr="008C469D">
              <w:rPr>
                <w:rStyle w:val="Hyperlink"/>
                <w:sz w:val="28"/>
                <w:szCs w:val="28"/>
              </w:rPr>
              <w:t>Vita</w:t>
            </w:r>
            <w:r>
              <w:rPr>
                <w:webHidden/>
              </w:rPr>
              <w:tab/>
            </w:r>
            <w:r>
              <w:rPr>
                <w:webHidden/>
              </w:rPr>
              <w:fldChar w:fldCharType="begin"/>
            </w:r>
            <w:r>
              <w:rPr>
                <w:webHidden/>
              </w:rPr>
              <w:instrText xml:space="preserve"> PAGEREF _Toc498505078 \h </w:instrText>
            </w:r>
            <w:r>
              <w:rPr>
                <w:webHidden/>
              </w:rPr>
            </w:r>
            <w:r>
              <w:rPr>
                <w:webHidden/>
              </w:rPr>
              <w:fldChar w:fldCharType="separate"/>
            </w:r>
            <w:r w:rsidR="00627452">
              <w:rPr>
                <w:webHidden/>
              </w:rPr>
              <w:t>141</w:t>
            </w:r>
            <w:r>
              <w:rPr>
                <w:webHidden/>
              </w:rPr>
              <w:fldChar w:fldCharType="end"/>
            </w:r>
          </w:hyperlink>
        </w:p>
        <w:p w14:paraId="033914F2" w14:textId="37E184F3" w:rsidR="001F3BA1" w:rsidRDefault="00603CC9" w:rsidP="001F3BA1">
          <w:pPr>
            <w:rPr>
              <w:noProof/>
            </w:rPr>
          </w:pPr>
          <w:r>
            <w:rPr>
              <w:b/>
              <w:bCs/>
              <w:noProof/>
              <w:szCs w:val="20"/>
            </w:rPr>
            <w:fldChar w:fldCharType="end"/>
          </w:r>
        </w:p>
      </w:sdtContent>
    </w:sdt>
    <w:p w14:paraId="145AA9E2" w14:textId="63664377" w:rsidR="00E41FF9" w:rsidRDefault="00E41FF9" w:rsidP="001F3BA1">
      <w:pPr>
        <w:rPr>
          <w:b/>
          <w:bCs/>
          <w:sz w:val="28"/>
          <w:szCs w:val="28"/>
        </w:rPr>
      </w:pPr>
    </w:p>
    <w:p w14:paraId="1E3C1C7B" w14:textId="61E7CAC4" w:rsidR="00B6511E" w:rsidRPr="001F3BA1" w:rsidRDefault="00B6511E" w:rsidP="001F3BA1">
      <w:pPr>
        <w:rPr>
          <w:noProof/>
        </w:rPr>
      </w:pPr>
      <w:r w:rsidRPr="00A84698">
        <w:rPr>
          <w:b/>
          <w:bCs/>
          <w:sz w:val="28"/>
          <w:szCs w:val="28"/>
        </w:rPr>
        <w:lastRenderedPageBreak/>
        <w:t>List of Tables</w:t>
      </w:r>
    </w:p>
    <w:p w14:paraId="21555ED7" w14:textId="54F3B4A5" w:rsidR="00E41FF9" w:rsidRDefault="00E35D3F">
      <w:pPr>
        <w:pStyle w:val="TableofFigures"/>
        <w:tabs>
          <w:tab w:val="right" w:leader="dot" w:pos="9350"/>
        </w:tabs>
        <w:rPr>
          <w:rFonts w:asciiTheme="minorHAnsi" w:hAnsiTheme="minorHAnsi"/>
          <w:noProof/>
          <w:color w:val="auto"/>
          <w:sz w:val="22"/>
          <w:szCs w:val="22"/>
          <w:lang w:bidi="ar-SA"/>
        </w:rPr>
      </w:pPr>
      <w:r>
        <w:rPr>
          <w:b/>
          <w:bCs/>
          <w:szCs w:val="22"/>
        </w:rPr>
        <w:fldChar w:fldCharType="begin"/>
      </w:r>
      <w:r>
        <w:rPr>
          <w:b/>
          <w:bCs/>
          <w:szCs w:val="22"/>
        </w:rPr>
        <w:instrText xml:space="preserve"> TOC \h \z \c "Table" </w:instrText>
      </w:r>
      <w:r>
        <w:rPr>
          <w:b/>
          <w:bCs/>
          <w:szCs w:val="22"/>
        </w:rPr>
        <w:fldChar w:fldCharType="separate"/>
      </w:r>
      <w:hyperlink w:anchor="_Toc498504879" w:history="1">
        <w:r w:rsidR="00E41FF9" w:rsidRPr="003169A6">
          <w:rPr>
            <w:rStyle w:val="Hyperlink"/>
            <w:b/>
            <w:noProof/>
          </w:rPr>
          <w:t>Table 2.1</w:t>
        </w:r>
        <w:r w:rsidR="00E41FF9" w:rsidRPr="00A30E6D">
          <w:rPr>
            <w:rStyle w:val="Hyperlink"/>
            <w:noProof/>
          </w:rPr>
          <w:t xml:space="preserve"> Summary of biostimulation and reoxidation test methodology. EtOH = ethanol</w:t>
        </w:r>
        <w:r w:rsidR="00E41FF9">
          <w:rPr>
            <w:noProof/>
            <w:webHidden/>
          </w:rPr>
          <w:tab/>
        </w:r>
        <w:r w:rsidR="00E41FF9">
          <w:rPr>
            <w:noProof/>
            <w:webHidden/>
          </w:rPr>
          <w:fldChar w:fldCharType="begin"/>
        </w:r>
        <w:r w:rsidR="00E41FF9">
          <w:rPr>
            <w:noProof/>
            <w:webHidden/>
          </w:rPr>
          <w:instrText xml:space="preserve"> PAGEREF _Toc498504879 \h </w:instrText>
        </w:r>
        <w:r w:rsidR="00E41FF9">
          <w:rPr>
            <w:noProof/>
            <w:webHidden/>
          </w:rPr>
        </w:r>
        <w:r w:rsidR="00E41FF9">
          <w:rPr>
            <w:noProof/>
            <w:webHidden/>
          </w:rPr>
          <w:fldChar w:fldCharType="separate"/>
        </w:r>
        <w:r w:rsidR="00627452">
          <w:rPr>
            <w:noProof/>
            <w:webHidden/>
          </w:rPr>
          <w:t>13</w:t>
        </w:r>
        <w:r w:rsidR="00E41FF9">
          <w:rPr>
            <w:noProof/>
            <w:webHidden/>
          </w:rPr>
          <w:fldChar w:fldCharType="end"/>
        </w:r>
      </w:hyperlink>
    </w:p>
    <w:p w14:paraId="6324151A" w14:textId="78FBED03" w:rsidR="00E41FF9" w:rsidRDefault="00E41FF9">
      <w:pPr>
        <w:pStyle w:val="TableofFigures"/>
        <w:tabs>
          <w:tab w:val="right" w:leader="dot" w:pos="9350"/>
        </w:tabs>
        <w:rPr>
          <w:rFonts w:asciiTheme="minorHAnsi" w:hAnsiTheme="minorHAnsi"/>
          <w:noProof/>
          <w:color w:val="auto"/>
          <w:sz w:val="22"/>
          <w:szCs w:val="22"/>
          <w:lang w:bidi="ar-SA"/>
        </w:rPr>
      </w:pPr>
      <w:hyperlink w:anchor="_Toc498504880" w:history="1">
        <w:r w:rsidRPr="003169A6">
          <w:rPr>
            <w:rStyle w:val="Hyperlink"/>
            <w:b/>
            <w:noProof/>
          </w:rPr>
          <w:t>Table 2.2</w:t>
        </w:r>
        <w:r w:rsidRPr="00A30E6D">
          <w:rPr>
            <w:rStyle w:val="Hyperlink"/>
            <w:noProof/>
          </w:rPr>
          <w:t xml:space="preserve"> Pre-test nitrate, U(VI), and sulfate concentrations and pH in source well (GW835) used for test injectate and in wells used for push-pull tests (FW218 through FW227</w:t>
        </w:r>
        <w:r>
          <w:rPr>
            <w:noProof/>
            <w:webHidden/>
          </w:rPr>
          <w:tab/>
        </w:r>
        <w:r>
          <w:rPr>
            <w:noProof/>
            <w:webHidden/>
          </w:rPr>
          <w:fldChar w:fldCharType="begin"/>
        </w:r>
        <w:r>
          <w:rPr>
            <w:noProof/>
            <w:webHidden/>
          </w:rPr>
          <w:instrText xml:space="preserve"> PAGEREF _Toc498504880 \h </w:instrText>
        </w:r>
        <w:r>
          <w:rPr>
            <w:noProof/>
            <w:webHidden/>
          </w:rPr>
        </w:r>
        <w:r>
          <w:rPr>
            <w:noProof/>
            <w:webHidden/>
          </w:rPr>
          <w:fldChar w:fldCharType="separate"/>
        </w:r>
        <w:r w:rsidR="00627452">
          <w:rPr>
            <w:noProof/>
            <w:webHidden/>
          </w:rPr>
          <w:t>15</w:t>
        </w:r>
        <w:r>
          <w:rPr>
            <w:noProof/>
            <w:webHidden/>
          </w:rPr>
          <w:fldChar w:fldCharType="end"/>
        </w:r>
      </w:hyperlink>
    </w:p>
    <w:p w14:paraId="7A4A6CB8" w14:textId="3BA238B4" w:rsidR="00E41FF9" w:rsidRDefault="00E41FF9">
      <w:pPr>
        <w:pStyle w:val="TableofFigures"/>
        <w:tabs>
          <w:tab w:val="right" w:leader="dot" w:pos="9350"/>
        </w:tabs>
        <w:rPr>
          <w:rFonts w:asciiTheme="minorHAnsi" w:hAnsiTheme="minorHAnsi"/>
          <w:noProof/>
          <w:color w:val="auto"/>
          <w:sz w:val="22"/>
          <w:szCs w:val="22"/>
          <w:lang w:bidi="ar-SA"/>
        </w:rPr>
      </w:pPr>
      <w:hyperlink w:anchor="_Toc498504881" w:history="1">
        <w:r w:rsidRPr="003169A6">
          <w:rPr>
            <w:rStyle w:val="Hyperlink"/>
            <w:b/>
            <w:noProof/>
          </w:rPr>
          <w:t>Table 2.3</w:t>
        </w:r>
        <w:r w:rsidRPr="00A30E6D">
          <w:rPr>
            <w:rStyle w:val="Hyperlink"/>
            <w:noProof/>
          </w:rPr>
          <w:t xml:space="preserve"> Recovery factors for U(VI) and sulfate for control (FW224) and test well triplicates during push-pull test 4, average recovery factors </w:t>
        </w:r>
        <w:r w:rsidRPr="00A30E6D">
          <w:rPr>
            <w:rStyle w:val="Hyperlink"/>
            <w:rFonts w:cs="Times New Roman"/>
            <w:noProof/>
          </w:rPr>
          <w:t>±</w:t>
        </w:r>
        <w:r w:rsidRPr="00A30E6D">
          <w:rPr>
            <w:rStyle w:val="Hyperlink"/>
            <w:noProof/>
          </w:rPr>
          <w:t xml:space="preserve"> one standard deviation are shown for triplicate test wells, NA = not applicable. EtOH = ethanol</w:t>
        </w:r>
        <w:r>
          <w:rPr>
            <w:noProof/>
            <w:webHidden/>
          </w:rPr>
          <w:tab/>
        </w:r>
        <w:r>
          <w:rPr>
            <w:noProof/>
            <w:webHidden/>
          </w:rPr>
          <w:fldChar w:fldCharType="begin"/>
        </w:r>
        <w:r>
          <w:rPr>
            <w:noProof/>
            <w:webHidden/>
          </w:rPr>
          <w:instrText xml:space="preserve"> PAGEREF _Toc498504881 \h </w:instrText>
        </w:r>
        <w:r>
          <w:rPr>
            <w:noProof/>
            <w:webHidden/>
          </w:rPr>
        </w:r>
        <w:r>
          <w:rPr>
            <w:noProof/>
            <w:webHidden/>
          </w:rPr>
          <w:fldChar w:fldCharType="separate"/>
        </w:r>
        <w:r w:rsidR="00627452">
          <w:rPr>
            <w:noProof/>
            <w:webHidden/>
          </w:rPr>
          <w:t>20</w:t>
        </w:r>
        <w:r>
          <w:rPr>
            <w:noProof/>
            <w:webHidden/>
          </w:rPr>
          <w:fldChar w:fldCharType="end"/>
        </w:r>
      </w:hyperlink>
    </w:p>
    <w:p w14:paraId="1439CCBA" w14:textId="3D0BA555" w:rsidR="00E41FF9" w:rsidRDefault="00E41FF9">
      <w:pPr>
        <w:pStyle w:val="TableofFigures"/>
        <w:tabs>
          <w:tab w:val="right" w:leader="dot" w:pos="9350"/>
        </w:tabs>
        <w:rPr>
          <w:rFonts w:asciiTheme="minorHAnsi" w:hAnsiTheme="minorHAnsi"/>
          <w:noProof/>
          <w:color w:val="auto"/>
          <w:sz w:val="22"/>
          <w:szCs w:val="22"/>
          <w:lang w:bidi="ar-SA"/>
        </w:rPr>
      </w:pPr>
      <w:hyperlink w:anchor="_Toc498504882" w:history="1">
        <w:r w:rsidRPr="003169A6">
          <w:rPr>
            <w:rStyle w:val="Hyperlink"/>
            <w:b/>
            <w:noProof/>
          </w:rPr>
          <w:t>Table 2.4</w:t>
        </w:r>
        <w:r w:rsidRPr="00A30E6D">
          <w:rPr>
            <w:rStyle w:val="Hyperlink"/>
            <w:noProof/>
          </w:rPr>
          <w:t xml:space="preserve"> Standard-state (25°C, 1 atm, and unit molality) Gibbs free energies of uraninite (UO</w:t>
        </w:r>
        <w:r w:rsidRPr="00A30E6D">
          <w:rPr>
            <w:rStyle w:val="Hyperlink"/>
            <w:noProof/>
            <w:vertAlign w:val="subscript"/>
          </w:rPr>
          <w:t>2</w:t>
        </w:r>
        <w:r w:rsidRPr="00A30E6D">
          <w:rPr>
            <w:rStyle w:val="Hyperlink"/>
            <w:noProof/>
          </w:rPr>
          <w:t>) and various reduced sulfur-bearing species (S</w:t>
        </w:r>
        <w:r w:rsidRPr="00A30E6D">
          <w:rPr>
            <w:rStyle w:val="Hyperlink"/>
            <w:noProof/>
            <w:vertAlign w:val="superscript"/>
          </w:rPr>
          <w:t>0</w:t>
        </w:r>
        <w:r w:rsidRPr="00A30E6D">
          <w:rPr>
            <w:rStyle w:val="Hyperlink"/>
            <w:noProof/>
          </w:rPr>
          <w:t>, FeS, FeS</w:t>
        </w:r>
        <w:r w:rsidRPr="00A30E6D">
          <w:rPr>
            <w:rStyle w:val="Hyperlink"/>
            <w:noProof/>
            <w:vertAlign w:val="subscript"/>
          </w:rPr>
          <w:t>2</w:t>
        </w:r>
        <w:r w:rsidRPr="00A30E6D">
          <w:rPr>
            <w:rStyle w:val="Hyperlink"/>
            <w:noProof/>
          </w:rPr>
          <w:t>, MnS) reoxidized by nitrate (NO</w:t>
        </w:r>
        <w:r w:rsidRPr="00A30E6D">
          <w:rPr>
            <w:rStyle w:val="Hyperlink"/>
            <w:noProof/>
            <w:vertAlign w:val="subscript"/>
          </w:rPr>
          <w:t>3</w:t>
        </w:r>
        <w:r w:rsidRPr="00A30E6D">
          <w:rPr>
            <w:rStyle w:val="Hyperlink"/>
            <w:noProof/>
            <w:vertAlign w:val="superscript"/>
          </w:rPr>
          <w:t>-</w:t>
        </w:r>
        <w:r w:rsidRPr="00A30E6D">
          <w:rPr>
            <w:rStyle w:val="Hyperlink"/>
            <w:noProof/>
          </w:rPr>
          <w:t>) and nitrite (NO</w:t>
        </w:r>
        <w:r w:rsidRPr="00A30E6D">
          <w:rPr>
            <w:rStyle w:val="Hyperlink"/>
            <w:noProof/>
            <w:vertAlign w:val="subscript"/>
          </w:rPr>
          <w:t>2</w:t>
        </w:r>
        <w:r w:rsidRPr="00A30E6D">
          <w:rPr>
            <w:rStyle w:val="Hyperlink"/>
            <w:noProof/>
            <w:vertAlign w:val="superscript"/>
          </w:rPr>
          <w:t>-</w:t>
        </w:r>
        <w:r w:rsidRPr="00A30E6D">
          <w:rPr>
            <w:rStyle w:val="Hyperlink"/>
            <w:noProof/>
          </w:rPr>
          <w:t>), free energy values for the formation of reactants and products were obtained from Dean (1999)</w:t>
        </w:r>
        <w:r>
          <w:rPr>
            <w:noProof/>
            <w:webHidden/>
          </w:rPr>
          <w:tab/>
        </w:r>
        <w:r>
          <w:rPr>
            <w:noProof/>
            <w:webHidden/>
          </w:rPr>
          <w:fldChar w:fldCharType="begin"/>
        </w:r>
        <w:r>
          <w:rPr>
            <w:noProof/>
            <w:webHidden/>
          </w:rPr>
          <w:instrText xml:space="preserve"> PAGEREF _Toc498504882 \h </w:instrText>
        </w:r>
        <w:r>
          <w:rPr>
            <w:noProof/>
            <w:webHidden/>
          </w:rPr>
        </w:r>
        <w:r>
          <w:rPr>
            <w:noProof/>
            <w:webHidden/>
          </w:rPr>
          <w:fldChar w:fldCharType="separate"/>
        </w:r>
        <w:r w:rsidR="00627452">
          <w:rPr>
            <w:noProof/>
            <w:webHidden/>
          </w:rPr>
          <w:t>29</w:t>
        </w:r>
        <w:r>
          <w:rPr>
            <w:noProof/>
            <w:webHidden/>
          </w:rPr>
          <w:fldChar w:fldCharType="end"/>
        </w:r>
      </w:hyperlink>
    </w:p>
    <w:p w14:paraId="086FB50B" w14:textId="63345DED" w:rsidR="00E41FF9" w:rsidRDefault="00E41FF9">
      <w:pPr>
        <w:pStyle w:val="TableofFigures"/>
        <w:tabs>
          <w:tab w:val="right" w:leader="dot" w:pos="9350"/>
        </w:tabs>
        <w:rPr>
          <w:rFonts w:asciiTheme="minorHAnsi" w:hAnsiTheme="minorHAnsi"/>
          <w:noProof/>
          <w:color w:val="auto"/>
          <w:sz w:val="22"/>
          <w:szCs w:val="22"/>
          <w:lang w:bidi="ar-SA"/>
        </w:rPr>
      </w:pPr>
      <w:hyperlink w:anchor="_Toc498504883" w:history="1">
        <w:r w:rsidRPr="003169A6">
          <w:rPr>
            <w:rStyle w:val="Hyperlink"/>
            <w:b/>
            <w:noProof/>
          </w:rPr>
          <w:t>Table 3.1</w:t>
        </w:r>
        <w:r w:rsidRPr="00A30E6D">
          <w:rPr>
            <w:rStyle w:val="Hyperlink"/>
            <w:noProof/>
          </w:rPr>
          <w:t xml:space="preserve"> Hydraulic gradient (dh/dr) and hydraulic conductivity (K) for tests in this study (FW220 through FW225) and for tests from Hall et al. (1991) and Istok (2013)</w:t>
        </w:r>
        <w:r>
          <w:rPr>
            <w:noProof/>
            <w:webHidden/>
          </w:rPr>
          <w:tab/>
        </w:r>
        <w:r>
          <w:rPr>
            <w:noProof/>
            <w:webHidden/>
          </w:rPr>
          <w:fldChar w:fldCharType="begin"/>
        </w:r>
        <w:r>
          <w:rPr>
            <w:noProof/>
            <w:webHidden/>
          </w:rPr>
          <w:instrText xml:space="preserve"> PAGEREF _Toc498504883 \h </w:instrText>
        </w:r>
        <w:r>
          <w:rPr>
            <w:noProof/>
            <w:webHidden/>
          </w:rPr>
        </w:r>
        <w:r>
          <w:rPr>
            <w:noProof/>
            <w:webHidden/>
          </w:rPr>
          <w:fldChar w:fldCharType="separate"/>
        </w:r>
        <w:r w:rsidR="00627452">
          <w:rPr>
            <w:noProof/>
            <w:webHidden/>
          </w:rPr>
          <w:t>62</w:t>
        </w:r>
        <w:r>
          <w:rPr>
            <w:noProof/>
            <w:webHidden/>
          </w:rPr>
          <w:fldChar w:fldCharType="end"/>
        </w:r>
      </w:hyperlink>
    </w:p>
    <w:p w14:paraId="408126AF" w14:textId="1B8454C7" w:rsidR="00E41FF9" w:rsidRDefault="00E41FF9">
      <w:pPr>
        <w:pStyle w:val="TableofFigures"/>
        <w:tabs>
          <w:tab w:val="right" w:leader="dot" w:pos="9350"/>
        </w:tabs>
        <w:rPr>
          <w:rFonts w:asciiTheme="minorHAnsi" w:hAnsiTheme="minorHAnsi"/>
          <w:noProof/>
          <w:color w:val="auto"/>
          <w:sz w:val="22"/>
          <w:szCs w:val="22"/>
          <w:lang w:bidi="ar-SA"/>
        </w:rPr>
      </w:pPr>
      <w:hyperlink w:anchor="_Toc498504884" w:history="1">
        <w:r w:rsidRPr="003169A6">
          <w:rPr>
            <w:rStyle w:val="Hyperlink"/>
            <w:b/>
            <w:noProof/>
          </w:rPr>
          <w:t>Table 3.2</w:t>
        </w:r>
        <w:r w:rsidRPr="00A30E6D">
          <w:rPr>
            <w:rStyle w:val="Hyperlink"/>
            <w:noProof/>
          </w:rPr>
          <w:t xml:space="preserve"> Results from single-well push-pull tests for this study (FW220 through FW225) and from Hall et al. (1991) and Istok (2013)</w:t>
        </w:r>
        <w:r>
          <w:rPr>
            <w:noProof/>
            <w:webHidden/>
          </w:rPr>
          <w:tab/>
        </w:r>
        <w:r>
          <w:rPr>
            <w:noProof/>
            <w:webHidden/>
          </w:rPr>
          <w:fldChar w:fldCharType="begin"/>
        </w:r>
        <w:r>
          <w:rPr>
            <w:noProof/>
            <w:webHidden/>
          </w:rPr>
          <w:instrText xml:space="preserve"> PAGEREF _Toc498504884 \h </w:instrText>
        </w:r>
        <w:r>
          <w:rPr>
            <w:noProof/>
            <w:webHidden/>
          </w:rPr>
        </w:r>
        <w:r>
          <w:rPr>
            <w:noProof/>
            <w:webHidden/>
          </w:rPr>
          <w:fldChar w:fldCharType="separate"/>
        </w:r>
        <w:r w:rsidR="00627452">
          <w:rPr>
            <w:noProof/>
            <w:webHidden/>
          </w:rPr>
          <w:t>65</w:t>
        </w:r>
        <w:r>
          <w:rPr>
            <w:noProof/>
            <w:webHidden/>
          </w:rPr>
          <w:fldChar w:fldCharType="end"/>
        </w:r>
      </w:hyperlink>
    </w:p>
    <w:p w14:paraId="35B5F08D" w14:textId="41C621EE" w:rsidR="00E41FF9" w:rsidRDefault="00E41FF9">
      <w:pPr>
        <w:pStyle w:val="TableofFigures"/>
        <w:tabs>
          <w:tab w:val="right" w:leader="dot" w:pos="9350"/>
        </w:tabs>
        <w:rPr>
          <w:rFonts w:asciiTheme="minorHAnsi" w:hAnsiTheme="minorHAnsi"/>
          <w:noProof/>
          <w:color w:val="auto"/>
          <w:sz w:val="22"/>
          <w:szCs w:val="22"/>
          <w:lang w:bidi="ar-SA"/>
        </w:rPr>
      </w:pPr>
      <w:hyperlink w:anchor="_Toc498504885" w:history="1">
        <w:r w:rsidRPr="003169A6">
          <w:rPr>
            <w:rStyle w:val="Hyperlink"/>
            <w:b/>
            <w:noProof/>
          </w:rPr>
          <w:t>Table 3.3</w:t>
        </w:r>
        <w:r w:rsidRPr="00A30E6D">
          <w:rPr>
            <w:rStyle w:val="Hyperlink"/>
            <w:noProof/>
          </w:rPr>
          <w:t xml:space="preserve"> Effective porosity calculated from the truncated and expanded solutions, (20) and (18), respectively, for tests in this study (FW220 through FW225) and for tests from Hall et al. (1991) and Istok (2013), n</w:t>
        </w:r>
        <w:r w:rsidRPr="00A30E6D">
          <w:rPr>
            <w:rStyle w:val="Hyperlink"/>
            <w:noProof/>
            <w:vertAlign w:val="subscript"/>
          </w:rPr>
          <w:t xml:space="preserve">e1 </w:t>
        </w:r>
        <w:r w:rsidRPr="00A30E6D">
          <w:rPr>
            <w:rStyle w:val="Hyperlink"/>
            <w:noProof/>
          </w:rPr>
          <w:t>from equation (18), n</w:t>
        </w:r>
        <w:r w:rsidRPr="00A30E6D">
          <w:rPr>
            <w:rStyle w:val="Hyperlink"/>
            <w:noProof/>
            <w:vertAlign w:val="subscript"/>
          </w:rPr>
          <w:t xml:space="preserve">e2 </w:t>
        </w:r>
        <w:r w:rsidRPr="00A30E6D">
          <w:rPr>
            <w:rStyle w:val="Hyperlink"/>
            <w:noProof/>
          </w:rPr>
          <w:t>from equation (20)</w:t>
        </w:r>
        <w:r>
          <w:rPr>
            <w:noProof/>
            <w:webHidden/>
          </w:rPr>
          <w:tab/>
        </w:r>
        <w:r>
          <w:rPr>
            <w:noProof/>
            <w:webHidden/>
          </w:rPr>
          <w:fldChar w:fldCharType="begin"/>
        </w:r>
        <w:r>
          <w:rPr>
            <w:noProof/>
            <w:webHidden/>
          </w:rPr>
          <w:instrText xml:space="preserve"> PAGEREF _Toc498504885 \h </w:instrText>
        </w:r>
        <w:r>
          <w:rPr>
            <w:noProof/>
            <w:webHidden/>
          </w:rPr>
        </w:r>
        <w:r>
          <w:rPr>
            <w:noProof/>
            <w:webHidden/>
          </w:rPr>
          <w:fldChar w:fldCharType="separate"/>
        </w:r>
        <w:r w:rsidR="00627452">
          <w:rPr>
            <w:noProof/>
            <w:webHidden/>
          </w:rPr>
          <w:t>66</w:t>
        </w:r>
        <w:r>
          <w:rPr>
            <w:noProof/>
            <w:webHidden/>
          </w:rPr>
          <w:fldChar w:fldCharType="end"/>
        </w:r>
      </w:hyperlink>
    </w:p>
    <w:p w14:paraId="1FDA170F" w14:textId="37998B87" w:rsidR="00E41FF9" w:rsidRDefault="00E41FF9">
      <w:pPr>
        <w:pStyle w:val="TableofFigures"/>
        <w:tabs>
          <w:tab w:val="right" w:leader="dot" w:pos="9350"/>
        </w:tabs>
        <w:rPr>
          <w:rFonts w:asciiTheme="minorHAnsi" w:hAnsiTheme="minorHAnsi"/>
          <w:noProof/>
          <w:color w:val="auto"/>
          <w:sz w:val="22"/>
          <w:szCs w:val="22"/>
          <w:lang w:bidi="ar-SA"/>
        </w:rPr>
      </w:pPr>
      <w:hyperlink w:anchor="_Toc498504886" w:history="1">
        <w:r w:rsidRPr="003169A6">
          <w:rPr>
            <w:rStyle w:val="Hyperlink"/>
            <w:b/>
            <w:noProof/>
          </w:rPr>
          <w:t>Table 3.4</w:t>
        </w:r>
        <w:r w:rsidRPr="00A30E6D">
          <w:rPr>
            <w:rStyle w:val="Hyperlink"/>
            <w:noProof/>
          </w:rPr>
          <w:t xml:space="preserve"> Percent standard errors for input parameters for equation (18) for tests in this study (FW220 through FW224), test well FW225 is omitted due to invalid results</w:t>
        </w:r>
        <w:r>
          <w:rPr>
            <w:noProof/>
            <w:webHidden/>
          </w:rPr>
          <w:tab/>
        </w:r>
        <w:r>
          <w:rPr>
            <w:noProof/>
            <w:webHidden/>
          </w:rPr>
          <w:fldChar w:fldCharType="begin"/>
        </w:r>
        <w:r>
          <w:rPr>
            <w:noProof/>
            <w:webHidden/>
          </w:rPr>
          <w:instrText xml:space="preserve"> PAGEREF _Toc498504886 \h </w:instrText>
        </w:r>
        <w:r>
          <w:rPr>
            <w:noProof/>
            <w:webHidden/>
          </w:rPr>
        </w:r>
        <w:r>
          <w:rPr>
            <w:noProof/>
            <w:webHidden/>
          </w:rPr>
          <w:fldChar w:fldCharType="separate"/>
        </w:r>
        <w:r w:rsidR="00627452">
          <w:rPr>
            <w:noProof/>
            <w:webHidden/>
          </w:rPr>
          <w:t>68</w:t>
        </w:r>
        <w:r>
          <w:rPr>
            <w:noProof/>
            <w:webHidden/>
          </w:rPr>
          <w:fldChar w:fldCharType="end"/>
        </w:r>
      </w:hyperlink>
    </w:p>
    <w:p w14:paraId="0CB35905" w14:textId="15752C81" w:rsidR="00E41FF9" w:rsidRDefault="00E41FF9">
      <w:pPr>
        <w:pStyle w:val="TableofFigures"/>
        <w:tabs>
          <w:tab w:val="right" w:leader="dot" w:pos="9350"/>
        </w:tabs>
        <w:rPr>
          <w:rFonts w:asciiTheme="minorHAnsi" w:hAnsiTheme="minorHAnsi"/>
          <w:noProof/>
          <w:color w:val="auto"/>
          <w:sz w:val="22"/>
          <w:szCs w:val="22"/>
          <w:lang w:bidi="ar-SA"/>
        </w:rPr>
      </w:pPr>
      <w:hyperlink w:anchor="_Toc498504887" w:history="1">
        <w:r w:rsidRPr="003169A6">
          <w:rPr>
            <w:rStyle w:val="Hyperlink"/>
            <w:b/>
            <w:noProof/>
          </w:rPr>
          <w:t>Table 4.1</w:t>
        </w:r>
        <w:r w:rsidRPr="00A30E6D">
          <w:rPr>
            <w:rStyle w:val="Hyperlink"/>
            <w:noProof/>
          </w:rPr>
          <w:t xml:space="preserve"> Concentrations of non-reactive (bromide) and potentially reactive solutes (nitrate, nitrite, sulfate, and uranium) within the injection and aquifer fluids from a previously published study by Paradis et al. (2016)</w:t>
        </w:r>
        <w:r>
          <w:rPr>
            <w:noProof/>
            <w:webHidden/>
          </w:rPr>
          <w:tab/>
        </w:r>
        <w:r>
          <w:rPr>
            <w:noProof/>
            <w:webHidden/>
          </w:rPr>
          <w:fldChar w:fldCharType="begin"/>
        </w:r>
        <w:r>
          <w:rPr>
            <w:noProof/>
            <w:webHidden/>
          </w:rPr>
          <w:instrText xml:space="preserve"> PAGEREF _Toc498504887 \h </w:instrText>
        </w:r>
        <w:r>
          <w:rPr>
            <w:noProof/>
            <w:webHidden/>
          </w:rPr>
        </w:r>
        <w:r>
          <w:rPr>
            <w:noProof/>
            <w:webHidden/>
          </w:rPr>
          <w:fldChar w:fldCharType="separate"/>
        </w:r>
        <w:r w:rsidR="00627452">
          <w:rPr>
            <w:noProof/>
            <w:webHidden/>
          </w:rPr>
          <w:t>100</w:t>
        </w:r>
        <w:r>
          <w:rPr>
            <w:noProof/>
            <w:webHidden/>
          </w:rPr>
          <w:fldChar w:fldCharType="end"/>
        </w:r>
      </w:hyperlink>
    </w:p>
    <w:p w14:paraId="576ABBA1" w14:textId="659C0CF3" w:rsidR="00E41FF9" w:rsidRDefault="00E41FF9">
      <w:pPr>
        <w:pStyle w:val="TableofFigures"/>
        <w:tabs>
          <w:tab w:val="right" w:leader="dot" w:pos="9350"/>
        </w:tabs>
        <w:rPr>
          <w:rFonts w:asciiTheme="minorHAnsi" w:hAnsiTheme="minorHAnsi"/>
          <w:noProof/>
          <w:color w:val="auto"/>
          <w:sz w:val="22"/>
          <w:szCs w:val="22"/>
          <w:lang w:bidi="ar-SA"/>
        </w:rPr>
      </w:pPr>
      <w:hyperlink w:anchor="_Toc498504888" w:history="1">
        <w:r w:rsidRPr="003169A6">
          <w:rPr>
            <w:rStyle w:val="Hyperlink"/>
            <w:b/>
            <w:noProof/>
          </w:rPr>
          <w:t>Table 4.2</w:t>
        </w:r>
        <w:r w:rsidRPr="00A30E6D">
          <w:rPr>
            <w:rStyle w:val="Hyperlink"/>
            <w:noProof/>
          </w:rPr>
          <w:t xml:space="preserve"> Recovery factors of uranium and sulfate from the dilution-adjusted and stepwise-mixing models, dilution-adjusted recovery factors are from Paradis et al. (2016)</w:t>
        </w:r>
        <w:r>
          <w:rPr>
            <w:noProof/>
            <w:webHidden/>
          </w:rPr>
          <w:tab/>
        </w:r>
        <w:r>
          <w:rPr>
            <w:noProof/>
            <w:webHidden/>
          </w:rPr>
          <w:fldChar w:fldCharType="begin"/>
        </w:r>
        <w:r>
          <w:rPr>
            <w:noProof/>
            <w:webHidden/>
          </w:rPr>
          <w:instrText xml:space="preserve"> PAGEREF _Toc498504888 \h </w:instrText>
        </w:r>
        <w:r>
          <w:rPr>
            <w:noProof/>
            <w:webHidden/>
          </w:rPr>
        </w:r>
        <w:r>
          <w:rPr>
            <w:noProof/>
            <w:webHidden/>
          </w:rPr>
          <w:fldChar w:fldCharType="separate"/>
        </w:r>
        <w:r w:rsidR="00627452">
          <w:rPr>
            <w:noProof/>
            <w:webHidden/>
          </w:rPr>
          <w:t>105</w:t>
        </w:r>
        <w:r>
          <w:rPr>
            <w:noProof/>
            <w:webHidden/>
          </w:rPr>
          <w:fldChar w:fldCharType="end"/>
        </w:r>
      </w:hyperlink>
    </w:p>
    <w:p w14:paraId="34ACECC6" w14:textId="3CC0ECF3" w:rsidR="00E41FF9" w:rsidRDefault="00E41FF9">
      <w:pPr>
        <w:pStyle w:val="TableofFigures"/>
        <w:tabs>
          <w:tab w:val="right" w:leader="dot" w:pos="9350"/>
        </w:tabs>
        <w:rPr>
          <w:rFonts w:asciiTheme="minorHAnsi" w:hAnsiTheme="minorHAnsi"/>
          <w:noProof/>
          <w:color w:val="auto"/>
          <w:sz w:val="22"/>
          <w:szCs w:val="22"/>
          <w:lang w:bidi="ar-SA"/>
        </w:rPr>
      </w:pPr>
      <w:hyperlink w:anchor="_Toc498504889" w:history="1">
        <w:r w:rsidRPr="003169A6">
          <w:rPr>
            <w:rStyle w:val="Hyperlink"/>
            <w:b/>
            <w:noProof/>
          </w:rPr>
          <w:t>Table 5.1</w:t>
        </w:r>
        <w:r w:rsidRPr="00A30E6D">
          <w:rPr>
            <w:rStyle w:val="Hyperlink"/>
            <w:noProof/>
          </w:rPr>
          <w:t xml:space="preserve"> Physical and chemical characteristics from substrate treatment (FW222), and substrate control (FW224) wells from Paradis et al. (2016) and Paradis et al. (2017b).</w:t>
        </w:r>
        <w:r>
          <w:rPr>
            <w:noProof/>
            <w:webHidden/>
          </w:rPr>
          <w:tab/>
        </w:r>
        <w:r>
          <w:rPr>
            <w:noProof/>
            <w:webHidden/>
          </w:rPr>
          <w:fldChar w:fldCharType="begin"/>
        </w:r>
        <w:r>
          <w:rPr>
            <w:noProof/>
            <w:webHidden/>
          </w:rPr>
          <w:instrText xml:space="preserve"> PAGEREF _Toc498504889 \h </w:instrText>
        </w:r>
        <w:r>
          <w:rPr>
            <w:noProof/>
            <w:webHidden/>
          </w:rPr>
        </w:r>
        <w:r>
          <w:rPr>
            <w:noProof/>
            <w:webHidden/>
          </w:rPr>
          <w:fldChar w:fldCharType="separate"/>
        </w:r>
        <w:r w:rsidR="00627452">
          <w:rPr>
            <w:noProof/>
            <w:webHidden/>
          </w:rPr>
          <w:t>115</w:t>
        </w:r>
        <w:r>
          <w:rPr>
            <w:noProof/>
            <w:webHidden/>
          </w:rPr>
          <w:fldChar w:fldCharType="end"/>
        </w:r>
      </w:hyperlink>
    </w:p>
    <w:p w14:paraId="6904473C" w14:textId="01A791DE" w:rsidR="00E41FF9" w:rsidRDefault="00E41FF9">
      <w:pPr>
        <w:pStyle w:val="TableofFigures"/>
        <w:tabs>
          <w:tab w:val="right" w:leader="dot" w:pos="9350"/>
        </w:tabs>
        <w:rPr>
          <w:rFonts w:asciiTheme="minorHAnsi" w:hAnsiTheme="minorHAnsi"/>
          <w:noProof/>
          <w:color w:val="auto"/>
          <w:sz w:val="22"/>
          <w:szCs w:val="22"/>
          <w:lang w:bidi="ar-SA"/>
        </w:rPr>
      </w:pPr>
      <w:hyperlink w:anchor="_Toc498504890" w:history="1">
        <w:r w:rsidRPr="003169A6">
          <w:rPr>
            <w:rStyle w:val="Hyperlink"/>
            <w:b/>
            <w:noProof/>
          </w:rPr>
          <w:t>Table 5.2</w:t>
        </w:r>
        <w:r w:rsidRPr="00A30E6D">
          <w:rPr>
            <w:rStyle w:val="Hyperlink"/>
            <w:noProof/>
          </w:rPr>
          <w:t xml:space="preserve"> Experimental design of ethanol exposure tests for substrate treatment (FW222) and substrate control (FW224) wells, EtOH = ethanol.</w:t>
        </w:r>
        <w:r>
          <w:rPr>
            <w:noProof/>
            <w:webHidden/>
          </w:rPr>
          <w:tab/>
        </w:r>
        <w:r>
          <w:rPr>
            <w:noProof/>
            <w:webHidden/>
          </w:rPr>
          <w:fldChar w:fldCharType="begin"/>
        </w:r>
        <w:r>
          <w:rPr>
            <w:noProof/>
            <w:webHidden/>
          </w:rPr>
          <w:instrText xml:space="preserve"> PAGEREF _Toc498504890 \h </w:instrText>
        </w:r>
        <w:r>
          <w:rPr>
            <w:noProof/>
            <w:webHidden/>
          </w:rPr>
        </w:r>
        <w:r>
          <w:rPr>
            <w:noProof/>
            <w:webHidden/>
          </w:rPr>
          <w:fldChar w:fldCharType="separate"/>
        </w:r>
        <w:r w:rsidR="00627452">
          <w:rPr>
            <w:noProof/>
            <w:webHidden/>
          </w:rPr>
          <w:t>118</w:t>
        </w:r>
        <w:r>
          <w:rPr>
            <w:noProof/>
            <w:webHidden/>
          </w:rPr>
          <w:fldChar w:fldCharType="end"/>
        </w:r>
      </w:hyperlink>
    </w:p>
    <w:p w14:paraId="1FF155D7" w14:textId="1CE53CAC" w:rsidR="0058510D" w:rsidRDefault="00E35D3F" w:rsidP="0064597A">
      <w:pPr>
        <w:rPr>
          <w:b/>
          <w:szCs w:val="22"/>
        </w:rPr>
      </w:pPr>
      <w:r>
        <w:rPr>
          <w:b/>
          <w:szCs w:val="22"/>
        </w:rPr>
        <w:fldChar w:fldCharType="end"/>
      </w:r>
      <w:bookmarkStart w:id="1" w:name="_Toc475175616"/>
    </w:p>
    <w:p w14:paraId="0876CEC2" w14:textId="77777777" w:rsidR="00B425C5" w:rsidRDefault="00B425C5" w:rsidP="0064597A">
      <w:pPr>
        <w:rPr>
          <w:b/>
          <w:sz w:val="28"/>
          <w:szCs w:val="28"/>
        </w:rPr>
      </w:pPr>
    </w:p>
    <w:p w14:paraId="50E69E0D" w14:textId="77777777" w:rsidR="00B425C5" w:rsidRDefault="00B425C5" w:rsidP="0064597A">
      <w:pPr>
        <w:rPr>
          <w:b/>
          <w:sz w:val="28"/>
          <w:szCs w:val="28"/>
        </w:rPr>
      </w:pPr>
    </w:p>
    <w:p w14:paraId="3A4A2DB1" w14:textId="77777777" w:rsidR="00B425C5" w:rsidRDefault="00B425C5" w:rsidP="0064597A">
      <w:pPr>
        <w:rPr>
          <w:b/>
          <w:sz w:val="28"/>
          <w:szCs w:val="28"/>
        </w:rPr>
      </w:pPr>
    </w:p>
    <w:p w14:paraId="4AC7B864" w14:textId="77777777" w:rsidR="00B425C5" w:rsidRDefault="00B425C5" w:rsidP="0064597A">
      <w:pPr>
        <w:rPr>
          <w:b/>
          <w:sz w:val="28"/>
          <w:szCs w:val="28"/>
        </w:rPr>
      </w:pPr>
    </w:p>
    <w:p w14:paraId="6AF9AD0A" w14:textId="77777777" w:rsidR="00B425C5" w:rsidRDefault="00B425C5" w:rsidP="0064597A">
      <w:pPr>
        <w:rPr>
          <w:b/>
          <w:sz w:val="28"/>
          <w:szCs w:val="28"/>
        </w:rPr>
      </w:pPr>
    </w:p>
    <w:p w14:paraId="07705B3D" w14:textId="77777777" w:rsidR="00B425C5" w:rsidRDefault="00B425C5" w:rsidP="0064597A">
      <w:pPr>
        <w:rPr>
          <w:b/>
          <w:sz w:val="28"/>
          <w:szCs w:val="28"/>
        </w:rPr>
      </w:pPr>
    </w:p>
    <w:p w14:paraId="7C68D759" w14:textId="77777777" w:rsidR="00B425C5" w:rsidRDefault="00B425C5" w:rsidP="0064597A">
      <w:pPr>
        <w:rPr>
          <w:b/>
          <w:sz w:val="28"/>
          <w:szCs w:val="28"/>
        </w:rPr>
      </w:pPr>
    </w:p>
    <w:p w14:paraId="5D1A6745" w14:textId="77777777" w:rsidR="00B425C5" w:rsidRDefault="00B425C5" w:rsidP="0064597A">
      <w:pPr>
        <w:rPr>
          <w:b/>
          <w:sz w:val="28"/>
          <w:szCs w:val="28"/>
        </w:rPr>
      </w:pPr>
    </w:p>
    <w:p w14:paraId="58F8984F" w14:textId="77777777" w:rsidR="00B425C5" w:rsidRDefault="00B425C5" w:rsidP="0064597A">
      <w:pPr>
        <w:rPr>
          <w:b/>
          <w:sz w:val="28"/>
          <w:szCs w:val="28"/>
        </w:rPr>
      </w:pPr>
    </w:p>
    <w:p w14:paraId="53F7EB29" w14:textId="77777777" w:rsidR="00B425C5" w:rsidRDefault="00B425C5" w:rsidP="0064597A">
      <w:pPr>
        <w:rPr>
          <w:b/>
          <w:sz w:val="28"/>
          <w:szCs w:val="28"/>
        </w:rPr>
      </w:pPr>
    </w:p>
    <w:p w14:paraId="69056347" w14:textId="77777777" w:rsidR="00B425C5" w:rsidRDefault="00B425C5" w:rsidP="0064597A">
      <w:pPr>
        <w:rPr>
          <w:b/>
          <w:sz w:val="28"/>
          <w:szCs w:val="28"/>
        </w:rPr>
      </w:pPr>
    </w:p>
    <w:p w14:paraId="1A861F48" w14:textId="79F14AE1" w:rsidR="007F2480" w:rsidRDefault="007F2480" w:rsidP="0064597A">
      <w:pPr>
        <w:rPr>
          <w:b/>
          <w:sz w:val="28"/>
          <w:szCs w:val="28"/>
        </w:rPr>
      </w:pPr>
    </w:p>
    <w:p w14:paraId="3E2F8FF7" w14:textId="77777777" w:rsidR="00E41FF9" w:rsidRDefault="00E41FF9" w:rsidP="0064597A">
      <w:pPr>
        <w:rPr>
          <w:b/>
          <w:sz w:val="28"/>
          <w:szCs w:val="28"/>
        </w:rPr>
      </w:pPr>
    </w:p>
    <w:p w14:paraId="23FB5273" w14:textId="77777777" w:rsidR="00E41FF9" w:rsidRDefault="00E41FF9" w:rsidP="0064597A">
      <w:pPr>
        <w:rPr>
          <w:b/>
          <w:sz w:val="28"/>
          <w:szCs w:val="28"/>
        </w:rPr>
      </w:pPr>
    </w:p>
    <w:p w14:paraId="266ABA7D" w14:textId="322A8349" w:rsidR="006A00EB" w:rsidRPr="0064597A" w:rsidRDefault="00B6511E" w:rsidP="0064597A">
      <w:pPr>
        <w:rPr>
          <w:b/>
          <w:sz w:val="28"/>
          <w:szCs w:val="28"/>
        </w:rPr>
      </w:pPr>
      <w:r w:rsidRPr="0064597A">
        <w:rPr>
          <w:b/>
          <w:sz w:val="28"/>
          <w:szCs w:val="28"/>
        </w:rPr>
        <w:lastRenderedPageBreak/>
        <w:t>List of Figures</w:t>
      </w:r>
      <w:bookmarkEnd w:id="1"/>
    </w:p>
    <w:p w14:paraId="0770AED6" w14:textId="46FFAACC" w:rsidR="00E41FF9" w:rsidRDefault="00DD27B7">
      <w:pPr>
        <w:pStyle w:val="TableofFigures"/>
        <w:tabs>
          <w:tab w:val="right" w:leader="dot" w:pos="9350"/>
        </w:tabs>
        <w:rPr>
          <w:rFonts w:asciiTheme="minorHAnsi" w:hAnsiTheme="minorHAnsi"/>
          <w:noProof/>
          <w:color w:val="auto"/>
          <w:sz w:val="22"/>
          <w:szCs w:val="22"/>
          <w:lang w:bidi="ar-SA"/>
        </w:rPr>
      </w:pPr>
      <w:r>
        <w:fldChar w:fldCharType="begin"/>
      </w:r>
      <w:r>
        <w:instrText xml:space="preserve"> TOC \h \z \c "Figure" </w:instrText>
      </w:r>
      <w:r>
        <w:fldChar w:fldCharType="separate"/>
      </w:r>
      <w:hyperlink w:anchor="_Toc498504891" w:history="1">
        <w:r w:rsidR="00E41FF9" w:rsidRPr="003169A6">
          <w:rPr>
            <w:rStyle w:val="Hyperlink"/>
            <w:b/>
            <w:noProof/>
          </w:rPr>
          <w:t>Figure 2.1</w:t>
        </w:r>
        <w:r w:rsidR="00E41FF9" w:rsidRPr="00441E49">
          <w:rPr>
            <w:rStyle w:val="Hyperlink"/>
            <w:noProof/>
          </w:rPr>
          <w:t xml:space="preserve"> Dilution-adjusted concentrations of ethanol, sulfate, and U(VI) in control well FW224 amended with 30 mM ethanol and 20 mM sulfate</w:t>
        </w:r>
        <w:r w:rsidR="00E41FF9">
          <w:rPr>
            <w:noProof/>
            <w:webHidden/>
          </w:rPr>
          <w:tab/>
        </w:r>
        <w:r w:rsidR="00E41FF9">
          <w:rPr>
            <w:noProof/>
            <w:webHidden/>
          </w:rPr>
          <w:fldChar w:fldCharType="begin"/>
        </w:r>
        <w:r w:rsidR="00E41FF9">
          <w:rPr>
            <w:noProof/>
            <w:webHidden/>
          </w:rPr>
          <w:instrText xml:space="preserve"> PAGEREF _Toc498504891 \h </w:instrText>
        </w:r>
        <w:r w:rsidR="00E41FF9">
          <w:rPr>
            <w:noProof/>
            <w:webHidden/>
          </w:rPr>
        </w:r>
        <w:r w:rsidR="00E41FF9">
          <w:rPr>
            <w:noProof/>
            <w:webHidden/>
          </w:rPr>
          <w:fldChar w:fldCharType="separate"/>
        </w:r>
        <w:r w:rsidR="00627452">
          <w:rPr>
            <w:noProof/>
            <w:webHidden/>
          </w:rPr>
          <w:t>18</w:t>
        </w:r>
        <w:r w:rsidR="00E41FF9">
          <w:rPr>
            <w:noProof/>
            <w:webHidden/>
          </w:rPr>
          <w:fldChar w:fldCharType="end"/>
        </w:r>
      </w:hyperlink>
    </w:p>
    <w:p w14:paraId="08EFEC89" w14:textId="418A8FC7" w:rsidR="00E41FF9" w:rsidRDefault="00E41FF9">
      <w:pPr>
        <w:pStyle w:val="TableofFigures"/>
        <w:tabs>
          <w:tab w:val="right" w:leader="dot" w:pos="9350"/>
        </w:tabs>
        <w:rPr>
          <w:rFonts w:asciiTheme="minorHAnsi" w:hAnsiTheme="minorHAnsi"/>
          <w:noProof/>
          <w:color w:val="auto"/>
          <w:sz w:val="22"/>
          <w:szCs w:val="22"/>
          <w:lang w:bidi="ar-SA"/>
        </w:rPr>
      </w:pPr>
      <w:hyperlink w:anchor="_Toc498504892" w:history="1">
        <w:r w:rsidRPr="003169A6">
          <w:rPr>
            <w:rStyle w:val="Hyperlink"/>
            <w:b/>
            <w:noProof/>
          </w:rPr>
          <w:t>Figure 2.2</w:t>
        </w:r>
        <w:r w:rsidRPr="00441E49">
          <w:rPr>
            <w:rStyle w:val="Hyperlink"/>
            <w:noProof/>
          </w:rPr>
          <w:t xml:space="preserve"> Dilution-adjusted concentrations of nitrate and nitrite (a) and sulfate and U(VI) (b) in well FW220 amended with 120 mM nitrate</w:t>
        </w:r>
        <w:r>
          <w:rPr>
            <w:noProof/>
            <w:webHidden/>
          </w:rPr>
          <w:tab/>
        </w:r>
        <w:r>
          <w:rPr>
            <w:noProof/>
            <w:webHidden/>
          </w:rPr>
          <w:fldChar w:fldCharType="begin"/>
        </w:r>
        <w:r>
          <w:rPr>
            <w:noProof/>
            <w:webHidden/>
          </w:rPr>
          <w:instrText xml:space="preserve"> PAGEREF _Toc498504892 \h </w:instrText>
        </w:r>
        <w:r>
          <w:rPr>
            <w:noProof/>
            <w:webHidden/>
          </w:rPr>
        </w:r>
        <w:r>
          <w:rPr>
            <w:noProof/>
            <w:webHidden/>
          </w:rPr>
          <w:fldChar w:fldCharType="separate"/>
        </w:r>
        <w:r w:rsidR="00627452">
          <w:rPr>
            <w:noProof/>
            <w:webHidden/>
          </w:rPr>
          <w:t>22</w:t>
        </w:r>
        <w:r>
          <w:rPr>
            <w:noProof/>
            <w:webHidden/>
          </w:rPr>
          <w:fldChar w:fldCharType="end"/>
        </w:r>
      </w:hyperlink>
    </w:p>
    <w:p w14:paraId="7751FE5C" w14:textId="3FB18175" w:rsidR="00E41FF9" w:rsidRDefault="00E41FF9">
      <w:pPr>
        <w:pStyle w:val="TableofFigures"/>
        <w:tabs>
          <w:tab w:val="right" w:leader="dot" w:pos="9350"/>
        </w:tabs>
        <w:rPr>
          <w:rFonts w:asciiTheme="minorHAnsi" w:hAnsiTheme="minorHAnsi"/>
          <w:noProof/>
          <w:color w:val="auto"/>
          <w:sz w:val="22"/>
          <w:szCs w:val="22"/>
          <w:lang w:bidi="ar-SA"/>
        </w:rPr>
      </w:pPr>
      <w:hyperlink w:anchor="_Toc498504893" w:history="1">
        <w:r w:rsidRPr="003169A6">
          <w:rPr>
            <w:rStyle w:val="Hyperlink"/>
            <w:b/>
            <w:noProof/>
          </w:rPr>
          <w:t>Figure 2.3</w:t>
        </w:r>
        <w:r w:rsidRPr="00441E49">
          <w:rPr>
            <w:rStyle w:val="Hyperlink"/>
            <w:noProof/>
          </w:rPr>
          <w:t xml:space="preserve"> Dilution-adjusted concentrations of nitrate and nitrite (a) and sulfate and U(VI) (b) in well FW226 amended with 30 mM ethanol and 120 mM nitrate</w:t>
        </w:r>
        <w:r>
          <w:rPr>
            <w:noProof/>
            <w:webHidden/>
          </w:rPr>
          <w:tab/>
        </w:r>
        <w:r>
          <w:rPr>
            <w:noProof/>
            <w:webHidden/>
          </w:rPr>
          <w:fldChar w:fldCharType="begin"/>
        </w:r>
        <w:r>
          <w:rPr>
            <w:noProof/>
            <w:webHidden/>
          </w:rPr>
          <w:instrText xml:space="preserve"> PAGEREF _Toc498504893 \h </w:instrText>
        </w:r>
        <w:r>
          <w:rPr>
            <w:noProof/>
            <w:webHidden/>
          </w:rPr>
        </w:r>
        <w:r>
          <w:rPr>
            <w:noProof/>
            <w:webHidden/>
          </w:rPr>
          <w:fldChar w:fldCharType="separate"/>
        </w:r>
        <w:r w:rsidR="00627452">
          <w:rPr>
            <w:noProof/>
            <w:webHidden/>
          </w:rPr>
          <w:t>24</w:t>
        </w:r>
        <w:r>
          <w:rPr>
            <w:noProof/>
            <w:webHidden/>
          </w:rPr>
          <w:fldChar w:fldCharType="end"/>
        </w:r>
      </w:hyperlink>
    </w:p>
    <w:p w14:paraId="1F981146" w14:textId="4511673A" w:rsidR="00E41FF9" w:rsidRDefault="00E41FF9">
      <w:pPr>
        <w:pStyle w:val="TableofFigures"/>
        <w:tabs>
          <w:tab w:val="right" w:leader="dot" w:pos="9350"/>
        </w:tabs>
        <w:rPr>
          <w:rFonts w:asciiTheme="minorHAnsi" w:hAnsiTheme="minorHAnsi"/>
          <w:noProof/>
          <w:color w:val="auto"/>
          <w:sz w:val="22"/>
          <w:szCs w:val="22"/>
          <w:lang w:bidi="ar-SA"/>
        </w:rPr>
      </w:pPr>
      <w:hyperlink w:anchor="_Toc498504894" w:history="1">
        <w:r w:rsidRPr="003169A6">
          <w:rPr>
            <w:rStyle w:val="Hyperlink"/>
            <w:b/>
            <w:noProof/>
          </w:rPr>
          <w:t>Figure 2.4</w:t>
        </w:r>
        <w:r w:rsidRPr="00441E49">
          <w:rPr>
            <w:rStyle w:val="Hyperlink"/>
            <w:noProof/>
          </w:rPr>
          <w:t xml:space="preserve"> Dilution-adjusted concentrations of nitrate and nitrite (a) and sulfate and U(VI) (b) in well FW222 amended with 30 mM ethanol and 2 mM nitrate</w:t>
        </w:r>
        <w:r>
          <w:rPr>
            <w:noProof/>
            <w:webHidden/>
          </w:rPr>
          <w:tab/>
        </w:r>
        <w:r>
          <w:rPr>
            <w:noProof/>
            <w:webHidden/>
          </w:rPr>
          <w:fldChar w:fldCharType="begin"/>
        </w:r>
        <w:r>
          <w:rPr>
            <w:noProof/>
            <w:webHidden/>
          </w:rPr>
          <w:instrText xml:space="preserve"> PAGEREF _Toc498504894 \h </w:instrText>
        </w:r>
        <w:r>
          <w:rPr>
            <w:noProof/>
            <w:webHidden/>
          </w:rPr>
        </w:r>
        <w:r>
          <w:rPr>
            <w:noProof/>
            <w:webHidden/>
          </w:rPr>
          <w:fldChar w:fldCharType="separate"/>
        </w:r>
        <w:r w:rsidR="00627452">
          <w:rPr>
            <w:noProof/>
            <w:webHidden/>
          </w:rPr>
          <w:t>26</w:t>
        </w:r>
        <w:r>
          <w:rPr>
            <w:noProof/>
            <w:webHidden/>
          </w:rPr>
          <w:fldChar w:fldCharType="end"/>
        </w:r>
      </w:hyperlink>
    </w:p>
    <w:p w14:paraId="27DB7C07" w14:textId="11FCF444" w:rsidR="00E41FF9" w:rsidRDefault="00E41FF9">
      <w:pPr>
        <w:pStyle w:val="TableofFigures"/>
        <w:tabs>
          <w:tab w:val="right" w:leader="dot" w:pos="9350"/>
        </w:tabs>
        <w:rPr>
          <w:rFonts w:asciiTheme="minorHAnsi" w:hAnsiTheme="minorHAnsi"/>
          <w:noProof/>
          <w:color w:val="auto"/>
          <w:sz w:val="22"/>
          <w:szCs w:val="22"/>
          <w:lang w:bidi="ar-SA"/>
        </w:rPr>
      </w:pPr>
      <w:hyperlink w:anchor="_Toc498504895" w:history="1">
        <w:r w:rsidRPr="003169A6">
          <w:rPr>
            <w:rStyle w:val="Hyperlink"/>
            <w:b/>
            <w:noProof/>
          </w:rPr>
          <w:t>Figure 3.1</w:t>
        </w:r>
        <w:r w:rsidRPr="00441E49">
          <w:rPr>
            <w:rStyle w:val="Hyperlink"/>
            <w:noProof/>
          </w:rPr>
          <w:t xml:space="preserve"> Plan-view depiction of the center of mass of a tracer at the end of the injection (1), drift (2), and extraction (3) phases, r</w:t>
        </w:r>
        <w:r w:rsidRPr="00441E49">
          <w:rPr>
            <w:rStyle w:val="Hyperlink"/>
            <w:noProof/>
            <w:vertAlign w:val="subscript"/>
          </w:rPr>
          <w:t>i</w:t>
        </w:r>
        <w:r w:rsidRPr="00441E49">
          <w:rPr>
            <w:rStyle w:val="Hyperlink"/>
            <w:noProof/>
          </w:rPr>
          <w:t xml:space="preserve"> = displacement due to injection, r</w:t>
        </w:r>
        <w:r w:rsidRPr="00441E49">
          <w:rPr>
            <w:rStyle w:val="Hyperlink"/>
            <w:noProof/>
            <w:vertAlign w:val="subscript"/>
          </w:rPr>
          <w:t>a</w:t>
        </w:r>
        <w:r w:rsidRPr="00441E49">
          <w:rPr>
            <w:rStyle w:val="Hyperlink"/>
            <w:noProof/>
          </w:rPr>
          <w:t xml:space="preserve"> = displacement due to ambient groundwater flow, r</w:t>
        </w:r>
        <w:r w:rsidRPr="00441E49">
          <w:rPr>
            <w:rStyle w:val="Hyperlink"/>
            <w:noProof/>
            <w:vertAlign w:val="subscript"/>
          </w:rPr>
          <w:t>e</w:t>
        </w:r>
        <w:r w:rsidRPr="00441E49">
          <w:rPr>
            <w:rStyle w:val="Hyperlink"/>
            <w:noProof/>
          </w:rPr>
          <w:t xml:space="preserve"> = displacement due to extraction</w:t>
        </w:r>
        <w:r>
          <w:rPr>
            <w:noProof/>
            <w:webHidden/>
          </w:rPr>
          <w:tab/>
        </w:r>
        <w:r>
          <w:rPr>
            <w:noProof/>
            <w:webHidden/>
          </w:rPr>
          <w:fldChar w:fldCharType="begin"/>
        </w:r>
        <w:r>
          <w:rPr>
            <w:noProof/>
            <w:webHidden/>
          </w:rPr>
          <w:instrText xml:space="preserve"> PAGEREF _Toc498504895 \h </w:instrText>
        </w:r>
        <w:r>
          <w:rPr>
            <w:noProof/>
            <w:webHidden/>
          </w:rPr>
        </w:r>
        <w:r>
          <w:rPr>
            <w:noProof/>
            <w:webHidden/>
          </w:rPr>
          <w:fldChar w:fldCharType="separate"/>
        </w:r>
        <w:r w:rsidR="00627452">
          <w:rPr>
            <w:noProof/>
            <w:webHidden/>
          </w:rPr>
          <w:t>49</w:t>
        </w:r>
        <w:r>
          <w:rPr>
            <w:noProof/>
            <w:webHidden/>
          </w:rPr>
          <w:fldChar w:fldCharType="end"/>
        </w:r>
      </w:hyperlink>
    </w:p>
    <w:p w14:paraId="2A31EAF7" w14:textId="46ADFF58" w:rsidR="00E41FF9" w:rsidRDefault="00E41FF9">
      <w:pPr>
        <w:pStyle w:val="TableofFigures"/>
        <w:tabs>
          <w:tab w:val="right" w:leader="dot" w:pos="9350"/>
        </w:tabs>
        <w:rPr>
          <w:rFonts w:asciiTheme="minorHAnsi" w:hAnsiTheme="minorHAnsi"/>
          <w:noProof/>
          <w:color w:val="auto"/>
          <w:sz w:val="22"/>
          <w:szCs w:val="22"/>
          <w:lang w:bidi="ar-SA"/>
        </w:rPr>
      </w:pPr>
      <w:hyperlink w:anchor="_Toc498504896" w:history="1">
        <w:r w:rsidRPr="003169A6">
          <w:rPr>
            <w:rStyle w:val="Hyperlink"/>
            <w:b/>
            <w:noProof/>
          </w:rPr>
          <w:t>Figure 3.2</w:t>
        </w:r>
        <w:r w:rsidRPr="00441E49">
          <w:rPr>
            <w:rStyle w:val="Hyperlink"/>
            <w:noProof/>
          </w:rPr>
          <w:t xml:space="preserve"> Plan-view maps of the study site, clockwise from upper left, country map showing study site location in the southeastern United States, area map showing study site location in Area 2 of the OR-IFRC, and study site map showing well locations, groundwater elevations, and groundwater elevation iso-contours, m amsl = meters above mean sea level</w:t>
        </w:r>
        <w:r>
          <w:rPr>
            <w:noProof/>
            <w:webHidden/>
          </w:rPr>
          <w:tab/>
        </w:r>
        <w:r>
          <w:rPr>
            <w:noProof/>
            <w:webHidden/>
          </w:rPr>
          <w:fldChar w:fldCharType="begin"/>
        </w:r>
        <w:r>
          <w:rPr>
            <w:noProof/>
            <w:webHidden/>
          </w:rPr>
          <w:instrText xml:space="preserve"> PAGEREF _Toc498504896 \h </w:instrText>
        </w:r>
        <w:r>
          <w:rPr>
            <w:noProof/>
            <w:webHidden/>
          </w:rPr>
        </w:r>
        <w:r>
          <w:rPr>
            <w:noProof/>
            <w:webHidden/>
          </w:rPr>
          <w:fldChar w:fldCharType="separate"/>
        </w:r>
        <w:r w:rsidR="00627452">
          <w:rPr>
            <w:noProof/>
            <w:webHidden/>
          </w:rPr>
          <w:t>54</w:t>
        </w:r>
        <w:r>
          <w:rPr>
            <w:noProof/>
            <w:webHidden/>
          </w:rPr>
          <w:fldChar w:fldCharType="end"/>
        </w:r>
      </w:hyperlink>
    </w:p>
    <w:p w14:paraId="580FD813" w14:textId="0708052B" w:rsidR="00E41FF9" w:rsidRDefault="00E41FF9">
      <w:pPr>
        <w:pStyle w:val="TableofFigures"/>
        <w:tabs>
          <w:tab w:val="right" w:leader="dot" w:pos="9350"/>
        </w:tabs>
        <w:rPr>
          <w:rFonts w:asciiTheme="minorHAnsi" w:hAnsiTheme="minorHAnsi"/>
          <w:noProof/>
          <w:color w:val="auto"/>
          <w:sz w:val="22"/>
          <w:szCs w:val="22"/>
          <w:lang w:bidi="ar-SA"/>
        </w:rPr>
      </w:pPr>
      <w:hyperlink w:anchor="_Toc498504897" w:history="1">
        <w:r w:rsidRPr="003169A6">
          <w:rPr>
            <w:rStyle w:val="Hyperlink"/>
            <w:b/>
            <w:noProof/>
          </w:rPr>
          <w:t>Figure 3.3</w:t>
        </w:r>
        <w:r w:rsidRPr="00441E49">
          <w:rPr>
            <w:rStyle w:val="Hyperlink"/>
            <w:noProof/>
          </w:rPr>
          <w:t xml:space="preserve"> Vertical-view conceptual model of the shallow, unconfined, aquifer and construction details of a test well, horizontal exaggeration is 50-fold</w:t>
        </w:r>
        <w:r>
          <w:rPr>
            <w:noProof/>
            <w:webHidden/>
          </w:rPr>
          <w:tab/>
        </w:r>
        <w:r>
          <w:rPr>
            <w:noProof/>
            <w:webHidden/>
          </w:rPr>
          <w:fldChar w:fldCharType="begin"/>
        </w:r>
        <w:r>
          <w:rPr>
            <w:noProof/>
            <w:webHidden/>
          </w:rPr>
          <w:instrText xml:space="preserve"> PAGEREF _Toc498504897 \h </w:instrText>
        </w:r>
        <w:r>
          <w:rPr>
            <w:noProof/>
            <w:webHidden/>
          </w:rPr>
        </w:r>
        <w:r>
          <w:rPr>
            <w:noProof/>
            <w:webHidden/>
          </w:rPr>
          <w:fldChar w:fldCharType="separate"/>
        </w:r>
        <w:r w:rsidR="00627452">
          <w:rPr>
            <w:noProof/>
            <w:webHidden/>
          </w:rPr>
          <w:t>55</w:t>
        </w:r>
        <w:r>
          <w:rPr>
            <w:noProof/>
            <w:webHidden/>
          </w:rPr>
          <w:fldChar w:fldCharType="end"/>
        </w:r>
      </w:hyperlink>
    </w:p>
    <w:p w14:paraId="72E142A4" w14:textId="72358922" w:rsidR="00E41FF9" w:rsidRDefault="00E41FF9">
      <w:pPr>
        <w:pStyle w:val="TableofFigures"/>
        <w:tabs>
          <w:tab w:val="right" w:leader="dot" w:pos="9350"/>
        </w:tabs>
        <w:rPr>
          <w:rFonts w:asciiTheme="minorHAnsi" w:hAnsiTheme="minorHAnsi"/>
          <w:noProof/>
          <w:color w:val="auto"/>
          <w:sz w:val="22"/>
          <w:szCs w:val="22"/>
          <w:lang w:bidi="ar-SA"/>
        </w:rPr>
      </w:pPr>
      <w:hyperlink w:anchor="_Toc498504898" w:history="1">
        <w:r w:rsidRPr="003169A6">
          <w:rPr>
            <w:rStyle w:val="Hyperlink"/>
            <w:b/>
            <w:noProof/>
          </w:rPr>
          <w:t>Figure 3.4</w:t>
        </w:r>
        <w:r w:rsidRPr="00441E49">
          <w:rPr>
            <w:rStyle w:val="Hyperlink"/>
            <w:noProof/>
          </w:rPr>
          <w:t xml:space="preserve"> Push-pull test data for all six test wells (FW220 through FW225) showing concentration of bromide (y axis) versus and time elapsed (x axis) during the pull phase of test, error bars represent the analytical uncertainty (</w:t>
        </w:r>
        <w:r w:rsidRPr="00441E49">
          <w:rPr>
            <w:rStyle w:val="Hyperlink"/>
            <w:rFonts w:cs="Times New Roman"/>
            <w:noProof/>
          </w:rPr>
          <w:t>± 4%</w:t>
        </w:r>
        <w:r w:rsidRPr="00441E49">
          <w:rPr>
            <w:rStyle w:val="Hyperlink"/>
            <w:noProof/>
          </w:rPr>
          <w:t>)</w:t>
        </w:r>
        <w:r>
          <w:rPr>
            <w:noProof/>
            <w:webHidden/>
          </w:rPr>
          <w:tab/>
        </w:r>
        <w:r>
          <w:rPr>
            <w:noProof/>
            <w:webHidden/>
          </w:rPr>
          <w:fldChar w:fldCharType="begin"/>
        </w:r>
        <w:r>
          <w:rPr>
            <w:noProof/>
            <w:webHidden/>
          </w:rPr>
          <w:instrText xml:space="preserve"> PAGEREF _Toc498504898 \h </w:instrText>
        </w:r>
        <w:r>
          <w:rPr>
            <w:noProof/>
            <w:webHidden/>
          </w:rPr>
        </w:r>
        <w:r>
          <w:rPr>
            <w:noProof/>
            <w:webHidden/>
          </w:rPr>
          <w:fldChar w:fldCharType="separate"/>
        </w:r>
        <w:r w:rsidR="00627452">
          <w:rPr>
            <w:noProof/>
            <w:webHidden/>
          </w:rPr>
          <w:t>64</w:t>
        </w:r>
        <w:r>
          <w:rPr>
            <w:noProof/>
            <w:webHidden/>
          </w:rPr>
          <w:fldChar w:fldCharType="end"/>
        </w:r>
      </w:hyperlink>
    </w:p>
    <w:p w14:paraId="46C68371" w14:textId="08E2A8CD" w:rsidR="00E41FF9" w:rsidRDefault="00E41FF9">
      <w:pPr>
        <w:pStyle w:val="TableofFigures"/>
        <w:tabs>
          <w:tab w:val="right" w:leader="dot" w:pos="9350"/>
        </w:tabs>
        <w:rPr>
          <w:rFonts w:asciiTheme="minorHAnsi" w:hAnsiTheme="minorHAnsi"/>
          <w:noProof/>
          <w:color w:val="auto"/>
          <w:sz w:val="22"/>
          <w:szCs w:val="22"/>
          <w:lang w:bidi="ar-SA"/>
        </w:rPr>
      </w:pPr>
      <w:hyperlink w:anchor="_Toc498504899" w:history="1">
        <w:r w:rsidRPr="003169A6">
          <w:rPr>
            <w:rStyle w:val="Hyperlink"/>
            <w:b/>
            <w:noProof/>
          </w:rPr>
          <w:t>Figure 3.5</w:t>
        </w:r>
        <w:r w:rsidRPr="00441E49">
          <w:rPr>
            <w:rStyle w:val="Hyperlink"/>
            <w:noProof/>
          </w:rPr>
          <w:t xml:space="preserve"> Effective porosity (n</w:t>
        </w:r>
        <w:r w:rsidRPr="00441E49">
          <w:rPr>
            <w:rStyle w:val="Hyperlink"/>
            <w:noProof/>
            <w:vertAlign w:val="subscript"/>
          </w:rPr>
          <w:t>e1</w:t>
        </w:r>
        <w:r w:rsidRPr="00441E49">
          <w:rPr>
            <w:rStyle w:val="Hyperlink"/>
            <w:noProof/>
          </w:rPr>
          <w:t>) per equation (18) for tests in this study (FW220 through FW224), test well FW225 is omitted due to invalid results, error bars represent the uncertainty</w:t>
        </w:r>
        <w:r>
          <w:rPr>
            <w:noProof/>
            <w:webHidden/>
          </w:rPr>
          <w:tab/>
        </w:r>
        <w:r>
          <w:rPr>
            <w:noProof/>
            <w:webHidden/>
          </w:rPr>
          <w:fldChar w:fldCharType="begin"/>
        </w:r>
        <w:r>
          <w:rPr>
            <w:noProof/>
            <w:webHidden/>
          </w:rPr>
          <w:instrText xml:space="preserve"> PAGEREF _Toc498504899 \h </w:instrText>
        </w:r>
        <w:r>
          <w:rPr>
            <w:noProof/>
            <w:webHidden/>
          </w:rPr>
        </w:r>
        <w:r>
          <w:rPr>
            <w:noProof/>
            <w:webHidden/>
          </w:rPr>
          <w:fldChar w:fldCharType="separate"/>
        </w:r>
        <w:r w:rsidR="00627452">
          <w:rPr>
            <w:noProof/>
            <w:webHidden/>
          </w:rPr>
          <w:t>69</w:t>
        </w:r>
        <w:r>
          <w:rPr>
            <w:noProof/>
            <w:webHidden/>
          </w:rPr>
          <w:fldChar w:fldCharType="end"/>
        </w:r>
      </w:hyperlink>
    </w:p>
    <w:p w14:paraId="48AD5540" w14:textId="16F33F21" w:rsidR="00E41FF9" w:rsidRDefault="00E41FF9">
      <w:pPr>
        <w:pStyle w:val="TableofFigures"/>
        <w:tabs>
          <w:tab w:val="right" w:leader="dot" w:pos="9350"/>
        </w:tabs>
        <w:rPr>
          <w:rFonts w:asciiTheme="minorHAnsi" w:hAnsiTheme="minorHAnsi"/>
          <w:noProof/>
          <w:color w:val="auto"/>
          <w:sz w:val="22"/>
          <w:szCs w:val="22"/>
          <w:lang w:bidi="ar-SA"/>
        </w:rPr>
      </w:pPr>
      <w:hyperlink w:anchor="_Toc498504900" w:history="1">
        <w:r w:rsidRPr="003169A6">
          <w:rPr>
            <w:rStyle w:val="Hyperlink"/>
            <w:b/>
            <w:noProof/>
          </w:rPr>
          <w:t>Figure 4.1</w:t>
        </w:r>
        <w:r w:rsidRPr="00441E49">
          <w:rPr>
            <w:rStyle w:val="Hyperlink"/>
            <w:noProof/>
          </w:rPr>
          <w:t xml:space="preserve"> Dilution-adjusted breakthrough curves of synthetic data from equation (1) of a potentially reactive tracer at values of equation (3) ranging from 0.5 to 10, equation (1) is valid when equation (3) is equal to 1, equation (1) is invalid when equation (3) is not equal to one, the injection concentration of the potentially reactive solute is 100 mg/L and does not react.</w:t>
        </w:r>
        <w:r>
          <w:rPr>
            <w:noProof/>
            <w:webHidden/>
          </w:rPr>
          <w:tab/>
        </w:r>
        <w:r>
          <w:rPr>
            <w:noProof/>
            <w:webHidden/>
          </w:rPr>
          <w:fldChar w:fldCharType="begin"/>
        </w:r>
        <w:r>
          <w:rPr>
            <w:noProof/>
            <w:webHidden/>
          </w:rPr>
          <w:instrText xml:space="preserve"> PAGEREF _Toc498504900 \h </w:instrText>
        </w:r>
        <w:r>
          <w:rPr>
            <w:noProof/>
            <w:webHidden/>
          </w:rPr>
        </w:r>
        <w:r>
          <w:rPr>
            <w:noProof/>
            <w:webHidden/>
          </w:rPr>
          <w:fldChar w:fldCharType="separate"/>
        </w:r>
        <w:r w:rsidR="00627452">
          <w:rPr>
            <w:noProof/>
            <w:webHidden/>
          </w:rPr>
          <w:t>89</w:t>
        </w:r>
        <w:r>
          <w:rPr>
            <w:noProof/>
            <w:webHidden/>
          </w:rPr>
          <w:fldChar w:fldCharType="end"/>
        </w:r>
      </w:hyperlink>
    </w:p>
    <w:p w14:paraId="3CAC51DD" w14:textId="2BDDFF62" w:rsidR="00E41FF9" w:rsidRDefault="00E41FF9">
      <w:pPr>
        <w:pStyle w:val="TableofFigures"/>
        <w:tabs>
          <w:tab w:val="right" w:leader="dot" w:pos="9350"/>
        </w:tabs>
        <w:rPr>
          <w:rFonts w:asciiTheme="minorHAnsi" w:hAnsiTheme="minorHAnsi"/>
          <w:noProof/>
          <w:color w:val="auto"/>
          <w:sz w:val="22"/>
          <w:szCs w:val="22"/>
          <w:lang w:bidi="ar-SA"/>
        </w:rPr>
      </w:pPr>
      <w:hyperlink w:anchor="_Toc498504901" w:history="1">
        <w:r w:rsidRPr="003169A6">
          <w:rPr>
            <w:rStyle w:val="Hyperlink"/>
            <w:b/>
            <w:noProof/>
          </w:rPr>
          <w:t>Figure 4.2</w:t>
        </w:r>
        <w:r w:rsidRPr="00441E49">
          <w:rPr>
            <w:rStyle w:val="Hyperlink"/>
            <w:noProof/>
          </w:rPr>
          <w:t xml:space="preserve"> Graphical depictions of the concentration of a non-reactive solute in the mixture of injection and aquifer fluids (C</w:t>
        </w:r>
        <w:r w:rsidRPr="00441E49">
          <w:rPr>
            <w:rStyle w:val="Hyperlink"/>
            <w:noProof/>
            <w:vertAlign w:val="subscript"/>
          </w:rPr>
          <w:t>m</w:t>
        </w:r>
        <w:r w:rsidRPr="00441E49">
          <w:rPr>
            <w:rStyle w:val="Hyperlink"/>
            <w:noProof/>
          </w:rPr>
          <w:t>) versus the elapsed time (t); C</w:t>
        </w:r>
        <w:r w:rsidRPr="00441E49">
          <w:rPr>
            <w:rStyle w:val="Hyperlink"/>
            <w:noProof/>
            <w:vertAlign w:val="subscript"/>
          </w:rPr>
          <w:t>i</w:t>
        </w:r>
        <w:r w:rsidRPr="00441E49">
          <w:rPr>
            <w:rStyle w:val="Hyperlink"/>
            <w:noProof/>
          </w:rPr>
          <w:t xml:space="preserve"> is the concentration of the non-reactive solute in the injection fluid, C</w:t>
        </w:r>
        <w:r w:rsidRPr="00441E49">
          <w:rPr>
            <w:rStyle w:val="Hyperlink"/>
            <w:noProof/>
            <w:vertAlign w:val="subscript"/>
          </w:rPr>
          <w:t xml:space="preserve">a </w:t>
        </w:r>
        <w:r w:rsidRPr="00441E49">
          <w:rPr>
            <w:rStyle w:val="Hyperlink"/>
            <w:noProof/>
          </w:rPr>
          <w:t>is the concentration of the non-reactive solute in the aquifer, C</w:t>
        </w:r>
        <w:r w:rsidRPr="00441E49">
          <w:rPr>
            <w:rStyle w:val="Hyperlink"/>
            <w:noProof/>
            <w:vertAlign w:val="subscript"/>
          </w:rPr>
          <w:t>i</w:t>
        </w:r>
        <w:r w:rsidRPr="00441E49">
          <w:rPr>
            <w:rStyle w:val="Hyperlink"/>
            <w:noProof/>
          </w:rPr>
          <w:t xml:space="preserve"> is greater than C</w:t>
        </w:r>
        <w:r w:rsidRPr="00441E49">
          <w:rPr>
            <w:rStyle w:val="Hyperlink"/>
            <w:noProof/>
            <w:vertAlign w:val="subscript"/>
          </w:rPr>
          <w:t>a</w:t>
        </w:r>
        <w:r w:rsidRPr="00441E49">
          <w:rPr>
            <w:rStyle w:val="Hyperlink"/>
            <w:noProof/>
          </w:rPr>
          <w:t xml:space="preserve"> in (a), C</w:t>
        </w:r>
        <w:r w:rsidRPr="00441E49">
          <w:rPr>
            <w:rStyle w:val="Hyperlink"/>
            <w:noProof/>
            <w:vertAlign w:val="subscript"/>
          </w:rPr>
          <w:t>i</w:t>
        </w:r>
        <w:r w:rsidRPr="00441E49">
          <w:rPr>
            <w:rStyle w:val="Hyperlink"/>
            <w:noProof/>
          </w:rPr>
          <w:t xml:space="preserve"> is less than C</w:t>
        </w:r>
        <w:r w:rsidRPr="00441E49">
          <w:rPr>
            <w:rStyle w:val="Hyperlink"/>
            <w:noProof/>
            <w:vertAlign w:val="subscript"/>
          </w:rPr>
          <w:t>a</w:t>
        </w:r>
        <w:r w:rsidRPr="00441E49">
          <w:rPr>
            <w:rStyle w:val="Hyperlink"/>
            <w:noProof/>
          </w:rPr>
          <w:t xml:space="preserve"> in (b).</w:t>
        </w:r>
        <w:r>
          <w:rPr>
            <w:noProof/>
            <w:webHidden/>
          </w:rPr>
          <w:tab/>
        </w:r>
        <w:r>
          <w:rPr>
            <w:noProof/>
            <w:webHidden/>
          </w:rPr>
          <w:fldChar w:fldCharType="begin"/>
        </w:r>
        <w:r>
          <w:rPr>
            <w:noProof/>
            <w:webHidden/>
          </w:rPr>
          <w:instrText xml:space="preserve"> PAGEREF _Toc498504901 \h </w:instrText>
        </w:r>
        <w:r>
          <w:rPr>
            <w:noProof/>
            <w:webHidden/>
          </w:rPr>
        </w:r>
        <w:r>
          <w:rPr>
            <w:noProof/>
            <w:webHidden/>
          </w:rPr>
          <w:fldChar w:fldCharType="separate"/>
        </w:r>
        <w:r w:rsidR="00627452">
          <w:rPr>
            <w:noProof/>
            <w:webHidden/>
          </w:rPr>
          <w:t>92</w:t>
        </w:r>
        <w:r>
          <w:rPr>
            <w:noProof/>
            <w:webHidden/>
          </w:rPr>
          <w:fldChar w:fldCharType="end"/>
        </w:r>
      </w:hyperlink>
    </w:p>
    <w:p w14:paraId="39CD6E6A" w14:textId="22947642" w:rsidR="00E41FF9" w:rsidRDefault="00E41FF9">
      <w:pPr>
        <w:pStyle w:val="TableofFigures"/>
        <w:tabs>
          <w:tab w:val="right" w:leader="dot" w:pos="9350"/>
        </w:tabs>
        <w:rPr>
          <w:rFonts w:asciiTheme="minorHAnsi" w:hAnsiTheme="minorHAnsi"/>
          <w:noProof/>
          <w:color w:val="auto"/>
          <w:sz w:val="22"/>
          <w:szCs w:val="22"/>
          <w:lang w:bidi="ar-SA"/>
        </w:rPr>
      </w:pPr>
      <w:hyperlink w:anchor="_Toc498504902" w:history="1">
        <w:r w:rsidRPr="003169A6">
          <w:rPr>
            <w:rStyle w:val="Hyperlink"/>
            <w:b/>
            <w:noProof/>
          </w:rPr>
          <w:t>Figure 4.3</w:t>
        </w:r>
        <w:r w:rsidRPr="00441E49">
          <w:rPr>
            <w:rStyle w:val="Hyperlink"/>
            <w:noProof/>
          </w:rPr>
          <w:t xml:space="preserve"> Synthetic and predicted data for a potentially reactive solute, scenario one (a) shows synthetic data subject to non-reactive mixing only and predicted data which assumed non-reactive mixing only, scenario two (b) shows synthetic data subject to non-reactive mixing and removal from the aqueous phase and predicted data which assumed non-reactive mixing only</w:t>
        </w:r>
        <w:r>
          <w:rPr>
            <w:noProof/>
            <w:webHidden/>
          </w:rPr>
          <w:tab/>
        </w:r>
        <w:r>
          <w:rPr>
            <w:noProof/>
            <w:webHidden/>
          </w:rPr>
          <w:fldChar w:fldCharType="begin"/>
        </w:r>
        <w:r>
          <w:rPr>
            <w:noProof/>
            <w:webHidden/>
          </w:rPr>
          <w:instrText xml:space="preserve"> PAGEREF _Toc498504902 \h </w:instrText>
        </w:r>
        <w:r>
          <w:rPr>
            <w:noProof/>
            <w:webHidden/>
          </w:rPr>
        </w:r>
        <w:r>
          <w:rPr>
            <w:noProof/>
            <w:webHidden/>
          </w:rPr>
          <w:fldChar w:fldCharType="separate"/>
        </w:r>
        <w:r w:rsidR="00627452">
          <w:rPr>
            <w:noProof/>
            <w:webHidden/>
          </w:rPr>
          <w:t>95</w:t>
        </w:r>
        <w:r>
          <w:rPr>
            <w:noProof/>
            <w:webHidden/>
          </w:rPr>
          <w:fldChar w:fldCharType="end"/>
        </w:r>
      </w:hyperlink>
    </w:p>
    <w:p w14:paraId="1911BE43" w14:textId="1BF80BF3" w:rsidR="00E41FF9" w:rsidRDefault="00E41FF9">
      <w:pPr>
        <w:pStyle w:val="TableofFigures"/>
        <w:tabs>
          <w:tab w:val="right" w:leader="dot" w:pos="9350"/>
        </w:tabs>
        <w:rPr>
          <w:rFonts w:asciiTheme="minorHAnsi" w:hAnsiTheme="minorHAnsi"/>
          <w:noProof/>
          <w:color w:val="auto"/>
          <w:sz w:val="22"/>
          <w:szCs w:val="22"/>
          <w:lang w:bidi="ar-SA"/>
        </w:rPr>
      </w:pPr>
      <w:hyperlink w:anchor="_Toc498504903" w:history="1">
        <w:r w:rsidRPr="003169A6">
          <w:rPr>
            <w:rStyle w:val="Hyperlink"/>
            <w:b/>
            <w:noProof/>
          </w:rPr>
          <w:t>Figure 4.4</w:t>
        </w:r>
        <w:r w:rsidRPr="00441E49">
          <w:rPr>
            <w:rStyle w:val="Hyperlink"/>
            <w:noProof/>
          </w:rPr>
          <w:t xml:space="preserve"> Synthetic and predicted data generated for scenario two from equation (12) and linear regression to determine the decay constant (k)</w:t>
        </w:r>
        <w:r>
          <w:rPr>
            <w:noProof/>
            <w:webHidden/>
          </w:rPr>
          <w:tab/>
        </w:r>
        <w:r>
          <w:rPr>
            <w:noProof/>
            <w:webHidden/>
          </w:rPr>
          <w:fldChar w:fldCharType="begin"/>
        </w:r>
        <w:r>
          <w:rPr>
            <w:noProof/>
            <w:webHidden/>
          </w:rPr>
          <w:instrText xml:space="preserve"> PAGEREF _Toc498504903 \h </w:instrText>
        </w:r>
        <w:r>
          <w:rPr>
            <w:noProof/>
            <w:webHidden/>
          </w:rPr>
        </w:r>
        <w:r>
          <w:rPr>
            <w:noProof/>
            <w:webHidden/>
          </w:rPr>
          <w:fldChar w:fldCharType="separate"/>
        </w:r>
        <w:r w:rsidR="00627452">
          <w:rPr>
            <w:noProof/>
            <w:webHidden/>
          </w:rPr>
          <w:t>97</w:t>
        </w:r>
        <w:r>
          <w:rPr>
            <w:noProof/>
            <w:webHidden/>
          </w:rPr>
          <w:fldChar w:fldCharType="end"/>
        </w:r>
      </w:hyperlink>
    </w:p>
    <w:p w14:paraId="58BCDD71" w14:textId="116E26F1" w:rsidR="00E41FF9" w:rsidRDefault="00E41FF9">
      <w:pPr>
        <w:pStyle w:val="TableofFigures"/>
        <w:tabs>
          <w:tab w:val="right" w:leader="dot" w:pos="9350"/>
        </w:tabs>
        <w:rPr>
          <w:rFonts w:asciiTheme="minorHAnsi" w:hAnsiTheme="minorHAnsi"/>
          <w:noProof/>
          <w:color w:val="auto"/>
          <w:sz w:val="22"/>
          <w:szCs w:val="22"/>
          <w:lang w:bidi="ar-SA"/>
        </w:rPr>
      </w:pPr>
      <w:hyperlink w:anchor="_Toc498504904" w:history="1">
        <w:r w:rsidRPr="003169A6">
          <w:rPr>
            <w:rStyle w:val="Hyperlink"/>
            <w:b/>
            <w:noProof/>
          </w:rPr>
          <w:t>Figure 4.5</w:t>
        </w:r>
        <w:r w:rsidRPr="00441E49">
          <w:rPr>
            <w:rStyle w:val="Hyperlink"/>
            <w:noProof/>
          </w:rPr>
          <w:t xml:space="preserve"> Breakthrough curves of nitrate and nitrite from the dilution-adjusted model (a), (c) and the stepwise-mixing model and measured data (b), (d)</w:t>
        </w:r>
        <w:r>
          <w:rPr>
            <w:noProof/>
            <w:webHidden/>
          </w:rPr>
          <w:tab/>
        </w:r>
        <w:r>
          <w:rPr>
            <w:noProof/>
            <w:webHidden/>
          </w:rPr>
          <w:fldChar w:fldCharType="begin"/>
        </w:r>
        <w:r>
          <w:rPr>
            <w:noProof/>
            <w:webHidden/>
          </w:rPr>
          <w:instrText xml:space="preserve"> PAGEREF _Toc498504904 \h </w:instrText>
        </w:r>
        <w:r>
          <w:rPr>
            <w:noProof/>
            <w:webHidden/>
          </w:rPr>
        </w:r>
        <w:r>
          <w:rPr>
            <w:noProof/>
            <w:webHidden/>
          </w:rPr>
          <w:fldChar w:fldCharType="separate"/>
        </w:r>
        <w:r w:rsidR="00627452">
          <w:rPr>
            <w:noProof/>
            <w:webHidden/>
          </w:rPr>
          <w:t>101</w:t>
        </w:r>
        <w:r>
          <w:rPr>
            <w:noProof/>
            <w:webHidden/>
          </w:rPr>
          <w:fldChar w:fldCharType="end"/>
        </w:r>
      </w:hyperlink>
    </w:p>
    <w:p w14:paraId="60880E5E" w14:textId="19F177D5" w:rsidR="00E41FF9" w:rsidRDefault="00E41FF9">
      <w:pPr>
        <w:pStyle w:val="TableofFigures"/>
        <w:tabs>
          <w:tab w:val="right" w:leader="dot" w:pos="9350"/>
        </w:tabs>
        <w:rPr>
          <w:rFonts w:asciiTheme="minorHAnsi" w:hAnsiTheme="minorHAnsi"/>
          <w:noProof/>
          <w:color w:val="auto"/>
          <w:sz w:val="22"/>
          <w:szCs w:val="22"/>
          <w:lang w:bidi="ar-SA"/>
        </w:rPr>
      </w:pPr>
      <w:hyperlink w:anchor="_Toc498504905" w:history="1">
        <w:r w:rsidRPr="003169A6">
          <w:rPr>
            <w:rStyle w:val="Hyperlink"/>
            <w:b/>
            <w:noProof/>
          </w:rPr>
          <w:t>Figure 4.6</w:t>
        </w:r>
        <w:r w:rsidRPr="00441E49">
          <w:rPr>
            <w:rStyle w:val="Hyperlink"/>
            <w:noProof/>
          </w:rPr>
          <w:t xml:space="preserve"> Breakthrough curves of sulfate and uranium from the dilution-adjusted model (a), (c) and stepwise-mixing model and measured data (b), (d)</w:t>
        </w:r>
        <w:r>
          <w:rPr>
            <w:noProof/>
            <w:webHidden/>
          </w:rPr>
          <w:tab/>
        </w:r>
        <w:r>
          <w:rPr>
            <w:noProof/>
            <w:webHidden/>
          </w:rPr>
          <w:fldChar w:fldCharType="begin"/>
        </w:r>
        <w:r>
          <w:rPr>
            <w:noProof/>
            <w:webHidden/>
          </w:rPr>
          <w:instrText xml:space="preserve"> PAGEREF _Toc498504905 \h </w:instrText>
        </w:r>
        <w:r>
          <w:rPr>
            <w:noProof/>
            <w:webHidden/>
          </w:rPr>
        </w:r>
        <w:r>
          <w:rPr>
            <w:noProof/>
            <w:webHidden/>
          </w:rPr>
          <w:fldChar w:fldCharType="separate"/>
        </w:r>
        <w:r w:rsidR="00627452">
          <w:rPr>
            <w:noProof/>
            <w:webHidden/>
          </w:rPr>
          <w:t>103</w:t>
        </w:r>
        <w:r>
          <w:rPr>
            <w:noProof/>
            <w:webHidden/>
          </w:rPr>
          <w:fldChar w:fldCharType="end"/>
        </w:r>
      </w:hyperlink>
    </w:p>
    <w:p w14:paraId="5E9C0F94" w14:textId="09CF0FA0" w:rsidR="00E41FF9" w:rsidRDefault="00E41FF9">
      <w:pPr>
        <w:pStyle w:val="TableofFigures"/>
        <w:tabs>
          <w:tab w:val="right" w:leader="dot" w:pos="9350"/>
        </w:tabs>
        <w:rPr>
          <w:rFonts w:asciiTheme="minorHAnsi" w:hAnsiTheme="minorHAnsi"/>
          <w:noProof/>
          <w:color w:val="auto"/>
          <w:sz w:val="22"/>
          <w:szCs w:val="22"/>
          <w:lang w:bidi="ar-SA"/>
        </w:rPr>
      </w:pPr>
      <w:hyperlink w:anchor="_Toc498504906" w:history="1">
        <w:r w:rsidRPr="003169A6">
          <w:rPr>
            <w:rStyle w:val="Hyperlink"/>
            <w:b/>
            <w:noProof/>
          </w:rPr>
          <w:t>Figure 5.1</w:t>
        </w:r>
        <w:r w:rsidRPr="00441E49">
          <w:rPr>
            <w:rStyle w:val="Hyperlink"/>
            <w:noProof/>
          </w:rPr>
          <w:t xml:space="preserve"> Plan-view maps of the study site from Paradis et al. (2017b), clockwise from upper left, country map showing study site location in the southeastern United States, area map showing study site location in Area 2 of the ORR, and study site map showing well locations, groundwater elevations, and groundwater elevation iso-contours, m amsl = meters above mean sea level, substrate treatment well is FW222, substrate control well is FW224.</w:t>
        </w:r>
        <w:r>
          <w:rPr>
            <w:noProof/>
            <w:webHidden/>
          </w:rPr>
          <w:tab/>
        </w:r>
        <w:r>
          <w:rPr>
            <w:noProof/>
            <w:webHidden/>
          </w:rPr>
          <w:fldChar w:fldCharType="begin"/>
        </w:r>
        <w:r>
          <w:rPr>
            <w:noProof/>
            <w:webHidden/>
          </w:rPr>
          <w:instrText xml:space="preserve"> PAGEREF _Toc498504906 \h </w:instrText>
        </w:r>
        <w:r>
          <w:rPr>
            <w:noProof/>
            <w:webHidden/>
          </w:rPr>
        </w:r>
        <w:r>
          <w:rPr>
            <w:noProof/>
            <w:webHidden/>
          </w:rPr>
          <w:fldChar w:fldCharType="separate"/>
        </w:r>
        <w:r w:rsidR="00627452">
          <w:rPr>
            <w:noProof/>
            <w:webHidden/>
          </w:rPr>
          <w:t>114</w:t>
        </w:r>
        <w:r>
          <w:rPr>
            <w:noProof/>
            <w:webHidden/>
          </w:rPr>
          <w:fldChar w:fldCharType="end"/>
        </w:r>
      </w:hyperlink>
    </w:p>
    <w:p w14:paraId="240E7C08" w14:textId="2D45F48C" w:rsidR="00E41FF9" w:rsidRDefault="00E41FF9">
      <w:pPr>
        <w:pStyle w:val="TableofFigures"/>
        <w:tabs>
          <w:tab w:val="right" w:leader="dot" w:pos="9350"/>
        </w:tabs>
        <w:rPr>
          <w:rFonts w:asciiTheme="minorHAnsi" w:hAnsiTheme="minorHAnsi"/>
          <w:noProof/>
          <w:color w:val="auto"/>
          <w:sz w:val="22"/>
          <w:szCs w:val="22"/>
          <w:lang w:bidi="ar-SA"/>
        </w:rPr>
      </w:pPr>
      <w:hyperlink w:anchor="_Toc498504907" w:history="1">
        <w:r w:rsidRPr="003169A6">
          <w:rPr>
            <w:rStyle w:val="Hyperlink"/>
            <w:b/>
            <w:noProof/>
          </w:rPr>
          <w:t>Figure 5.2</w:t>
        </w:r>
        <w:r w:rsidRPr="00441E49">
          <w:rPr>
            <w:rStyle w:val="Hyperlink"/>
            <w:noProof/>
          </w:rPr>
          <w:t xml:space="preserve"> Breakthrough curves of ethanol, acetate, nitrate, and sulfate for exposures 1, 2, 3, and 7 for the substrate treatment (STE1, STE2, STE3, STE7) and for exposure 1 for the substrate control (SCE1), open circles represent simulated data (model) for non-reactive mixing of the injection and aquifer fluids, closed circles represent field data (data), exposures 4, 5, and 6 for the substrate treatment are omitted due to rapid (within one hour) dilution of ethanol to levels below the minimum detection limit (</w:t>
        </w:r>
        <w:r w:rsidRPr="00441E49">
          <w:rPr>
            <w:rStyle w:val="Hyperlink"/>
            <w:rFonts w:cs="Times New Roman"/>
            <w:noProof/>
          </w:rPr>
          <w:t>≈</w:t>
        </w:r>
        <w:r w:rsidRPr="00441E49">
          <w:rPr>
            <w:rStyle w:val="Hyperlink"/>
            <w:noProof/>
          </w:rPr>
          <w:t>20 mg/L).</w:t>
        </w:r>
        <w:r>
          <w:rPr>
            <w:noProof/>
            <w:webHidden/>
          </w:rPr>
          <w:tab/>
        </w:r>
        <w:r>
          <w:rPr>
            <w:noProof/>
            <w:webHidden/>
          </w:rPr>
          <w:fldChar w:fldCharType="begin"/>
        </w:r>
        <w:r>
          <w:rPr>
            <w:noProof/>
            <w:webHidden/>
          </w:rPr>
          <w:instrText xml:space="preserve"> PAGEREF _Toc498504907 \h </w:instrText>
        </w:r>
        <w:r>
          <w:rPr>
            <w:noProof/>
            <w:webHidden/>
          </w:rPr>
        </w:r>
        <w:r>
          <w:rPr>
            <w:noProof/>
            <w:webHidden/>
          </w:rPr>
          <w:fldChar w:fldCharType="separate"/>
        </w:r>
        <w:r w:rsidR="00627452">
          <w:rPr>
            <w:noProof/>
            <w:webHidden/>
          </w:rPr>
          <w:t>122</w:t>
        </w:r>
        <w:r>
          <w:rPr>
            <w:noProof/>
            <w:webHidden/>
          </w:rPr>
          <w:fldChar w:fldCharType="end"/>
        </w:r>
      </w:hyperlink>
    </w:p>
    <w:p w14:paraId="5AB8FB86" w14:textId="37E08960" w:rsidR="00E41FF9" w:rsidRDefault="00E41FF9">
      <w:pPr>
        <w:pStyle w:val="TableofFigures"/>
        <w:tabs>
          <w:tab w:val="right" w:leader="dot" w:pos="9350"/>
        </w:tabs>
        <w:rPr>
          <w:rFonts w:asciiTheme="minorHAnsi" w:hAnsiTheme="minorHAnsi"/>
          <w:noProof/>
          <w:color w:val="auto"/>
          <w:sz w:val="22"/>
          <w:szCs w:val="22"/>
          <w:lang w:bidi="ar-SA"/>
        </w:rPr>
      </w:pPr>
      <w:hyperlink w:anchor="_Toc498504908" w:history="1">
        <w:r w:rsidRPr="003169A6">
          <w:rPr>
            <w:rStyle w:val="Hyperlink"/>
            <w:b/>
            <w:noProof/>
          </w:rPr>
          <w:t>Figure 5.3</w:t>
        </w:r>
        <w:r w:rsidRPr="00441E49">
          <w:rPr>
            <w:rStyle w:val="Hyperlink"/>
            <w:noProof/>
          </w:rPr>
          <w:t xml:space="preserve"> Non-metric multi-dimensional scaling (NMDS) plots during the 14-week experiment (W01 through W14*) for the substrate control (SC) and substrate treatment (ST), *indicates post-ethanol exposure, G1, G2, G3, and G4 indicate distinct groupings, ellipses indicated 95% confidence intervals for weeks one through 14 (W01 through W14).</w:t>
        </w:r>
        <w:r>
          <w:rPr>
            <w:noProof/>
            <w:webHidden/>
          </w:rPr>
          <w:tab/>
        </w:r>
        <w:r>
          <w:rPr>
            <w:noProof/>
            <w:webHidden/>
          </w:rPr>
          <w:fldChar w:fldCharType="begin"/>
        </w:r>
        <w:r>
          <w:rPr>
            <w:noProof/>
            <w:webHidden/>
          </w:rPr>
          <w:instrText xml:space="preserve"> PAGEREF _Toc498504908 \h </w:instrText>
        </w:r>
        <w:r>
          <w:rPr>
            <w:noProof/>
            <w:webHidden/>
          </w:rPr>
        </w:r>
        <w:r>
          <w:rPr>
            <w:noProof/>
            <w:webHidden/>
          </w:rPr>
          <w:fldChar w:fldCharType="separate"/>
        </w:r>
        <w:r w:rsidR="00627452">
          <w:rPr>
            <w:noProof/>
            <w:webHidden/>
          </w:rPr>
          <w:t>125</w:t>
        </w:r>
        <w:r>
          <w:rPr>
            <w:noProof/>
            <w:webHidden/>
          </w:rPr>
          <w:fldChar w:fldCharType="end"/>
        </w:r>
      </w:hyperlink>
    </w:p>
    <w:p w14:paraId="05961B80" w14:textId="579CBB39" w:rsidR="00E41FF9" w:rsidRDefault="00E41FF9">
      <w:pPr>
        <w:pStyle w:val="TableofFigures"/>
        <w:tabs>
          <w:tab w:val="right" w:leader="dot" w:pos="9350"/>
        </w:tabs>
        <w:rPr>
          <w:rFonts w:asciiTheme="minorHAnsi" w:hAnsiTheme="minorHAnsi"/>
          <w:noProof/>
          <w:color w:val="auto"/>
          <w:sz w:val="22"/>
          <w:szCs w:val="22"/>
          <w:lang w:bidi="ar-SA"/>
        </w:rPr>
      </w:pPr>
      <w:hyperlink w:anchor="_Toc498504909" w:history="1">
        <w:r w:rsidRPr="003169A6">
          <w:rPr>
            <w:rStyle w:val="Hyperlink"/>
            <w:b/>
            <w:noProof/>
          </w:rPr>
          <w:t>Figure 5.4</w:t>
        </w:r>
        <w:r w:rsidRPr="00441E49">
          <w:rPr>
            <w:rStyle w:val="Hyperlink"/>
            <w:noProof/>
          </w:rPr>
          <w:t xml:space="preserve"> Hierarchical clustering analysis of operational taxonomic units (OTUs) during the 14-week experiment (W01 through W14*) for the substrate control (SC) and substrate treatment (ST), *indicates post-ethanol exposure, G1, G2, G3, and G4 indicate distinct groupings.</w:t>
        </w:r>
        <w:r>
          <w:rPr>
            <w:noProof/>
            <w:webHidden/>
          </w:rPr>
          <w:tab/>
        </w:r>
        <w:r>
          <w:rPr>
            <w:noProof/>
            <w:webHidden/>
          </w:rPr>
          <w:fldChar w:fldCharType="begin"/>
        </w:r>
        <w:r>
          <w:rPr>
            <w:noProof/>
            <w:webHidden/>
          </w:rPr>
          <w:instrText xml:space="preserve"> PAGEREF _Toc498504909 \h </w:instrText>
        </w:r>
        <w:r>
          <w:rPr>
            <w:noProof/>
            <w:webHidden/>
          </w:rPr>
        </w:r>
        <w:r>
          <w:rPr>
            <w:noProof/>
            <w:webHidden/>
          </w:rPr>
          <w:fldChar w:fldCharType="separate"/>
        </w:r>
        <w:r w:rsidR="00627452">
          <w:rPr>
            <w:noProof/>
            <w:webHidden/>
          </w:rPr>
          <w:t>126</w:t>
        </w:r>
        <w:r>
          <w:rPr>
            <w:noProof/>
            <w:webHidden/>
          </w:rPr>
          <w:fldChar w:fldCharType="end"/>
        </w:r>
      </w:hyperlink>
    </w:p>
    <w:p w14:paraId="6AA9AC7A" w14:textId="277A89E4" w:rsidR="00E41FF9" w:rsidRDefault="00E41FF9">
      <w:pPr>
        <w:pStyle w:val="TableofFigures"/>
        <w:tabs>
          <w:tab w:val="right" w:leader="dot" w:pos="9350"/>
        </w:tabs>
        <w:rPr>
          <w:rFonts w:asciiTheme="minorHAnsi" w:hAnsiTheme="minorHAnsi"/>
          <w:noProof/>
          <w:color w:val="auto"/>
          <w:sz w:val="22"/>
          <w:szCs w:val="22"/>
          <w:lang w:bidi="ar-SA"/>
        </w:rPr>
      </w:pPr>
      <w:hyperlink w:anchor="_Toc498504910" w:history="1">
        <w:r w:rsidRPr="003169A6">
          <w:rPr>
            <w:rStyle w:val="Hyperlink"/>
            <w:b/>
            <w:noProof/>
          </w:rPr>
          <w:t>Figure 5.5</w:t>
        </w:r>
        <w:r w:rsidRPr="00441E49">
          <w:rPr>
            <w:rStyle w:val="Hyperlink"/>
            <w:noProof/>
          </w:rPr>
          <w:t xml:space="preserve"> Relative abundance of microbial taxa at the phylum level during the 14-week experiment (W01 through W14) for the substrate control (SC) and substrate treatment (ST), *indicates post-ethanol exposure.</w:t>
        </w:r>
        <w:r>
          <w:rPr>
            <w:noProof/>
            <w:webHidden/>
          </w:rPr>
          <w:tab/>
        </w:r>
        <w:r>
          <w:rPr>
            <w:noProof/>
            <w:webHidden/>
          </w:rPr>
          <w:fldChar w:fldCharType="begin"/>
        </w:r>
        <w:r>
          <w:rPr>
            <w:noProof/>
            <w:webHidden/>
          </w:rPr>
          <w:instrText xml:space="preserve"> PAGEREF _Toc498504910 \h </w:instrText>
        </w:r>
        <w:r>
          <w:rPr>
            <w:noProof/>
            <w:webHidden/>
          </w:rPr>
        </w:r>
        <w:r>
          <w:rPr>
            <w:noProof/>
            <w:webHidden/>
          </w:rPr>
          <w:fldChar w:fldCharType="separate"/>
        </w:r>
        <w:r w:rsidR="00627452">
          <w:rPr>
            <w:noProof/>
            <w:webHidden/>
          </w:rPr>
          <w:t>129</w:t>
        </w:r>
        <w:r>
          <w:rPr>
            <w:noProof/>
            <w:webHidden/>
          </w:rPr>
          <w:fldChar w:fldCharType="end"/>
        </w:r>
      </w:hyperlink>
    </w:p>
    <w:p w14:paraId="252FB02E" w14:textId="6EC1B43F" w:rsidR="004A396A" w:rsidRDefault="00DD27B7" w:rsidP="00B46538">
      <w:r>
        <w:fldChar w:fldCharType="end"/>
      </w:r>
      <w:bookmarkStart w:id="2" w:name="_Toc475171388"/>
      <w:bookmarkStart w:id="3" w:name="_Toc475172165"/>
      <w:bookmarkStart w:id="4" w:name="_Toc475172668"/>
      <w:bookmarkStart w:id="5" w:name="_Toc475172745"/>
    </w:p>
    <w:p w14:paraId="3D3F3BA9" w14:textId="0018EEBA" w:rsidR="004A396A" w:rsidRDefault="004A396A" w:rsidP="00B46538"/>
    <w:p w14:paraId="578B1123" w14:textId="027450C6" w:rsidR="004A396A" w:rsidRDefault="004A396A" w:rsidP="00B46538">
      <w:bookmarkStart w:id="6" w:name="_GoBack"/>
      <w:bookmarkEnd w:id="6"/>
    </w:p>
    <w:p w14:paraId="434B807D" w14:textId="6324B7B5" w:rsidR="004A396A" w:rsidRDefault="004A396A" w:rsidP="00B46538"/>
    <w:p w14:paraId="12A881B5" w14:textId="7F9A21B9" w:rsidR="004A396A" w:rsidRDefault="004A396A" w:rsidP="00B46538"/>
    <w:p w14:paraId="0FAAEBEF" w14:textId="3AD26AD7" w:rsidR="004A396A" w:rsidRDefault="004A396A" w:rsidP="00B46538"/>
    <w:p w14:paraId="35599B23" w14:textId="77777777" w:rsidR="004A396A" w:rsidRDefault="004A396A" w:rsidP="00B46538"/>
    <w:p w14:paraId="4858C924" w14:textId="77777777" w:rsidR="004A396A" w:rsidRDefault="004A396A" w:rsidP="00BD2185">
      <w:pPr>
        <w:pStyle w:val="Heading1"/>
        <w:sectPr w:rsidR="004A396A" w:rsidSect="004A396A">
          <w:footerReference w:type="default" r:id="rId9"/>
          <w:type w:val="continuous"/>
          <w:pgSz w:w="12240" w:h="15840" w:code="1"/>
          <w:pgMar w:top="1440" w:right="1440" w:bottom="1440" w:left="1440" w:header="360" w:footer="360" w:gutter="0"/>
          <w:pgNumType w:fmt="lowerRoman" w:start="1"/>
          <w:cols w:space="720"/>
          <w:docGrid w:linePitch="360"/>
        </w:sectPr>
      </w:pPr>
      <w:bookmarkStart w:id="7" w:name="_Toc498505018"/>
    </w:p>
    <w:p w14:paraId="30E63584" w14:textId="67B5E681" w:rsidR="00BD2185" w:rsidRDefault="006A00EB" w:rsidP="00BD2185">
      <w:pPr>
        <w:pStyle w:val="Heading1"/>
      </w:pPr>
      <w:r>
        <w:lastRenderedPageBreak/>
        <w:t>Introduction</w:t>
      </w:r>
      <w:bookmarkEnd w:id="2"/>
      <w:bookmarkEnd w:id="3"/>
      <w:bookmarkEnd w:id="4"/>
      <w:bookmarkEnd w:id="5"/>
      <w:bookmarkEnd w:id="7"/>
    </w:p>
    <w:p w14:paraId="51AF99ED" w14:textId="77777777" w:rsidR="00CA2C3C" w:rsidRDefault="00CA2C3C" w:rsidP="00CA2C3C">
      <w:pPr>
        <w:ind w:firstLine="720"/>
      </w:pPr>
      <w:r>
        <w:t xml:space="preserve">The study of contaminant hydrogeology encompasses the fate, transport, and reactivity of contaminants in groundwater. The fate, transport, and reactivity of contaminants in groundwater are governed by physical, chemical, and biological processes. Therefore, contaminant hydrogeology is inherently inter-disciplinary. Contaminant hydrogeology can be studied at a wide range of spatial and temporal scales from micrometers to kilometers and seconds to millennia, respectively. Therefore, the scales at which studies are conducted are dependent on the objectives of the studies. The methods to study contaminant hydrogeology are also wide-ranging and broadly include empirical and theoretical approaches. Ideally, empirical-based studies should either follow an existing theory or lead to the development of a new theory. Finally, the type of study can be either applied or basic, with the former designed to solve a practical problem and the latter designed to answer a scientific question. This dissertation is comprised of four contaminant hydrogeology studies, each conducted </w:t>
      </w:r>
      <w:r w:rsidRPr="00D537B2">
        <w:rPr>
          <w:i/>
        </w:rPr>
        <w:t>in situ</w:t>
      </w:r>
      <w:r>
        <w:t>, at the spatial scale of meters, at the temporal scale of hours to months, and based on empirical data. Each study was conducted within a shallow, unconfined, and uranium-contaminated aquifer located at the Oak Ridge Reservation in Oak Ridge, Tennessee, United States of America. Studies one, two, and three were applied whereas study four was basic. All four studies were broadly designed to advance the understanding of the structure and function of natural microbial communities in groundwater.</w:t>
      </w:r>
    </w:p>
    <w:p w14:paraId="5D56FFAF" w14:textId="77777777" w:rsidR="00CA2C3C" w:rsidRDefault="00CA2C3C" w:rsidP="00CA2C3C">
      <w:pPr>
        <w:ind w:firstLine="720"/>
      </w:pPr>
      <w:r>
        <w:t xml:space="preserve">In the first study, the </w:t>
      </w:r>
      <w:proofErr w:type="gramStart"/>
      <w:r w:rsidRPr="008B101F">
        <w:rPr>
          <w:i/>
        </w:rPr>
        <w:t>in situ</w:t>
      </w:r>
      <w:proofErr w:type="gramEnd"/>
      <w:r>
        <w:t xml:space="preserve"> mobility of previously bio-reduced uranium was tested under variable redox conditions. The mobility of uranium (U) is highly dependent on its oxidative state with U(VI) being relatively soluble under oxidizing conditions and U(IV) being relatively insoluble under reducing conditions. Natural microbial communities can be stimulated to reduce and immobilize U(VI) to U(IV) by the addition of a suitable electron donor such as ethanol. </w:t>
      </w:r>
      <w:r>
        <w:lastRenderedPageBreak/>
        <w:t xml:space="preserve">However, U(IV) can be re-oxidized and re-mobilized to U(VI) by oxidants such as nitrate. Therefore, re-oxidation of previously bio-reduced uranium by nitrate oxidant is a practical problem for remediating uranium-contaminated groundwater. Theoretically, thermodynamics predicts that oxidization of reduced sulfur-bearing species, as opposed to reduced uranium-bearing species, by nitrate is energetically favorable. Empirically, laboratory-based studies have demonstrated that reduced sulfur-bearing species, as opposed to reduced uranium-bearing species, are preferentially oxidized by nitrate, thereby limiting the re-oxidation and re-mobilization of uranium. However, no field-based study has been conducted to validate the theoretical and empirical evidence. The objective of the first study was to test the </w:t>
      </w:r>
      <w:proofErr w:type="gramStart"/>
      <w:r w:rsidRPr="008B101F">
        <w:rPr>
          <w:i/>
        </w:rPr>
        <w:t>in situ</w:t>
      </w:r>
      <w:proofErr w:type="gramEnd"/>
      <w:r>
        <w:t xml:space="preserve"> mobility of uranium in the presence of nitrate oxidant following ethanol-stimulated bio-reduction of uranium and sulfate and likely formation of reduced uranium- and sulfur-bearing species.</w:t>
      </w:r>
    </w:p>
    <w:p w14:paraId="1AE73B2F" w14:textId="68946D7B" w:rsidR="00CA2C3C" w:rsidRDefault="00CA2C3C" w:rsidP="00CA2C3C">
      <w:pPr>
        <w:ind w:firstLine="720"/>
      </w:pPr>
      <w:r>
        <w:t xml:space="preserve">In the second study, the analytical solution to estimate the effective porosity of sediments based on data from a push-drift-pull test was theoretically expanded and applied to an </w:t>
      </w:r>
      <w:proofErr w:type="gramStart"/>
      <w:r w:rsidRPr="008B101F">
        <w:rPr>
          <w:i/>
        </w:rPr>
        <w:t>in situ</w:t>
      </w:r>
      <w:proofErr w:type="gramEnd"/>
      <w:r>
        <w:t xml:space="preserve"> data set. The effective porosity of sediments is a measure of the void spaces through which a solute is transported by advection relative to the total volume of the void and solid spaces. A push-drift-pull test is a method which involves the forced-gradient injection (push), natural-gradient resting, (drift), and forced-gradient extraction (pull) of a non-reactive solute within a single groundwater well.  The data from a push-drift-pull test can be analyzed to characterize various physical, chemical, and biological parameters and processes, including effective porosity. Natural microbial communities are periodically exposed to solutes, either naturally or anthropogenically, which can serve as sources of carbon, energy, or nutrients. Therefore, the effective porosity of sediments is also a measure of the void spaces through which natural microbial communities are exposed to dissolved-phase sources of carbon, energy, or nutrients which are transported by </w:t>
      </w:r>
      <w:r>
        <w:lastRenderedPageBreak/>
        <w:t xml:space="preserve">advection. The current analytical solution to estimate the effective porosity of sediments ignores the displacement of the center of mass of the non-reactive solute during the push phase of a push-drift-pull test. Theoretically, ignoring displacement during the push phase can lead to an underestimation of effective porosity and an inaccurate characterization of the physical space in which natural microbial communities inhabit. The objectives of the second study were to expand the current analytical solution to include displacement during the push phase and to better estimate the magnitude and spatial variability of effective porosity at the study site. </w:t>
      </w:r>
    </w:p>
    <w:p w14:paraId="71A9108D" w14:textId="5C031EA3" w:rsidR="00CA2C3C" w:rsidRDefault="00CA2C3C" w:rsidP="00CA2C3C">
      <w:pPr>
        <w:ind w:firstLine="720"/>
      </w:pPr>
      <w:r>
        <w:t xml:space="preserve">In the third study, an analytical model to describe the concentration versus time, or breakthrough curve, of a potentially reactive solute due to non-reactive mixing of the injection and aquifer fluids during the pull phase of a push-drift-pull test was theoretically developed and applied to an </w:t>
      </w:r>
      <w:proofErr w:type="gramStart"/>
      <w:r w:rsidRPr="008B101F">
        <w:rPr>
          <w:i/>
        </w:rPr>
        <w:t>in situ</w:t>
      </w:r>
      <w:proofErr w:type="gramEnd"/>
      <w:r>
        <w:t xml:space="preserve"> data set. As previously noted, the data from a push-drift-pull test can be analyzed to characterize various physical, chemical, and biological parameters and processes. This includes the quantification of microbial-mediated solute mass transformation. When a potentially reactive solute is either added to the injection fluid or exists naturally within the aquifer fluid, analysis of the breakthrough curves of the non-reactive versus the potentially reactive solutes during the pull phase can allow for quantification microbial-mediated solute mass transformation. However, the current analytical model used to generate dilution-adjusted breakthrough curves of potentially reactive solutes assumes that the ratio of the concentrations of the non-reactive and potentially reactive solutes in the injection fluid versus the aquifer fluid are equal. If this assumption is not valid, the dilution-adjusted model may predict breakthrough curves which suggest microbial-mediated solute mass transformation occurred when in fact only non-reactive mixing occurred. The objective of third study was to develop and apply an analytical solution which predicts the breakthrough curve of a potentially reactive solute due to </w:t>
      </w:r>
      <w:r>
        <w:lastRenderedPageBreak/>
        <w:t>non-reactive mixing to account for any possible combination of non-reactive and potentially reactive solute concentrations within the injection and aquifer fluids.</w:t>
      </w:r>
    </w:p>
    <w:p w14:paraId="7DECED9A" w14:textId="1455706C" w:rsidR="00CA2C3C" w:rsidRDefault="00CA2C3C" w:rsidP="00CA2C3C">
      <w:pPr>
        <w:ind w:firstLine="720"/>
      </w:pPr>
      <w:r>
        <w:t xml:space="preserve">In the fourth study, the exposure history dependence of microbial-mediated substrate transformation was tested. Prior exposure of a natural microbial community to a substrate can result in the increased potential of the community to transform the substrate. This phenomenon is known as adaptation. Adaptation is thought to play an important role in biogeochemical cycling at the ecosystem scale and has been demonstrated at the laboratory scale. However, in situ demonstrations of the magnitude and duration of adaptation are lacking. Moreover, the predominant, yet likely inter-related, mechanisms by which adaptation can occur are poorly understood. The objectives of the fourth study were to establish a natural microbial community adapted to transform a substrate, determine how long adaptation can last in the absence of the substrate, and elucidate the microbial mechanism(s) responsible for adaption. Studies one, two, and three directly informed the design of study four. In the first study, a natural microbial community was repeatedly exposed to and bio-transformed a substrate, i.e., ethanol. In the second study, the physical space through which an injected volume of a dissolved-phase substrate, e.g., ethanol, would travel by advection was estimated. In the third study, an analytical model was developed to more accurately quantify microbial-mediated substrate, e.g., ethanol, transformation during a push-drift-pull test. Finally, in the fourth study, a pair of wells, one ethanol treatment and one ethanol control, were utilized to demonstrate and elucidate the mechanism(s) of adaptation. </w:t>
      </w:r>
    </w:p>
    <w:p w14:paraId="2CC69F4D" w14:textId="29855589" w:rsidR="00BD2185" w:rsidRDefault="00BD2185" w:rsidP="00CA2C3C">
      <w:pPr>
        <w:ind w:firstLine="720"/>
      </w:pPr>
    </w:p>
    <w:p w14:paraId="7B2F2156" w14:textId="77777777" w:rsidR="00BD2185" w:rsidRDefault="00BD2185" w:rsidP="00CA2C3C">
      <w:pPr>
        <w:ind w:firstLine="720"/>
      </w:pPr>
    </w:p>
    <w:p w14:paraId="46EEFD3C" w14:textId="0136F79E" w:rsidR="00BD2185" w:rsidRDefault="00BD2185" w:rsidP="002D1B51"/>
    <w:p w14:paraId="44A94E3F" w14:textId="77777777" w:rsidR="00F20517" w:rsidRDefault="00AD1E68" w:rsidP="00705698">
      <w:pPr>
        <w:pStyle w:val="Heading1"/>
      </w:pPr>
      <w:bookmarkStart w:id="8" w:name="_Toc475171389"/>
      <w:bookmarkStart w:id="9" w:name="_Toc475172166"/>
      <w:bookmarkStart w:id="10" w:name="_Toc475172669"/>
      <w:bookmarkStart w:id="11" w:name="_Toc475172746"/>
      <w:bookmarkStart w:id="12" w:name="_Toc498505019"/>
      <w:r>
        <w:rPr>
          <w:i/>
          <w:iCs/>
        </w:rPr>
        <w:lastRenderedPageBreak/>
        <w:t>I</w:t>
      </w:r>
      <w:r w:rsidR="00466C9C">
        <w:rPr>
          <w:i/>
          <w:iCs/>
        </w:rPr>
        <w:t>n situ</w:t>
      </w:r>
      <w:r w:rsidR="00466C9C">
        <w:t xml:space="preserve"> </w:t>
      </w:r>
      <w:r w:rsidR="00F20517" w:rsidRPr="00033E11">
        <w:t xml:space="preserve">mobility of uranium in the presence of nitrate </w:t>
      </w:r>
      <w:r w:rsidR="002D1B51">
        <w:t xml:space="preserve">following </w:t>
      </w:r>
      <w:r w:rsidR="00F20517" w:rsidRPr="00033E11">
        <w:t>sulfate-reducing conditions</w:t>
      </w:r>
      <w:bookmarkEnd w:id="8"/>
      <w:bookmarkEnd w:id="9"/>
      <w:bookmarkEnd w:id="10"/>
      <w:bookmarkEnd w:id="11"/>
      <w:bookmarkEnd w:id="12"/>
    </w:p>
    <w:p w14:paraId="2E2BA3B9" w14:textId="77777777" w:rsidR="00302217" w:rsidRDefault="00302217" w:rsidP="00302217"/>
    <w:p w14:paraId="5B34CC11" w14:textId="77777777" w:rsidR="00855481" w:rsidRDefault="00855481" w:rsidP="00302217"/>
    <w:p w14:paraId="13859C8B" w14:textId="77777777" w:rsidR="00855481" w:rsidRDefault="00855481" w:rsidP="00302217"/>
    <w:p w14:paraId="07D33759" w14:textId="77777777" w:rsidR="00855481" w:rsidRDefault="00855481" w:rsidP="00302217"/>
    <w:p w14:paraId="4CFF034F" w14:textId="77777777" w:rsidR="00855481" w:rsidRDefault="00855481" w:rsidP="00302217"/>
    <w:p w14:paraId="6E2ECD75" w14:textId="77777777" w:rsidR="00855481" w:rsidRDefault="00855481" w:rsidP="00302217"/>
    <w:p w14:paraId="148CE097" w14:textId="77777777" w:rsidR="00855481" w:rsidRDefault="00855481" w:rsidP="00302217"/>
    <w:p w14:paraId="7B90C7A9" w14:textId="77777777" w:rsidR="00855481" w:rsidRDefault="00855481" w:rsidP="00302217"/>
    <w:p w14:paraId="7C48912E" w14:textId="77777777" w:rsidR="00855481" w:rsidRDefault="00855481" w:rsidP="00302217"/>
    <w:p w14:paraId="06F69C68" w14:textId="77777777" w:rsidR="00855481" w:rsidRDefault="00855481" w:rsidP="00302217"/>
    <w:p w14:paraId="3DDAFDA6" w14:textId="77777777" w:rsidR="00855481" w:rsidRDefault="00855481" w:rsidP="00302217"/>
    <w:p w14:paraId="1541A82B" w14:textId="77777777" w:rsidR="00855481" w:rsidRDefault="00855481" w:rsidP="00302217"/>
    <w:p w14:paraId="12DD2B74" w14:textId="77777777" w:rsidR="00855481" w:rsidRDefault="00855481" w:rsidP="00302217"/>
    <w:p w14:paraId="49D8AC99" w14:textId="77777777" w:rsidR="00855481" w:rsidRDefault="00855481" w:rsidP="00302217"/>
    <w:p w14:paraId="186250E9" w14:textId="77777777" w:rsidR="00855481" w:rsidRDefault="00855481" w:rsidP="00302217"/>
    <w:p w14:paraId="0EC6C0A2" w14:textId="77777777" w:rsidR="00855481" w:rsidRDefault="00855481" w:rsidP="00302217"/>
    <w:p w14:paraId="79D8ACFD" w14:textId="77777777" w:rsidR="00855481" w:rsidRDefault="00855481" w:rsidP="00302217"/>
    <w:p w14:paraId="08715136" w14:textId="77777777" w:rsidR="00855481" w:rsidRDefault="00855481" w:rsidP="00302217"/>
    <w:p w14:paraId="7E453C49" w14:textId="77777777" w:rsidR="00855481" w:rsidRDefault="00855481" w:rsidP="00302217"/>
    <w:p w14:paraId="4126BB26" w14:textId="77777777" w:rsidR="00855481" w:rsidRDefault="00855481" w:rsidP="00302217"/>
    <w:p w14:paraId="05E679C0" w14:textId="77777777" w:rsidR="00855481" w:rsidRDefault="00855481" w:rsidP="00302217"/>
    <w:p w14:paraId="75D95F2A" w14:textId="77777777" w:rsidR="00302217" w:rsidRDefault="00855481" w:rsidP="00302217">
      <w:r>
        <w:lastRenderedPageBreak/>
        <w:t>C</w:t>
      </w:r>
      <w:r w:rsidR="00706D07">
        <w:t>hapter</w:t>
      </w:r>
      <w:r>
        <w:t xml:space="preserve"> 2</w:t>
      </w:r>
      <w:r w:rsidR="00706D07">
        <w:t xml:space="preserve"> </w:t>
      </w:r>
      <w:r w:rsidR="003C0A6B">
        <w:t>wa</w:t>
      </w:r>
      <w:r w:rsidR="00706D07">
        <w:t xml:space="preserve">s </w:t>
      </w:r>
      <w:r w:rsidR="00302217">
        <w:t>published in the Journal of Contaminant Hydrology.</w:t>
      </w:r>
    </w:p>
    <w:p w14:paraId="2F24B2BD" w14:textId="77777777" w:rsidR="00302217" w:rsidRDefault="00302217" w:rsidP="00302217"/>
    <w:p w14:paraId="2DE9C677" w14:textId="77777777" w:rsidR="00302217" w:rsidRPr="00302217" w:rsidRDefault="00302217" w:rsidP="00302217">
      <w:pPr>
        <w:ind w:left="720" w:hanging="720"/>
      </w:pPr>
      <w:r w:rsidRPr="00302217">
        <w:t xml:space="preserve">Paradis, C. J., S. Jagadamma, D. B. Watson, L. D. McKay, T. C. Hazen, M. Park &amp; J. D. Istok, 2016. </w:t>
      </w:r>
      <w:r w:rsidR="00AD1E68">
        <w:rPr>
          <w:i/>
          <w:iCs/>
        </w:rPr>
        <w:t>I</w:t>
      </w:r>
      <w:r w:rsidR="00466C9C">
        <w:rPr>
          <w:i/>
          <w:iCs/>
        </w:rPr>
        <w:t>n situ</w:t>
      </w:r>
      <w:r w:rsidR="00466C9C">
        <w:t xml:space="preserve"> </w:t>
      </w:r>
      <w:r w:rsidRPr="00302217">
        <w:t xml:space="preserve">mobility of uranium in the presence of nitrate following sulfate-reducing conditions. Journal of contaminant hydrology 187:55-64 </w:t>
      </w:r>
      <w:proofErr w:type="gramStart"/>
      <w:r w:rsidRPr="00302217">
        <w:t>doi:10.1016/j.jconhyd</w:t>
      </w:r>
      <w:proofErr w:type="gramEnd"/>
      <w:r w:rsidRPr="00302217">
        <w:t>.2016.02.002.</w:t>
      </w:r>
    </w:p>
    <w:p w14:paraId="7C6F99D8" w14:textId="77777777" w:rsidR="001C1E7E" w:rsidRDefault="001C1E7E" w:rsidP="001C1E7E"/>
    <w:p w14:paraId="606DF2C5" w14:textId="77777777" w:rsidR="001C1E7E" w:rsidRDefault="001C1E7E" w:rsidP="001C1E7E"/>
    <w:p w14:paraId="750760C8" w14:textId="77777777" w:rsidR="001C1E7E" w:rsidRDefault="001C1E7E" w:rsidP="001C1E7E"/>
    <w:p w14:paraId="3718C41B" w14:textId="77777777" w:rsidR="001C1E7E" w:rsidRDefault="001C1E7E" w:rsidP="001C1E7E"/>
    <w:p w14:paraId="4C280591" w14:textId="77777777" w:rsidR="001C1E7E" w:rsidRDefault="001C1E7E" w:rsidP="001C1E7E"/>
    <w:p w14:paraId="366A69A3" w14:textId="77777777" w:rsidR="001C1E7E" w:rsidRDefault="001C1E7E" w:rsidP="001C1E7E"/>
    <w:p w14:paraId="2B636383" w14:textId="77777777" w:rsidR="001C1E7E" w:rsidRDefault="001C1E7E" w:rsidP="001C1E7E"/>
    <w:p w14:paraId="1EED7581" w14:textId="77777777" w:rsidR="001C1E7E" w:rsidRDefault="001C1E7E" w:rsidP="001C1E7E"/>
    <w:p w14:paraId="16C19255" w14:textId="77777777" w:rsidR="001C1E7E" w:rsidRDefault="001C1E7E" w:rsidP="001C1E7E"/>
    <w:p w14:paraId="1B1790C3" w14:textId="77777777" w:rsidR="001C1E7E" w:rsidRDefault="001C1E7E" w:rsidP="001C1E7E"/>
    <w:p w14:paraId="7219400F" w14:textId="77777777" w:rsidR="001C1E7E" w:rsidRDefault="001C1E7E" w:rsidP="001C1E7E"/>
    <w:p w14:paraId="4DBB7AA1" w14:textId="77777777" w:rsidR="001C1E7E" w:rsidRDefault="001C1E7E" w:rsidP="001C1E7E"/>
    <w:p w14:paraId="2C5C6402" w14:textId="77777777" w:rsidR="001C1E7E" w:rsidRDefault="001C1E7E" w:rsidP="001C1E7E"/>
    <w:p w14:paraId="6F755B51" w14:textId="77777777" w:rsidR="0067362C" w:rsidRDefault="0067362C" w:rsidP="001C1E7E"/>
    <w:p w14:paraId="043D3448" w14:textId="77777777" w:rsidR="00855481" w:rsidRDefault="00855481" w:rsidP="001C1E7E"/>
    <w:p w14:paraId="3B0B5964" w14:textId="77777777" w:rsidR="00855481" w:rsidRDefault="00855481" w:rsidP="001C1E7E"/>
    <w:p w14:paraId="3D7123C0" w14:textId="77777777" w:rsidR="00855481" w:rsidRPr="001C1E7E" w:rsidRDefault="00855481" w:rsidP="001C1E7E"/>
    <w:p w14:paraId="38754F19" w14:textId="77777777" w:rsidR="00F20517" w:rsidRPr="00033E11" w:rsidRDefault="005F4623" w:rsidP="005F4623">
      <w:pPr>
        <w:pStyle w:val="Heading2"/>
      </w:pPr>
      <w:bookmarkStart w:id="13" w:name="_Toc475171390"/>
      <w:bookmarkStart w:id="14" w:name="_Toc475172167"/>
      <w:bookmarkStart w:id="15" w:name="_Toc475172670"/>
      <w:bookmarkStart w:id="16" w:name="_Toc475172747"/>
      <w:bookmarkStart w:id="17" w:name="_Toc498505020"/>
      <w:r>
        <w:lastRenderedPageBreak/>
        <w:t>2.1.</w:t>
      </w:r>
      <w:r>
        <w:tab/>
      </w:r>
      <w:r w:rsidR="00F20517" w:rsidRPr="005F4623">
        <w:t>Abstract</w:t>
      </w:r>
      <w:bookmarkEnd w:id="13"/>
      <w:bookmarkEnd w:id="14"/>
      <w:bookmarkEnd w:id="15"/>
      <w:bookmarkEnd w:id="16"/>
      <w:bookmarkEnd w:id="17"/>
    </w:p>
    <w:p w14:paraId="07683D77" w14:textId="77777777" w:rsidR="00F20517" w:rsidRPr="00033E11" w:rsidRDefault="00F20517" w:rsidP="00F20517">
      <w:pPr>
        <w:ind w:firstLine="720"/>
      </w:pPr>
      <w:r w:rsidRPr="00033E11">
        <w:t xml:space="preserve">Reoxidation and mobilization of previously reduced and immobilized uranium by dissolved-phase oxidants poses a significant challenge for remediating uranium-contaminated groundwater. Preferential oxidation of reduced sulfur-bearing species, as opposed to reduced uranium-bearing species, has been demonstrated to limit the mobility of uranium at the laboratory scale yet field-scale investigations are lacking. In this study, the mobility of uranium in the presence of nitrate oxidant was investigated in a shallow groundwater system after establishing conditions conducive to uranium reduction and the formation of reduced sulfur-bearing species. A series of three injections of groundwater (200 L) containing U(VI) (5 </w:t>
      </w:r>
      <w:r w:rsidRPr="00033E11">
        <w:rPr>
          <w:rFonts w:cs="Times New Roman"/>
        </w:rPr>
        <w:t>μ</w:t>
      </w:r>
      <w:r w:rsidRPr="00033E11">
        <w:t xml:space="preserve">M) and amended with ethanol (40 mM) and sulfate (20 mM) were conducted in ten test wells </w:t>
      </w:r>
      <w:proofErr w:type="gramStart"/>
      <w:r w:rsidRPr="00033E11">
        <w:t>in order to</w:t>
      </w:r>
      <w:proofErr w:type="gramEnd"/>
      <w:r w:rsidRPr="00033E11">
        <w:t xml:space="preserve"> stimulate microbial-mediated reduction of uranium and the formation of reduced sulfur-bearing species. Simultaneous push-pull tests were then conducted in triplicate well clusters to investigate the mobility of U(VI) under three conditions: 1) high nitrate (120 mM), 2) high nitrate (120 mM) with ethanol (30 mM), and 3) low nitrate (2 mM) with ethanol (30 mM). Dilution-adjusted breakthrough curves of ethanol, nitrate, nitrite, sulfate, and U(VI) suggested that nitrate reduction was predominantly coupled to the oxidation of reduced-sulfur bearing species, as opposed to the reoxidation of U(IV), under all three conditions for the duration of the 36-day tests. The amount of sulfate, but not U(VI), recovered during the push-pull tests was substantially more than injected, relative to bromide tracer, under all three conditions and further suggested that reduced sulfur-bearing species were preferentially oxidized under nitrate-reducing conditions. However, some reoxidation of U(IV) was observed under nitrate-reducing conditions and in the absence of detectable nitrate and/or nitrite which suggested that reduced sulfur-bearing species may not be fully effective at limiting the mobility of uranium in the presence of dissolved </w:t>
      </w:r>
      <w:r w:rsidRPr="00033E11">
        <w:lastRenderedPageBreak/>
        <w:t xml:space="preserve">and/or solid-phase oxidants. The results of this field study confirmed those of previous laboratory studies which suggested that reoxidation of uranium under nitrate-reducing conditions can be substantially limited by preferential oxidation of reduced sulfur-bearing species. </w:t>
      </w:r>
    </w:p>
    <w:p w14:paraId="450AA75E" w14:textId="77777777" w:rsidR="00F20517" w:rsidRPr="00033E11" w:rsidRDefault="005F4623" w:rsidP="004407DB">
      <w:pPr>
        <w:pStyle w:val="Heading2"/>
      </w:pPr>
      <w:bookmarkStart w:id="18" w:name="_Toc475171391"/>
      <w:bookmarkStart w:id="19" w:name="_Toc475172168"/>
      <w:bookmarkStart w:id="20" w:name="_Toc475172671"/>
      <w:bookmarkStart w:id="21" w:name="_Toc475172748"/>
      <w:bookmarkStart w:id="22" w:name="_Toc498505021"/>
      <w:r>
        <w:t>2.2.</w:t>
      </w:r>
      <w:r>
        <w:tab/>
      </w:r>
      <w:r w:rsidR="00F20517" w:rsidRPr="00033E11">
        <w:t>Introduction</w:t>
      </w:r>
      <w:bookmarkEnd w:id="18"/>
      <w:bookmarkEnd w:id="19"/>
      <w:bookmarkEnd w:id="20"/>
      <w:bookmarkEnd w:id="21"/>
      <w:bookmarkEnd w:id="22"/>
    </w:p>
    <w:p w14:paraId="44C39046" w14:textId="5240FEA7" w:rsidR="00F20517" w:rsidRPr="00033E11" w:rsidRDefault="00F20517" w:rsidP="00F20517">
      <w:r w:rsidRPr="00033E11">
        <w:tab/>
        <w:t xml:space="preserve">Uranium-contaminated groundwater is a human and environmental health concern due to releases associated with the mining, milling and processing of uranium ore as well as those from natural sources </w:t>
      </w:r>
      <w:r w:rsidRPr="00033E11">
        <w:fldChar w:fldCharType="begin"/>
      </w:r>
      <w:r w:rsidRPr="00033E11">
        <w:instrText xml:space="preserve"> ADDIN EN.CITE &lt;EndNote&gt;&lt;Cite&gt;&lt;Author&gt;Brugge&lt;/Author&gt;&lt;Year&gt;2005&lt;/Year&gt;&lt;RecNum&gt;7630&lt;/RecNum&gt;&lt;DisplayText&gt;(Brugge et al. 2005)&lt;/DisplayText&gt;&lt;record&gt;&lt;rec-number&gt;7630&lt;/rec-number&gt;&lt;foreign-keys&gt;&lt;key app="EN" db-id="x9eet5pfuadszae0v03p9afexee5x9rpvsts"&gt;7630&lt;/key&gt;&lt;/foreign-keys&gt;&lt;ref-type name="Journal Article"&gt;17&lt;/ref-type&gt;&lt;contributors&gt;&lt;authors&gt;&lt;author&gt;Brugge, Doug&lt;/author&gt;&lt;author&gt;de Lemos, Jamie L.&lt;/author&gt;&lt;author&gt;Oldmixon, Beth&lt;/author&gt;&lt;/authors&gt;&lt;/contributors&gt;&lt;titles&gt;&lt;title&gt;Exposure pathways and health effects associated with chemical and radiological toxicity of natural uranium: A review&lt;/title&gt;&lt;secondary-title&gt;Reviews on Environmental Health&lt;/secondary-title&gt;&lt;/titles&gt;&lt;periodical&gt;&lt;full-title&gt;Reviews on Environmental Health&lt;/full-title&gt;&lt;/periodical&gt;&lt;pages&gt;177-193&lt;/pages&gt;&lt;volume&gt;20&lt;/volume&gt;&lt;number&gt;3&lt;/number&gt;&lt;dates&gt;&lt;year&gt;2005&lt;/year&gt;&lt;pub-dates&gt;&lt;date&gt;Jul-Sep&lt;/date&gt;&lt;/pub-dates&gt;&lt;/dates&gt;&lt;isbn&gt;0048-7554&lt;/isbn&gt;&lt;accession-num&gt;BCI:BCI200600099764&lt;/accession-num&gt;&lt;urls&gt;&lt;related-urls&gt;&lt;url&gt;&amp;lt;Go to ISI&amp;gt;://BCI:BCI200600099764&lt;/url&gt;&lt;/related-urls&gt;&lt;/urls&gt;&lt;/record&gt;&lt;/Cite&gt;&lt;/EndNote&gt;</w:instrText>
      </w:r>
      <w:r w:rsidRPr="00033E11">
        <w:fldChar w:fldCharType="separate"/>
      </w:r>
      <w:r w:rsidRPr="00033E11">
        <w:rPr>
          <w:noProof/>
        </w:rPr>
        <w:t>(</w:t>
      </w:r>
      <w:r w:rsidR="00E45E00" w:rsidRPr="00033E11">
        <w:rPr>
          <w:noProof/>
        </w:rPr>
        <w:t>Brugge et al. 2005</w:t>
      </w:r>
      <w:r w:rsidRPr="00033E11">
        <w:rPr>
          <w:noProof/>
        </w:rPr>
        <w:t>)</w:t>
      </w:r>
      <w:r w:rsidRPr="00033E11">
        <w:fldChar w:fldCharType="end"/>
      </w:r>
      <w:r w:rsidRPr="00033E11">
        <w:t xml:space="preserve">. The mobility of uranium in groundwater is highly dependent on groundwater pH, redox potential and the mineralogy of the solid-phase subsurface media. In circumneutral pH groundwater, uranium primarily exists as soluble U(VI)-bearing species under oxidizing conditions or as less soluble U(IV)-bearing species under reducing conditions </w:t>
      </w:r>
      <w:r w:rsidRPr="00033E11">
        <w:fldChar w:fldCharType="begin">
          <w:fldData xml:space="preserve">PEVuZE5vdGU+PENpdGU+PEF1dGhvcj5Hb29kd2luPC9BdXRob3I+PFllYXI+MTk4MjwvWWVhcj48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</w:fldData>
        </w:fldChar>
      </w:r>
      <w:r w:rsidRPr="00033E11">
        <w:instrText xml:space="preserve"> ADDIN EN.CITE </w:instrText>
      </w:r>
      <w:r w:rsidRPr="00033E11">
        <w:fldChar w:fldCharType="begin">
          <w:fldData xml:space="preserve">PEVuZE5vdGU+PENpdGU+PEF1dGhvcj5Hb29kd2luPC9BdXRob3I+PFllYXI+MTk4MjwvWWVhcj48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</w:fldData>
        </w:fldChar>
      </w:r>
      <w:r w:rsidRPr="00033E11">
        <w:instrText xml:space="preserve"> ADDIN EN.CITE.DATA </w:instrText>
      </w:r>
      <w:r w:rsidRPr="00033E11">
        <w:fldChar w:fldCharType="end"/>
      </w:r>
      <w:r w:rsidRPr="00033E11">
        <w:fldChar w:fldCharType="separate"/>
      </w:r>
      <w:r w:rsidRPr="00033E11">
        <w:rPr>
          <w:noProof/>
        </w:rPr>
        <w:t>(</w:t>
      </w:r>
      <w:r w:rsidR="00E45E00" w:rsidRPr="00033E11">
        <w:rPr>
          <w:noProof/>
        </w:rPr>
        <w:t>Goodwin 1982</w:t>
      </w:r>
      <w:r w:rsidRPr="00033E11">
        <w:rPr>
          <w:noProof/>
        </w:rPr>
        <w:t xml:space="preserve">; </w:t>
      </w:r>
      <w:r w:rsidR="00E45E00" w:rsidRPr="00033E11">
        <w:rPr>
          <w:noProof/>
        </w:rPr>
        <w:t>Grenthe et al. 1992</w:t>
      </w:r>
      <w:r w:rsidRPr="00033E11">
        <w:rPr>
          <w:noProof/>
        </w:rPr>
        <w:t xml:space="preserve">; </w:t>
      </w:r>
      <w:r w:rsidR="00E45E00" w:rsidRPr="00033E11">
        <w:rPr>
          <w:noProof/>
        </w:rPr>
        <w:t>O'Loughlin et al. 2011</w:t>
      </w:r>
      <w:r w:rsidRPr="00033E11">
        <w:rPr>
          <w:noProof/>
        </w:rPr>
        <w:t>)</w:t>
      </w:r>
      <w:r w:rsidRPr="00033E11">
        <w:fldChar w:fldCharType="end"/>
      </w:r>
      <w:r w:rsidRPr="00033E11">
        <w:t xml:space="preserve">. Under oxidizing conditions and circumneutral pH, U(VI)-bearing species can be immobilized by adsorption to iron-bearing minerals </w:t>
      </w:r>
      <w:r w:rsidRPr="00033E11">
        <w:fldChar w:fldCharType="begin"/>
      </w:r>
      <w:r w:rsidRPr="00033E11">
        <w:instrText xml:space="preserve"> ADDIN EN.CITE &lt;EndNote&gt;&lt;Cite&gt;&lt;Author&gt;Li&lt;/Author&gt;&lt;Year&gt;2012&lt;/Year&gt;&lt;RecNum&gt;7633&lt;/RecNum&gt;&lt;DisplayText&gt;(Li and Kaplan 2012)&lt;/DisplayText&gt;&lt;record&gt;&lt;rec-number&gt;7633&lt;/rec-number&gt;&lt;foreign-keys&gt;&lt;key app="EN" db-id="x9eet5pfuadszae0v03p9afexee5x9rpvsts"&gt;7633&lt;/key&gt;&lt;/foreign-keys&gt;&lt;ref-type name="Journal Article"&gt;17&lt;/ref-type&gt;&lt;contributors&gt;&lt;authors&gt;&lt;author&gt;Li, Dien&lt;/author&gt;&lt;author&gt;Kaplan, Daniel I.&lt;/author&gt;&lt;/authors&gt;&lt;/contributors&gt;&lt;titles&gt;&lt;title&gt;Sorption coefficients and molecular mechanisms of Pu, U, Np, Am and Tc to Fe (hydr)oxides: A review&lt;/title&gt;&lt;secondary-title&gt;Journal of Hazardous Materials&lt;/secondary-title&gt;&lt;/titles&gt;&lt;periodical&gt;&lt;full-title&gt;Journal of Hazardous Materials&lt;/full-title&gt;&lt;abbr-1&gt;J Hazard Mater&lt;/abbr-1&gt;&lt;/periodical&gt;&lt;pages&gt;1-18&lt;/pages&gt;&lt;volume&gt;243&lt;/volume&gt;&lt;dates&gt;&lt;year&gt;2012&lt;/year&gt;&lt;pub-dates&gt;&lt;date&gt;Dec&lt;/date&gt;&lt;/pub-dates&gt;&lt;/dates&gt;&lt;isbn&gt;0304-3894&lt;/isbn&gt;&lt;accession-num&gt;WOS:000312609000001&lt;/accession-num&gt;&lt;urls&gt;&lt;related-urls&gt;&lt;url&gt;&amp;lt;Go to ISI&amp;gt;://WOS:000312609000001&lt;/url&gt;&lt;/related-urls&gt;&lt;/urls&gt;&lt;electronic-resource-num&gt;10.1016/j.jhazmat.2012.09.011&lt;/electronic-resource-num&gt;&lt;/record&gt;&lt;/Cite&gt;&lt;/EndNote&gt;</w:instrText>
      </w:r>
      <w:r w:rsidRPr="00033E11">
        <w:fldChar w:fldCharType="separate"/>
      </w:r>
      <w:r w:rsidRPr="00033E11">
        <w:rPr>
          <w:noProof/>
        </w:rPr>
        <w:t>(</w:t>
      </w:r>
      <w:r w:rsidR="00E45E00" w:rsidRPr="00033E11">
        <w:rPr>
          <w:noProof/>
        </w:rPr>
        <w:t>Li and Kaplan 2012</w:t>
      </w:r>
      <w:r w:rsidRPr="00033E11">
        <w:rPr>
          <w:noProof/>
        </w:rPr>
        <w:t>)</w:t>
      </w:r>
      <w:r w:rsidRPr="00033E11">
        <w:fldChar w:fldCharType="end"/>
      </w:r>
      <w:r w:rsidRPr="00033E11">
        <w:t xml:space="preserve">. Under reducing conditions, U(VI) can be reduced to immobile U(IV) chemically by reduced iron- or sulfur-bearing species </w:t>
      </w:r>
      <w:r w:rsidRPr="00033E11">
        <w:fldChar w:fldCharType="begin">
          <w:fldData xml:space="preserve">PEVuZE5vdGU+PENpdGU+PEF1dGhvcj5DaGFrcmFib3J0eTwvQXV0aG9yPjxZZWFyPjIwMTA8L1ll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</w:fldData>
        </w:fldChar>
      </w:r>
      <w:r w:rsidR="0063330E">
        <w:instrText xml:space="preserve"> ADDIN EN.CITE </w:instrText>
      </w:r>
      <w:r w:rsidR="0063330E">
        <w:fldChar w:fldCharType="begin">
          <w:fldData xml:space="preserve">PEVuZE5vdGU+PENpdGU+PEF1dGhvcj5DaGFrcmFib3J0eTwvQXV0aG9yPjxZZWFyPjIwMTA8L1ll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</w:fldData>
        </w:fldChar>
      </w:r>
      <w:r w:rsidR="0063330E">
        <w:instrText xml:space="preserve"> ADDIN EN.CITE.DATA </w:instrText>
      </w:r>
      <w:r w:rsidR="0063330E">
        <w:fldChar w:fldCharType="end"/>
      </w:r>
      <w:r w:rsidRPr="00033E11">
        <w:fldChar w:fldCharType="separate"/>
      </w:r>
      <w:r w:rsidR="0063330E">
        <w:rPr>
          <w:noProof/>
        </w:rPr>
        <w:t>(</w:t>
      </w:r>
      <w:r w:rsidR="00E45E00">
        <w:rPr>
          <w:noProof/>
        </w:rPr>
        <w:t>Chakraborty et al. 2010</w:t>
      </w:r>
      <w:r w:rsidR="0063330E">
        <w:rPr>
          <w:noProof/>
        </w:rPr>
        <w:t xml:space="preserve">; </w:t>
      </w:r>
      <w:r w:rsidR="00E45E00">
        <w:rPr>
          <w:noProof/>
        </w:rPr>
        <w:t>Hyun et al. 2014</w:t>
      </w:r>
      <w:r w:rsidR="0063330E">
        <w:rPr>
          <w:noProof/>
        </w:rPr>
        <w:t xml:space="preserve">; </w:t>
      </w:r>
      <w:r w:rsidR="00E45E00">
        <w:rPr>
          <w:noProof/>
        </w:rPr>
        <w:t>Hyun et al. 2012</w:t>
      </w:r>
      <w:r w:rsidR="0063330E">
        <w:rPr>
          <w:noProof/>
        </w:rPr>
        <w:t xml:space="preserve">; </w:t>
      </w:r>
      <w:r w:rsidR="00E45E00">
        <w:rPr>
          <w:noProof/>
        </w:rPr>
        <w:t>Jeon et al. 2005</w:t>
      </w:r>
      <w:r w:rsidR="0063330E">
        <w:rPr>
          <w:noProof/>
        </w:rPr>
        <w:t>)</w:t>
      </w:r>
      <w:r w:rsidRPr="00033E11">
        <w:fldChar w:fldCharType="end"/>
      </w:r>
      <w:r w:rsidRPr="00033E11">
        <w:t xml:space="preserve"> and/or biologically by native anaerobic microbial communities </w:t>
      </w:r>
      <w:r w:rsidRPr="00033E11">
        <w:fldChar w:fldCharType="begin"/>
      </w:r>
      <w:r w:rsidRPr="00033E11">
        <w:instrText xml:space="preserve"> ADDIN EN.CITE &lt;EndNote&gt;&lt;Cite&gt;&lt;Author&gt;Wall&lt;/Author&gt;&lt;Year&gt;2006&lt;/Year&gt;&lt;RecNum&gt;7916&lt;/RecNum&gt;&lt;DisplayText&gt;(Wall and Krumholz 2006)&lt;/DisplayText&gt;&lt;record&gt;&lt;rec-number&gt;7916&lt;/rec-number&gt;&lt;foreign-keys&gt;&lt;key app="EN" db-id="x9eet5pfuadszae0v03p9afexee5x9rpvsts" timestamp="1445888917"&gt;7916&lt;/key&gt;&lt;/foreign-keys&gt;&lt;ref-type name="Book Section"&gt;5&lt;/ref-type&gt;&lt;contributors&gt;&lt;authors&gt;&lt;author&gt;Wall, Judy D.&lt;/author&gt;&lt;author&gt;Krumholz, Lee R.&lt;/author&gt;&lt;/authors&gt;&lt;/contributors&gt;&lt;titles&gt;&lt;title&gt;Uranium reduction&lt;/title&gt;&lt;secondary-title&gt;Annual Review of Microbiology&lt;/secondary-title&gt;&lt;tertiary-title&gt;Annual Review of Microbiology&lt;/tertiary-title&gt;&lt;/titles&gt;&lt;periodical&gt;&lt;full-title&gt;Annual Review of Microbiology&lt;/full-title&gt;&lt;abbr-1&gt;Annu Rev Microbiol&lt;/abbr-1&gt;&lt;/periodical&gt;&lt;pages&gt;149-166&lt;/pages&gt;&lt;volume&gt;60&lt;/volume&gt;&lt;dates&gt;&lt;year&gt;2006&lt;/year&gt;&lt;/dates&gt;&lt;isbn&gt;0066-4227&amp;#xD;978-0-8243-1160-5&lt;/isbn&gt;&lt;accession-num&gt;WOS:000242032500008&lt;/accession-num&gt;&lt;urls&gt;&lt;related-urls&gt;&lt;url&gt;&amp;lt;Go to ISI&amp;gt;://WOS:000242032500008&lt;/url&gt;&lt;/related-urls&gt;&lt;/urls&gt;&lt;electronic-resource-num&gt;10.1146/annurev.micro.59.030804.121357&lt;/electronic-resource-num&gt;&lt;/record&gt;&lt;/Cite&gt;&lt;/EndNote&gt;</w:instrText>
      </w:r>
      <w:r w:rsidRPr="00033E11">
        <w:fldChar w:fldCharType="separate"/>
      </w:r>
      <w:r w:rsidRPr="00033E11">
        <w:rPr>
          <w:noProof/>
        </w:rPr>
        <w:t>(</w:t>
      </w:r>
      <w:r w:rsidR="00E45E00" w:rsidRPr="00033E11">
        <w:rPr>
          <w:noProof/>
        </w:rPr>
        <w:t>Wall and Krumholz 2006</w:t>
      </w:r>
      <w:r w:rsidRPr="00033E11">
        <w:rPr>
          <w:noProof/>
        </w:rPr>
        <w:t>)</w:t>
      </w:r>
      <w:r w:rsidRPr="00033E11">
        <w:fldChar w:fldCharType="end"/>
      </w:r>
      <w:r w:rsidRPr="00033E11">
        <w:t xml:space="preserve">. Microbial-mediated uranium reduction in particular, has been the predominant mechanism utilized for enhancing </w:t>
      </w:r>
      <w:r w:rsidR="00AF4FA9">
        <w:rPr>
          <w:i/>
          <w:iCs/>
        </w:rPr>
        <w:t>in situ</w:t>
      </w:r>
      <w:r w:rsidR="00AF4FA9">
        <w:t xml:space="preserve"> </w:t>
      </w:r>
      <w:r w:rsidRPr="00033E11">
        <w:t xml:space="preserve">uranium immobilization </w:t>
      </w:r>
      <w:r w:rsidRPr="00033E11">
        <w:fldChar w:fldCharType="begin"/>
      </w:r>
      <w:r w:rsidRPr="00033E11">
        <w:instrText xml:space="preserve"> ADDIN EN.CITE &lt;EndNote&gt;&lt;Cite&gt;&lt;Author&gt;Newsome&lt;/Author&gt;&lt;Year&gt;2014&lt;/Year&gt;&lt;RecNum&gt;7522&lt;/RecNum&gt;&lt;DisplayText&gt;(Newsome et al. 2014)&lt;/DisplayText&gt;&lt;record&gt;&lt;rec-number&gt;7522&lt;/rec-number&gt;&lt;foreign-keys&gt;&lt;key app="EN" db-id="x9eet5pfuadszae0v03p9afexee5x9rpvsts"&gt;7522&lt;/key&gt;&lt;/foreign-keys&gt;&lt;ref-type name="Journal Article"&gt;17&lt;/ref-type&gt;&lt;contributors&gt;&lt;authors&gt;&lt;author&gt;Newsome, L.&lt;/author&gt;&lt;author&gt;Morris, K.&lt;/author&gt;&lt;author&gt;Lloyd, J. R.&lt;/author&gt;&lt;/authors&gt;&lt;/contributors&gt;&lt;titles&gt;&lt;title&gt;The biogeochemistry and bioremediation of uranium and other priority radionuclides&lt;/title&gt;&lt;secondary-title&gt;Chemical Geology&lt;/secondary-title&gt;&lt;/titles&gt;&lt;periodical&gt;&lt;full-title&gt;Chemical Geology&lt;/full-title&gt;&lt;abbr-1&gt;Chem Geol&lt;/abbr-1&gt;&lt;/periodical&gt;&lt;pages&gt;164-184&lt;/pages&gt;&lt;volume&gt;363&lt;/volume&gt;&lt;dates&gt;&lt;year&gt;2014&lt;/year&gt;&lt;pub-dates&gt;&lt;date&gt;Jan&lt;/date&gt;&lt;/pub-dates&gt;&lt;/dates&gt;&lt;isbn&gt;0009-2541&lt;/isbn&gt;&lt;accession-num&gt;WOS:000329408900013&lt;/accession-num&gt;&lt;urls&gt;&lt;related-urls&gt;&lt;url&gt;&amp;lt;Go to ISI&amp;gt;://WOS:000329408900013&lt;/url&gt;&lt;/related-urls&gt;&lt;/urls&gt;&lt;electronic-resource-num&gt;10.1016/j.chemgeo.2013.10.034&lt;/electronic-resource-num&gt;&lt;/record&gt;&lt;/Cite&gt;&lt;/EndNote&gt;</w:instrText>
      </w:r>
      <w:r w:rsidRPr="00033E11">
        <w:fldChar w:fldCharType="separate"/>
      </w:r>
      <w:r w:rsidRPr="00033E11">
        <w:rPr>
          <w:noProof/>
        </w:rPr>
        <w:t>(</w:t>
      </w:r>
      <w:r w:rsidR="00E45E00" w:rsidRPr="00033E11">
        <w:rPr>
          <w:noProof/>
        </w:rPr>
        <w:t>Newsome et al. 2014</w:t>
      </w:r>
      <w:r w:rsidRPr="00033E11">
        <w:rPr>
          <w:noProof/>
        </w:rPr>
        <w:t>)</w:t>
      </w:r>
      <w:r w:rsidRPr="00033E11">
        <w:fldChar w:fldCharType="end"/>
      </w:r>
      <w:r w:rsidRPr="00033E11">
        <w:t xml:space="preserve">. However, reoxidation of previously reduced uranium in the presence of dissolved- and/or solid-phase oxidants can result in remobilization of uranium, which poses a significant challenge for remediating uranium-contaminated groundwater </w:t>
      </w:r>
      <w:r w:rsidRPr="00033E11">
        <w:fldChar w:fldCharType="begin"/>
      </w:r>
      <w:r w:rsidR="00EC7321">
        <w:instrText xml:space="preserve"> ADDIN EN.CITE &lt;EndNote&gt;&lt;Cite&gt;&lt;Author&gt;Singh&lt;/Author&gt;&lt;Year&gt;2014&lt;/Year&gt;&lt;RecNum&gt;689&lt;/RecNum&gt;&lt;DisplayText&gt;(Singh et al. 2014)&lt;/DisplayText&gt;&lt;record&gt;&lt;rec-number&gt;689&lt;/rec-number&gt;&lt;foreign-keys&gt;&lt;key app="EN" db-id="rzwe2tae7rs0abe55xgp55w8xtdf5xp9dwrd"&gt;689&lt;/key&gt;&lt;/foreign-keys&gt;&lt;ref-type name="Journal Article"&gt;17&lt;/ref-type&gt;&lt;contributors&gt;&lt;authors&gt;&lt;author&gt;Singh, G.&lt;/author&gt;&lt;author&gt;Sengor, S. S.&lt;/author&gt;&lt;author&gt;Bhalla, A.&lt;/author&gt;&lt;author&gt;Kumar, S.&lt;/author&gt;&lt;author&gt;De, J.&lt;/author&gt;&lt;author&gt;Stewart, B.&lt;/author&gt;&lt;author&gt;Spycher, N.&lt;/author&gt;&lt;author&gt;Ginn, T. M.&lt;/author&gt;&lt;author&gt;Peyton, B. M.&lt;/author&gt;&lt;author&gt;Sani, R. K.&lt;/author&gt;&lt;/authors&gt;&lt;/contributors&gt;&lt;titles&gt;&lt;title&gt;Reoxidation of Biogenic Reduced Uranium: A Challenge Toward Bioremediation&lt;/title&gt;&lt;secondary-title&gt;Critical Reviews in Environmental Science and Technology&lt;/secondary-title&gt;&lt;/titles&gt;&lt;periodical&gt;&lt;full-title&gt;Critical Reviews in Environmental Science and Technology&lt;/full-title&gt;&lt;/periodical&gt;&lt;pages&gt;391-415&lt;/pages&gt;&lt;volume&gt;44&lt;/volume&gt;&lt;number&gt;4&lt;/number&gt;&lt;dates&gt;&lt;year&gt;2014&lt;/year&gt;&lt;pub-dates&gt;&lt;date&gt;Jan&lt;/date&gt;&lt;/pub-dates&gt;&lt;/dates&gt;&lt;isbn&gt;1064-3389&lt;/isbn&gt;&lt;accession-num&gt;WOS:000329425500003&lt;/accession-num&gt;&lt;urls&gt;&lt;related-urls&gt;&lt;url&gt;&amp;lt;Go to ISI&amp;gt;://WOS:000329425500003&lt;/url&gt;&lt;/related-urls&gt;&lt;/urls&gt;&lt;electronic-resource-num&gt;10.1080/10643389.2012.728522&lt;/electronic-resource-num&gt;&lt;/record&gt;&lt;/Cite&gt;&lt;/EndNote&gt;</w:instrText>
      </w:r>
      <w:r w:rsidRPr="00033E11">
        <w:fldChar w:fldCharType="separate"/>
      </w:r>
      <w:r w:rsidRPr="00033E11">
        <w:rPr>
          <w:noProof/>
        </w:rPr>
        <w:t>(</w:t>
      </w:r>
      <w:r w:rsidR="00E45E00" w:rsidRPr="00033E11">
        <w:rPr>
          <w:noProof/>
        </w:rPr>
        <w:t>Singh et al. 2014</w:t>
      </w:r>
      <w:r w:rsidRPr="00033E11">
        <w:rPr>
          <w:noProof/>
        </w:rPr>
        <w:t>)</w:t>
      </w:r>
      <w:r w:rsidRPr="00033E11">
        <w:fldChar w:fldCharType="end"/>
      </w:r>
      <w:r w:rsidR="000A5750">
        <w:t xml:space="preserve">. </w:t>
      </w:r>
    </w:p>
    <w:p w14:paraId="1D82A014" w14:textId="77777777" w:rsidR="00F20517" w:rsidRPr="00033E11" w:rsidRDefault="00F20517" w:rsidP="00F20517">
      <w:r w:rsidRPr="00033E11">
        <w:tab/>
        <w:t xml:space="preserve">Microbial-mediated reduction of uranium can be stimulated by the </w:t>
      </w:r>
      <w:r w:rsidR="00AF4FA9">
        <w:rPr>
          <w:i/>
          <w:iCs/>
        </w:rPr>
        <w:t>in situ</w:t>
      </w:r>
      <w:r w:rsidR="00AF4FA9">
        <w:t xml:space="preserve"> </w:t>
      </w:r>
      <w:r w:rsidRPr="00033E11">
        <w:t xml:space="preserve">addition of an electron donor such as ethanol, glucose, acetate, lactate, </w:t>
      </w:r>
      <w:proofErr w:type="spellStart"/>
      <w:r w:rsidRPr="00033E11">
        <w:t>formate</w:t>
      </w:r>
      <w:proofErr w:type="spellEnd"/>
      <w:r w:rsidRPr="00033E11">
        <w:t xml:space="preserve">, or emulsified vegetable oil </w:t>
      </w:r>
      <w:r w:rsidRPr="00033E11">
        <w:lastRenderedPageBreak/>
        <w:fldChar w:fldCharType="begin">
          <w:fldData xml:space="preserve">PEVuZE5vdGU+PENpdGU+PEF1dGhvcj5TZW5rbzwvQXV0aG9yPjxZZWFyPjIwMDI8L1llYXI+PFJl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</w:fldData>
        </w:fldChar>
      </w:r>
      <w:r w:rsidR="0063330E">
        <w:instrText xml:space="preserve"> ADDIN EN.CITE </w:instrText>
      </w:r>
      <w:r w:rsidR="0063330E">
        <w:fldChar w:fldCharType="begin">
          <w:fldData xml:space="preserve">PEVuZE5vdGU+PENpdGU+PEF1dGhvcj5TZW5rbzwvQXV0aG9yPjxZZWFyPjIwMDI8L1llYXI+PFJl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</w:fldData>
        </w:fldChar>
      </w:r>
      <w:r w:rsidR="0063330E">
        <w:instrText xml:space="preserve"> ADDIN EN.CITE.DATA </w:instrText>
      </w:r>
      <w:r w:rsidR="0063330E">
        <w:fldChar w:fldCharType="end"/>
      </w:r>
      <w:r w:rsidRPr="00033E11">
        <w:fldChar w:fldCharType="separate"/>
      </w:r>
      <w:r w:rsidR="0063330E">
        <w:rPr>
          <w:noProof/>
        </w:rPr>
        <w:t>(</w:t>
      </w:r>
      <w:r w:rsidR="00E45E00">
        <w:rPr>
          <w:noProof/>
        </w:rPr>
        <w:t>Anderson et al. 2003</w:t>
      </w:r>
      <w:r w:rsidR="0063330E">
        <w:rPr>
          <w:noProof/>
        </w:rPr>
        <w:t xml:space="preserve">; </w:t>
      </w:r>
      <w:r w:rsidR="00E45E00">
        <w:rPr>
          <w:noProof/>
        </w:rPr>
        <w:t>Campbell et al. 2011</w:t>
      </w:r>
      <w:r w:rsidR="0063330E">
        <w:rPr>
          <w:noProof/>
        </w:rPr>
        <w:t xml:space="preserve">; </w:t>
      </w:r>
      <w:r w:rsidR="00E45E00">
        <w:rPr>
          <w:noProof/>
        </w:rPr>
        <w:t>Dullies et al. 2010</w:t>
      </w:r>
      <w:r w:rsidR="0063330E">
        <w:rPr>
          <w:noProof/>
        </w:rPr>
        <w:t xml:space="preserve">; </w:t>
      </w:r>
      <w:r w:rsidR="00E45E00">
        <w:rPr>
          <w:noProof/>
        </w:rPr>
        <w:t>Istok et al. 2004</w:t>
      </w:r>
      <w:r w:rsidR="0063330E">
        <w:rPr>
          <w:noProof/>
        </w:rPr>
        <w:t xml:space="preserve">; </w:t>
      </w:r>
      <w:r w:rsidR="00E45E00">
        <w:rPr>
          <w:noProof/>
        </w:rPr>
        <w:t>Senko et al. 2002</w:t>
      </w:r>
      <w:r w:rsidR="0063330E">
        <w:rPr>
          <w:noProof/>
        </w:rPr>
        <w:t xml:space="preserve">; </w:t>
      </w:r>
      <w:r w:rsidR="00E45E00">
        <w:rPr>
          <w:noProof/>
        </w:rPr>
        <w:t>Sharp et al. 2011</w:t>
      </w:r>
      <w:r w:rsidR="0063330E">
        <w:rPr>
          <w:noProof/>
        </w:rPr>
        <w:t xml:space="preserve">; </w:t>
      </w:r>
      <w:r w:rsidR="00E45E00">
        <w:rPr>
          <w:noProof/>
        </w:rPr>
        <w:t>Vrionis et al. 2005</w:t>
      </w:r>
      <w:r w:rsidR="0063330E">
        <w:rPr>
          <w:noProof/>
        </w:rPr>
        <w:t xml:space="preserve">; </w:t>
      </w:r>
      <w:r w:rsidR="00E45E00">
        <w:rPr>
          <w:noProof/>
        </w:rPr>
        <w:t>Watson et al. 2013</w:t>
      </w:r>
      <w:r w:rsidR="0063330E">
        <w:rPr>
          <w:noProof/>
        </w:rPr>
        <w:t xml:space="preserve">; </w:t>
      </w:r>
      <w:r w:rsidR="00E45E00">
        <w:rPr>
          <w:noProof/>
        </w:rPr>
        <w:t>Wu et al. 2006</w:t>
      </w:r>
      <w:r w:rsidR="0063330E">
        <w:rPr>
          <w:noProof/>
        </w:rPr>
        <w:t xml:space="preserve">; </w:t>
      </w:r>
      <w:r w:rsidR="00E45E00">
        <w:rPr>
          <w:noProof/>
        </w:rPr>
        <w:t>Wu et al. 2007</w:t>
      </w:r>
      <w:r w:rsidR="0063330E">
        <w:rPr>
          <w:noProof/>
        </w:rPr>
        <w:t xml:space="preserve">; </w:t>
      </w:r>
      <w:r w:rsidR="00E45E00">
        <w:rPr>
          <w:noProof/>
        </w:rPr>
        <w:t>Wu et al. 2010</w:t>
      </w:r>
      <w:r w:rsidR="0063330E">
        <w:rPr>
          <w:noProof/>
        </w:rPr>
        <w:t>)</w:t>
      </w:r>
      <w:r w:rsidRPr="00033E11">
        <w:fldChar w:fldCharType="end"/>
      </w:r>
      <w:r w:rsidRPr="00033E11">
        <w:t xml:space="preserve">. In the presence of an added electron donor, uranium reduction can proceed following depletion of higher energy yielding terminal electron acceptors (TEAs) such as oxygen, nitrate, manganese, and concurrent with ferric-iron reduction </w:t>
      </w:r>
      <w:r w:rsidRPr="00033E11">
        <w:fldChar w:fldCharType="begin"/>
      </w:r>
      <w:r w:rsidRPr="00033E11">
        <w:instrText xml:space="preserve"> ADDIN EN.CITE &lt;EndNote&gt;&lt;Cite&gt;&lt;Author&gt;Newsome&lt;/Author&gt;&lt;Year&gt;2014&lt;/Year&gt;&lt;RecNum&gt;7522&lt;/RecNum&gt;&lt;DisplayText&gt;(Newsome et al. 2014)&lt;/DisplayText&gt;&lt;record&gt;&lt;rec-number&gt;7522&lt;/rec-number&gt;&lt;foreign-keys&gt;&lt;key app="EN" db-id="x9eet5pfuadszae0v03p9afexee5x9rpvsts"&gt;7522&lt;/key&gt;&lt;/foreign-keys&gt;&lt;ref-type name="Journal Article"&gt;17&lt;/ref-type&gt;&lt;contributors&gt;&lt;authors&gt;&lt;author&gt;Newsome, L.&lt;/author&gt;&lt;author&gt;Morris, K.&lt;/author&gt;&lt;author&gt;Lloyd, J. R.&lt;/author&gt;&lt;/authors&gt;&lt;/contributors&gt;&lt;titles&gt;&lt;title&gt;The biogeochemistry and bioremediation of uranium and other priority radionuclides&lt;/title&gt;&lt;secondary-title&gt;Chemical Geology&lt;/secondary-title&gt;&lt;/titles&gt;&lt;periodical&gt;&lt;full-title&gt;Chemical Geology&lt;/full-title&gt;&lt;abbr-1&gt;Chem Geol&lt;/abbr-1&gt;&lt;/periodical&gt;&lt;pages&gt;164-184&lt;/pages&gt;&lt;volume&gt;363&lt;/volume&gt;&lt;dates&gt;&lt;year&gt;2014&lt;/year&gt;&lt;pub-dates&gt;&lt;date&gt;Jan&lt;/date&gt;&lt;/pub-dates&gt;&lt;/dates&gt;&lt;isbn&gt;0009-2541&lt;/isbn&gt;&lt;accession-num&gt;WOS:000329408900013&lt;/accession-num&gt;&lt;urls&gt;&lt;related-urls&gt;&lt;url&gt;&amp;lt;Go to ISI&amp;gt;://WOS:000329408900013&lt;/url&gt;&lt;/related-urls&gt;&lt;/urls&gt;&lt;electronic-resource-num&gt;10.1016/j.chemgeo.2013.10.034&lt;/electronic-resource-num&gt;&lt;/record&gt;&lt;/Cite&gt;&lt;/EndNote&gt;</w:instrText>
      </w:r>
      <w:r w:rsidRPr="00033E11">
        <w:fldChar w:fldCharType="separate"/>
      </w:r>
      <w:r w:rsidRPr="00033E11">
        <w:rPr>
          <w:noProof/>
        </w:rPr>
        <w:t>(</w:t>
      </w:r>
      <w:r w:rsidR="00E45E00" w:rsidRPr="00033E11">
        <w:rPr>
          <w:noProof/>
        </w:rPr>
        <w:t>Newsome et al. 2014</w:t>
      </w:r>
      <w:r w:rsidRPr="00033E11">
        <w:rPr>
          <w:noProof/>
        </w:rPr>
        <w:t>)</w:t>
      </w:r>
      <w:r w:rsidRPr="00033E11">
        <w:fldChar w:fldCharType="end"/>
      </w:r>
      <w:r w:rsidRPr="00033E11">
        <w:t xml:space="preserve"> which may result in the production of insoluble minerals such as uraninite (UO</w:t>
      </w:r>
      <w:r w:rsidRPr="00033E11">
        <w:rPr>
          <w:vertAlign w:val="subscript"/>
        </w:rPr>
        <w:t>2</w:t>
      </w:r>
      <w:r w:rsidRPr="00033E11">
        <w:t xml:space="preserve">) </w:t>
      </w:r>
      <w:r w:rsidRPr="00033E11">
        <w:fldChar w:fldCharType="begin"/>
      </w:r>
      <w:r w:rsidRPr="00033E11">
        <w:instrText xml:space="preserve"> ADDIN EN.CITE &lt;EndNote&gt;&lt;Cite&gt;&lt;Author&gt;Wall&lt;/Author&gt;&lt;Year&gt;2006&lt;/Year&gt;&lt;RecNum&gt;7916&lt;/RecNum&gt;&lt;DisplayText&gt;(Wall and Krumholz 2006)&lt;/DisplayText&gt;&lt;record&gt;&lt;rec-number&gt;7916&lt;/rec-number&gt;&lt;foreign-keys&gt;&lt;key app="EN" db-id="x9eet5pfuadszae0v03p9afexee5x9rpvsts" timestamp="1445888917"&gt;7916&lt;/key&gt;&lt;/foreign-keys&gt;&lt;ref-type name="Book Section"&gt;5&lt;/ref-type&gt;&lt;contributors&gt;&lt;authors&gt;&lt;author&gt;Wall, Judy D.&lt;/author&gt;&lt;author&gt;Krumholz, Lee R.&lt;/author&gt;&lt;/authors&gt;&lt;/contributors&gt;&lt;titles&gt;&lt;title&gt;Uranium reduction&lt;/title&gt;&lt;secondary-title&gt;Annual Review of Microbiology&lt;/secondary-title&gt;&lt;tertiary-title&gt;Annual Review of Microbiology&lt;/tertiary-title&gt;&lt;/titles&gt;&lt;periodical&gt;&lt;full-title&gt;Annual Review of Microbiology&lt;/full-title&gt;&lt;abbr-1&gt;Annu Rev Microbiol&lt;/abbr-1&gt;&lt;/periodical&gt;&lt;pages&gt;149-166&lt;/pages&gt;&lt;volume&gt;60&lt;/volume&gt;&lt;dates&gt;&lt;year&gt;2006&lt;/year&gt;&lt;/dates&gt;&lt;isbn&gt;0066-4227&amp;#xD;978-0-8243-1160-5&lt;/isbn&gt;&lt;accession-num&gt;WOS:000242032500008&lt;/accession-num&gt;&lt;urls&gt;&lt;related-urls&gt;&lt;url&gt;&amp;lt;Go to ISI&amp;gt;://WOS:000242032500008&lt;/url&gt;&lt;/related-urls&gt;&lt;/urls&gt;&lt;electronic-resource-num&gt;10.1146/annurev.micro.59.030804.121357&lt;/electronic-resource-num&gt;&lt;/record&gt;&lt;/Cite&gt;&lt;/EndNote&gt;</w:instrText>
      </w:r>
      <w:r w:rsidRPr="00033E11">
        <w:fldChar w:fldCharType="separate"/>
      </w:r>
      <w:r w:rsidRPr="00033E11">
        <w:rPr>
          <w:noProof/>
        </w:rPr>
        <w:t>(</w:t>
      </w:r>
      <w:r w:rsidR="00E45E00" w:rsidRPr="00033E11">
        <w:rPr>
          <w:noProof/>
        </w:rPr>
        <w:t>Wall and Krumholz 2006</w:t>
      </w:r>
      <w:r w:rsidRPr="00033E11">
        <w:rPr>
          <w:noProof/>
        </w:rPr>
        <w:t>)</w:t>
      </w:r>
      <w:r w:rsidRPr="00033E11">
        <w:fldChar w:fldCharType="end"/>
      </w:r>
      <w:r w:rsidRPr="00033E11">
        <w:t xml:space="preserve">. However, natural recharge of dissolved-phase oxidants such as oxygen and nitrate into previously reduced groundwater zones can result in reoxidation and subsequent remobilization of uranium </w:t>
      </w:r>
      <w:r w:rsidRPr="00033E11">
        <w:fldChar w:fldCharType="begin">
          <w:fldData xml:space="preserve">PEVuZE5vdGU+PENpdGU+PEF1dGhvcj5XdTwvQXV0aG9yPjxZZWFyPjIwMTA8L1llYXI+PFJlY051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=
</w:fldData>
        </w:fldChar>
      </w:r>
      <w:r w:rsidR="0063330E">
        <w:instrText xml:space="preserve"> ADDIN EN.CITE </w:instrText>
      </w:r>
      <w:r w:rsidR="0063330E">
        <w:fldChar w:fldCharType="begin">
          <w:fldData xml:space="preserve">PEVuZE5vdGU+PENpdGU+PEF1dGhvcj5XdTwvQXV0aG9yPjxZZWFyPjIwMTA8L1llYXI+PFJlY051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=
</w:fldData>
        </w:fldChar>
      </w:r>
      <w:r w:rsidR="0063330E">
        <w:instrText xml:space="preserve"> ADDIN EN.CITE.DATA </w:instrText>
      </w:r>
      <w:r w:rsidR="0063330E">
        <w:fldChar w:fldCharType="end"/>
      </w:r>
      <w:r w:rsidRPr="00033E11">
        <w:fldChar w:fldCharType="separate"/>
      </w:r>
      <w:r w:rsidR="0063330E">
        <w:rPr>
          <w:noProof/>
        </w:rPr>
        <w:t>(</w:t>
      </w:r>
      <w:r w:rsidR="00E45E00">
        <w:rPr>
          <w:noProof/>
        </w:rPr>
        <w:t>Watson et al. 2013</w:t>
      </w:r>
      <w:r w:rsidR="0063330E">
        <w:rPr>
          <w:noProof/>
        </w:rPr>
        <w:t xml:space="preserve">; </w:t>
      </w:r>
      <w:r w:rsidR="00E45E00">
        <w:rPr>
          <w:noProof/>
        </w:rPr>
        <w:t>Wu et al. 2007</w:t>
      </w:r>
      <w:r w:rsidR="0063330E">
        <w:rPr>
          <w:noProof/>
        </w:rPr>
        <w:t xml:space="preserve">; </w:t>
      </w:r>
      <w:r w:rsidR="00E45E00">
        <w:rPr>
          <w:noProof/>
        </w:rPr>
        <w:t>Wu et al. 2010</w:t>
      </w:r>
      <w:r w:rsidR="0063330E">
        <w:rPr>
          <w:noProof/>
        </w:rPr>
        <w:t>)</w:t>
      </w:r>
      <w:r w:rsidRPr="00033E11">
        <w:fldChar w:fldCharType="end"/>
      </w:r>
      <w:r w:rsidRPr="00033E11">
        <w:t xml:space="preserve">. Although the presence of solid-phase oxidants such as Mn(IV)-oxides and/or Fe(III)-oxides can also result in reoxidation of uranium, their abundance is likely limited following uranium-reducing conditions </w:t>
      </w:r>
      <w:r w:rsidRPr="00033E11">
        <w:fldChar w:fldCharType="begin">
          <w:fldData xml:space="preserve">PEVuZE5vdGU+PENpdGU+PEF1dGhvcj5WcmlvbmlzPC9BdXRob3I+PFllYXI+MjAwNTwvWWVhcj48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</w:fldData>
        </w:fldChar>
      </w:r>
      <w:r w:rsidRPr="00033E11">
        <w:instrText xml:space="preserve"> ADDIN EN.CITE </w:instrText>
      </w:r>
      <w:r w:rsidRPr="00033E11">
        <w:fldChar w:fldCharType="begin">
          <w:fldData xml:space="preserve">PEVuZE5vdGU+PENpdGU+PEF1dGhvcj5WcmlvbmlzPC9BdXRob3I+PFllYXI+MjAwNTwvWWVhcj48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</w:fldData>
        </w:fldChar>
      </w:r>
      <w:r w:rsidRPr="00033E11">
        <w:instrText xml:space="preserve"> ADDIN EN.CITE.DATA </w:instrText>
      </w:r>
      <w:r w:rsidRPr="00033E11">
        <w:fldChar w:fldCharType="end"/>
      </w:r>
      <w:r w:rsidRPr="00033E11">
        <w:fldChar w:fldCharType="separate"/>
      </w:r>
      <w:r w:rsidRPr="00033E11">
        <w:rPr>
          <w:noProof/>
        </w:rPr>
        <w:t>(</w:t>
      </w:r>
      <w:r w:rsidR="00E45E00" w:rsidRPr="00033E11">
        <w:rPr>
          <w:noProof/>
        </w:rPr>
        <w:t>Vrionis et al. 2005</w:t>
      </w:r>
      <w:r w:rsidRPr="00033E11">
        <w:rPr>
          <w:noProof/>
        </w:rPr>
        <w:t>)</w:t>
      </w:r>
      <w:r w:rsidRPr="00033E11">
        <w:fldChar w:fldCharType="end"/>
      </w:r>
      <w:r w:rsidRPr="00033E11">
        <w:t xml:space="preserve">. </w:t>
      </w:r>
      <w:proofErr w:type="gramStart"/>
      <w:r w:rsidRPr="00033E11">
        <w:t>In order to</w:t>
      </w:r>
      <w:proofErr w:type="gramEnd"/>
      <w:r w:rsidRPr="00033E11">
        <w:t xml:space="preserve"> actively maintain uranium-reducing conditions, the continuous or periodic addition of an electron donor can effectively prevent uranium reoxidation </w:t>
      </w:r>
      <w:r w:rsidRPr="00033E11">
        <w:fldChar w:fldCharType="begin">
          <w:fldData xml:space="preserve">PEVuZE5vdGU+PENpdGU+PEF1dGhvcj5XdTwvQXV0aG9yPjxZZWFyPjIwMDc8L1llYXI+PFJlY051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=
</w:fldData>
        </w:fldChar>
      </w:r>
      <w:r w:rsidR="0063330E">
        <w:instrText xml:space="preserve"> ADDIN EN.CITE </w:instrText>
      </w:r>
      <w:r w:rsidR="0063330E">
        <w:fldChar w:fldCharType="begin">
          <w:fldData xml:space="preserve">PEVuZE5vdGU+PENpdGU+PEF1dGhvcj5XdTwvQXV0aG9yPjxZZWFyPjIwMDc8L1llYXI+PFJlY051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=
</w:fldData>
        </w:fldChar>
      </w:r>
      <w:r w:rsidR="0063330E">
        <w:instrText xml:space="preserve"> ADDIN EN.CITE.DATA </w:instrText>
      </w:r>
      <w:r w:rsidR="0063330E">
        <w:fldChar w:fldCharType="end"/>
      </w:r>
      <w:r w:rsidRPr="00033E11">
        <w:fldChar w:fldCharType="separate"/>
      </w:r>
      <w:r w:rsidR="0063330E">
        <w:rPr>
          <w:noProof/>
        </w:rPr>
        <w:t>(</w:t>
      </w:r>
      <w:r w:rsidR="00E45E00">
        <w:rPr>
          <w:noProof/>
        </w:rPr>
        <w:t>Watson et al. 2013</w:t>
      </w:r>
      <w:r w:rsidR="0063330E">
        <w:rPr>
          <w:noProof/>
        </w:rPr>
        <w:t xml:space="preserve">; </w:t>
      </w:r>
      <w:r w:rsidR="00E45E00">
        <w:rPr>
          <w:noProof/>
        </w:rPr>
        <w:t>Wu et al. 2007</w:t>
      </w:r>
      <w:r w:rsidR="0063330E">
        <w:rPr>
          <w:noProof/>
        </w:rPr>
        <w:t xml:space="preserve">; </w:t>
      </w:r>
      <w:r w:rsidR="00E45E00">
        <w:rPr>
          <w:noProof/>
        </w:rPr>
        <w:t>Wu et al. 2010</w:t>
      </w:r>
      <w:r w:rsidR="0063330E">
        <w:rPr>
          <w:noProof/>
        </w:rPr>
        <w:t>)</w:t>
      </w:r>
      <w:r w:rsidRPr="00033E11">
        <w:fldChar w:fldCharType="end"/>
      </w:r>
      <w:r w:rsidRPr="00033E11">
        <w:t xml:space="preserve">. However, active remediation systems can also be expensive to design, build, and operate. Therefore, creating groundwater conditions which can sustain uranium-reducing conditions after </w:t>
      </w:r>
      <w:r w:rsidR="00AF4FA9">
        <w:rPr>
          <w:i/>
          <w:iCs/>
        </w:rPr>
        <w:t>in situ</w:t>
      </w:r>
      <w:r w:rsidR="00AF4FA9">
        <w:t xml:space="preserve"> </w:t>
      </w:r>
      <w:r w:rsidRPr="00033E11">
        <w:t>electron donor addition has been terminated and depleted is of critical interest to remediation practitioners.</w:t>
      </w:r>
    </w:p>
    <w:p w14:paraId="3743E028" w14:textId="77777777" w:rsidR="00F20517" w:rsidRPr="00033E11" w:rsidRDefault="00F20517" w:rsidP="00F20517">
      <w:r w:rsidRPr="00033E11">
        <w:tab/>
        <w:t xml:space="preserve">The importance of reduced sulfur-bearing minerals, formed by sulfate-reducing bacteria, has been recognized as a predominant factor contributing to maintaining uranium-reducing conditions in natural uranium-rich groundwater systems </w:t>
      </w:r>
      <w:r w:rsidRPr="00033E11">
        <w:fldChar w:fldCharType="begin">
          <w:fldData xml:space="preserve">PEVuZE5vdGU+PENpdGU+PEF1dGhvcj5Jd2F0c3VraTwvQXV0aG9yPjxZZWFyPjIwMDQ8L1llYXI+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</w:fldData>
        </w:fldChar>
      </w:r>
      <w:r w:rsidR="0063330E">
        <w:instrText xml:space="preserve"> ADDIN EN.CITE </w:instrText>
      </w:r>
      <w:r w:rsidR="0063330E">
        <w:fldChar w:fldCharType="begin">
          <w:fldData xml:space="preserve">PEVuZE5vdGU+PENpdGU+PEF1dGhvcj5Jd2F0c3VraTwvQXV0aG9yPjxZZWFyPjIwMDQ8L1llYXI+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</w:fldData>
        </w:fldChar>
      </w:r>
      <w:r w:rsidR="0063330E">
        <w:instrText xml:space="preserve"> ADDIN EN.CITE.DATA </w:instrText>
      </w:r>
      <w:r w:rsidR="0063330E">
        <w:fldChar w:fldCharType="end"/>
      </w:r>
      <w:r w:rsidRPr="00033E11">
        <w:fldChar w:fldCharType="separate"/>
      </w:r>
      <w:r w:rsidR="0063330E">
        <w:rPr>
          <w:noProof/>
        </w:rPr>
        <w:t>(</w:t>
      </w:r>
      <w:r w:rsidR="00E45E00">
        <w:rPr>
          <w:noProof/>
        </w:rPr>
        <w:t>Arthur et al. 2006</w:t>
      </w:r>
      <w:r w:rsidR="0063330E">
        <w:rPr>
          <w:noProof/>
        </w:rPr>
        <w:t xml:space="preserve">; </w:t>
      </w:r>
      <w:r w:rsidR="00E45E00">
        <w:rPr>
          <w:noProof/>
        </w:rPr>
        <w:t>Iwatsuki et al. 2004</w:t>
      </w:r>
      <w:r w:rsidR="0063330E">
        <w:rPr>
          <w:noProof/>
        </w:rPr>
        <w:t xml:space="preserve">; </w:t>
      </w:r>
      <w:r w:rsidR="00E45E00">
        <w:rPr>
          <w:noProof/>
        </w:rPr>
        <w:t>Noseck et al. 2012</w:t>
      </w:r>
      <w:r w:rsidR="0063330E">
        <w:rPr>
          <w:noProof/>
        </w:rPr>
        <w:t>)</w:t>
      </w:r>
      <w:r w:rsidRPr="00033E11">
        <w:fldChar w:fldCharType="end"/>
      </w:r>
      <w:r w:rsidRPr="00033E11">
        <w:t>. This is likely due, in part, to preferential oxidation of common reduced sulfur-bearing minerals such as pyrite (FeS</w:t>
      </w:r>
      <w:r w:rsidRPr="00033E11">
        <w:rPr>
          <w:vertAlign w:val="subscript"/>
        </w:rPr>
        <w:t>2</w:t>
      </w:r>
      <w:r w:rsidRPr="00033E11">
        <w:t>), mackinawite (FeS</w:t>
      </w:r>
      <w:r w:rsidRPr="00033E11">
        <w:rPr>
          <w:vertAlign w:val="subscript"/>
        </w:rPr>
        <w:t>0.9</w:t>
      </w:r>
      <w:r w:rsidRPr="00033E11">
        <w:t xml:space="preserve">) and </w:t>
      </w:r>
      <w:r w:rsidRPr="00033E11">
        <w:rPr>
          <w:bCs/>
        </w:rPr>
        <w:t>alabandite (MnS)</w:t>
      </w:r>
      <w:r w:rsidRPr="00033E11">
        <w:t xml:space="preserve"> by oxygen and nitrate, which are thermodynamically favorable reductants when compared to </w:t>
      </w:r>
      <w:r w:rsidRPr="00033E11">
        <w:lastRenderedPageBreak/>
        <w:t xml:space="preserve">uraninite </w:t>
      </w:r>
      <w:r w:rsidRPr="00033E11">
        <w:fldChar w:fldCharType="begin"/>
      </w:r>
      <w:r w:rsidRPr="00033E11">
        <w:instrText xml:space="preserve"> ADDIN EN.CITE &lt;EndNote&gt;&lt;Cite&gt;&lt;Author&gt;Dean&lt;/Author&gt;&lt;Year&gt;1999&lt;/Year&gt;&lt;RecNum&gt;7655&lt;/RecNum&gt;&lt;DisplayText&gt;(Dean 1999)&lt;/DisplayText&gt;&lt;record&gt;&lt;rec-number&gt;7655&lt;/rec-number&gt;&lt;foreign-keys&gt;&lt;key app="EN" db-id="x9eet5pfuadszae0v03p9afexee5x9rpvsts"&gt;7655&lt;/key&gt;&lt;/foreign-keys&gt;&lt;ref-type name="Book"&gt;6&lt;/ref-type&gt;&lt;contributors&gt;&lt;authors&gt;&lt;author&gt;John A. Dean&lt;/author&gt;&lt;/authors&gt;&lt;/contributors&gt;&lt;titles&gt;&lt;title&gt;Lange&amp;apos;s Handbook of Chemistry&lt;/title&gt;&lt;/titles&gt;&lt;edition&gt;Fifteenth&lt;/edition&gt;&lt;dates&gt;&lt;year&gt;1999&lt;/year&gt;&lt;/dates&gt;&lt;publisher&gt;McGRAW-HILL, INC.&lt;/publisher&gt;&lt;isbn&gt;0-07-016384-7&lt;/isbn&gt;&lt;urls&gt;&lt;/urls&gt;&lt;/record&gt;&lt;/Cite&gt;&lt;/EndNote&gt;</w:instrText>
      </w:r>
      <w:r w:rsidRPr="00033E11">
        <w:fldChar w:fldCharType="separate"/>
      </w:r>
      <w:r w:rsidRPr="00033E11">
        <w:rPr>
          <w:noProof/>
        </w:rPr>
        <w:t>(</w:t>
      </w:r>
      <w:r w:rsidR="00E45E00" w:rsidRPr="00033E11">
        <w:rPr>
          <w:noProof/>
        </w:rPr>
        <w:t>Dean 1999</w:t>
      </w:r>
      <w:r w:rsidRPr="00033E11">
        <w:rPr>
          <w:noProof/>
        </w:rPr>
        <w:t>)</w:t>
      </w:r>
      <w:r w:rsidRPr="00033E11">
        <w:fldChar w:fldCharType="end"/>
      </w:r>
      <w:r w:rsidRPr="00033E11">
        <w:t xml:space="preserve">. This suggests that creating </w:t>
      </w:r>
      <w:r w:rsidR="00AF4FA9">
        <w:rPr>
          <w:i/>
          <w:iCs/>
        </w:rPr>
        <w:t>in situ</w:t>
      </w:r>
      <w:r w:rsidR="00AF4FA9">
        <w:t xml:space="preserve"> </w:t>
      </w:r>
      <w:r w:rsidRPr="00033E11">
        <w:t xml:space="preserve">groundwater conditions that are conducive to the formation of reduced sulfur-bearing minerals following uranium reduction may lead to greater stability of immobilized uranium in the presence of oxidants. The importance of preferential oxidation of reduced sulfur-bearing minerals following uranium reduction has been demonstrated experimentally in numerous laboratory studies </w:t>
      </w:r>
      <w:r w:rsidRPr="00033E11">
        <w:fldChar w:fldCharType="begin">
          <w:fldData xml:space="preserve">PEVuZE5vdGU+PENpdGU+PEF1dGhvcj5BYmRlbG91YXM8L0F1dGhvcj48WWVhcj4xOTk5PC9ZZWFy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</w:fldData>
        </w:fldChar>
      </w:r>
      <w:r w:rsidR="0063330E">
        <w:instrText xml:space="preserve"> ADDIN EN.CITE </w:instrText>
      </w:r>
      <w:r w:rsidR="0063330E">
        <w:fldChar w:fldCharType="begin">
          <w:fldData xml:space="preserve">PEVuZE5vdGU+PENpdGU+PEF1dGhvcj5BYmRlbG91YXM8L0F1dGhvcj48WWVhcj4xOTk5PC9ZZWFy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</w:fldData>
        </w:fldChar>
      </w:r>
      <w:r w:rsidR="0063330E">
        <w:instrText xml:space="preserve"> ADDIN EN.CITE.DATA </w:instrText>
      </w:r>
      <w:r w:rsidR="0063330E">
        <w:fldChar w:fldCharType="end"/>
      </w:r>
      <w:r w:rsidRPr="00033E11">
        <w:fldChar w:fldCharType="separate"/>
      </w:r>
      <w:r w:rsidR="0063330E">
        <w:rPr>
          <w:noProof/>
        </w:rPr>
        <w:t>(</w:t>
      </w:r>
      <w:r w:rsidR="00E45E00">
        <w:rPr>
          <w:noProof/>
        </w:rPr>
        <w:t>Abdelouas et al. 2000</w:t>
      </w:r>
      <w:r w:rsidR="0063330E">
        <w:rPr>
          <w:noProof/>
        </w:rPr>
        <w:t xml:space="preserve">; </w:t>
      </w:r>
      <w:r w:rsidR="00E45E00">
        <w:rPr>
          <w:noProof/>
        </w:rPr>
        <w:t>Abdelouas et al. 1999</w:t>
      </w:r>
      <w:r w:rsidR="0063330E">
        <w:rPr>
          <w:noProof/>
        </w:rPr>
        <w:t xml:space="preserve">; </w:t>
      </w:r>
      <w:r w:rsidR="00E45E00">
        <w:rPr>
          <w:noProof/>
        </w:rPr>
        <w:t>Bi and Hayes 2014a</w:t>
      </w:r>
      <w:r w:rsidR="0063330E">
        <w:rPr>
          <w:noProof/>
        </w:rPr>
        <w:t xml:space="preserve">; </w:t>
      </w:r>
      <w:r w:rsidR="00E45E00">
        <w:rPr>
          <w:noProof/>
        </w:rPr>
        <w:t>Bi and Hayes 2014b</w:t>
      </w:r>
      <w:r w:rsidR="0063330E">
        <w:rPr>
          <w:noProof/>
        </w:rPr>
        <w:t xml:space="preserve">; </w:t>
      </w:r>
      <w:r w:rsidR="00E45E00">
        <w:rPr>
          <w:noProof/>
        </w:rPr>
        <w:t>Bi et al. 2013</w:t>
      </w:r>
      <w:r w:rsidR="0063330E">
        <w:rPr>
          <w:noProof/>
        </w:rPr>
        <w:t xml:space="preserve">; </w:t>
      </w:r>
      <w:r w:rsidR="00E45E00">
        <w:rPr>
          <w:noProof/>
        </w:rPr>
        <w:t>Carpenter et al. 2015</w:t>
      </w:r>
      <w:r w:rsidR="0063330E">
        <w:rPr>
          <w:noProof/>
        </w:rPr>
        <w:t xml:space="preserve">; </w:t>
      </w:r>
      <w:r w:rsidR="00E45E00">
        <w:rPr>
          <w:noProof/>
        </w:rPr>
        <w:t>Luan et al. 2015</w:t>
      </w:r>
      <w:r w:rsidR="0063330E">
        <w:rPr>
          <w:noProof/>
        </w:rPr>
        <w:t xml:space="preserve">; </w:t>
      </w:r>
      <w:r w:rsidR="00E45E00">
        <w:rPr>
          <w:noProof/>
        </w:rPr>
        <w:t>Moon et al. 2009</w:t>
      </w:r>
      <w:r w:rsidR="0063330E">
        <w:rPr>
          <w:noProof/>
        </w:rPr>
        <w:t xml:space="preserve">; </w:t>
      </w:r>
      <w:r w:rsidR="00E45E00">
        <w:rPr>
          <w:noProof/>
        </w:rPr>
        <w:t>N'Guessan et al. 2010</w:t>
      </w:r>
      <w:r w:rsidR="0063330E">
        <w:rPr>
          <w:noProof/>
        </w:rPr>
        <w:t>)</w:t>
      </w:r>
      <w:r w:rsidRPr="00033E11">
        <w:fldChar w:fldCharType="end"/>
      </w:r>
      <w:r w:rsidRPr="00033E11">
        <w:t xml:space="preserve">. For example, in a flow-through sediment column study, Moon et al. </w:t>
      </w:r>
      <w:r w:rsidRPr="00033E11">
        <w:fldChar w:fldCharType="begin"/>
      </w:r>
      <w:r w:rsidRPr="00033E11">
        <w:instrText xml:space="preserve"> ADDIN EN.CITE &lt;EndNote&gt;&lt;Cite ExcludeAuth="1"&gt;&lt;Author&gt;Moon&lt;/Author&gt;&lt;Year&gt;2009&lt;/Year&gt;&lt;RecNum&gt;7711&lt;/RecNum&gt;&lt;DisplayText&gt;(2009)&lt;/DisplayText&gt;&lt;record&gt;&lt;rec-number&gt;7711&lt;/rec-number&gt;&lt;foreign-keys&gt;&lt;key app="EN" db-id="x9eet5pfuadszae0v03p9afexee5x9rpvsts" timestamp="1418472711"&gt;7711&lt;/key&gt;&lt;/foreign-keys&gt;&lt;ref-type name="Journal Article"&gt;17&lt;/ref-type&gt;&lt;contributors&gt;&lt;authors&gt;&lt;author&gt;Moon, H. S.&lt;/author&gt;&lt;author&gt;Komlos, J.&lt;/author&gt;&lt;author&gt;Jaffe, P. R.&lt;/author&gt;&lt;/authors&gt;&lt;/contributors&gt;&lt;titles&gt;&lt;title&gt;Biogenic U(IV) oxidation by dissolved oxygen and nitrate in sediment after prolonged U(VI)/Fe(III)/SO42- reduction&lt;/title&gt;&lt;secondary-title&gt;Journal of Contaminant Hydrology&lt;/secondary-title&gt;&lt;/titles&gt;&lt;periodical&gt;&lt;full-title&gt;Journal of Contaminant Hydrology&lt;/full-title&gt;&lt;abbr-1&gt;J Contam Hydrol&lt;/abbr-1&gt;&lt;/periodical&gt;&lt;pages&gt;18-27&lt;/pages&gt;&lt;volume&gt;105&lt;/volume&gt;&lt;number&gt;1-2&lt;/number&gt;&lt;dates&gt;&lt;year&gt;2009&lt;/year&gt;&lt;pub-dates&gt;&lt;date&gt;Feb 27&lt;/date&gt;&lt;/pub-dates&gt;&lt;/dates&gt;&lt;isbn&gt;0169-7722&lt;/isbn&gt;&lt;accession-num&gt;WOS:000264302100002&lt;/accession-num&gt;&lt;urls&gt;&lt;related-urls&gt;&lt;url&gt;&amp;lt;Go to ISI&amp;gt;://WOS:000264302100002&lt;/url&gt;&lt;url&gt;http://www.sciencedirect.com/science/article/pii/S0169772208001927&lt;/url&gt;&lt;/related-urls&gt;&lt;/urls&gt;&lt;electronic-resource-num&gt;10.1016/j.jconhyd.2008.10.014&lt;/electronic-resource-num&gt;&lt;/record&gt;&lt;/Cite&gt;&lt;/EndNote&gt;</w:instrText>
      </w:r>
      <w:r w:rsidRPr="00033E11">
        <w:fldChar w:fldCharType="separate"/>
      </w:r>
      <w:r w:rsidRPr="00033E11">
        <w:rPr>
          <w:noProof/>
        </w:rPr>
        <w:t>(</w:t>
      </w:r>
      <w:r w:rsidR="00E45E00" w:rsidRPr="00033E11">
        <w:rPr>
          <w:noProof/>
        </w:rPr>
        <w:t>2009</w:t>
      </w:r>
      <w:r w:rsidRPr="00033E11">
        <w:rPr>
          <w:noProof/>
        </w:rPr>
        <w:t>)</w:t>
      </w:r>
      <w:r w:rsidRPr="00033E11">
        <w:fldChar w:fldCharType="end"/>
      </w:r>
      <w:r w:rsidRPr="00033E11">
        <w:t xml:space="preserve"> demonstrated that microbial-mediated uranium reduction followed by enhanced sulfate reduction resulted in the formation of iron sulfides which limited the extent of uranium reoxidation by oxygen and nitrate when compared to a previous study where uranium reduction was not followed by sulfate reduction </w:t>
      </w:r>
      <w:r w:rsidRPr="00033E11">
        <w:fldChar w:fldCharType="begin"/>
      </w:r>
      <w:r w:rsidRPr="00033E11">
        <w:instrText xml:space="preserve"> ADDIN EN.CITE &lt;EndNote&gt;&lt;Cite&gt;&lt;Author&gt;Moon&lt;/Author&gt;&lt;Year&gt;2007&lt;/Year&gt;&lt;RecNum&gt;7712&lt;/RecNum&gt;&lt;DisplayText&gt;(Moon et al. 2007)&lt;/DisplayText&gt;&lt;record&gt;&lt;rec-number&gt;7712&lt;/rec-number&gt;&lt;foreign-keys&gt;&lt;key app="EN" db-id="x9eet5pfuadszae0v03p9afexee5x9rpvsts" timestamp="1418508722"&gt;7712&lt;/key&gt;&lt;/foreign-keys&gt;&lt;ref-type name="Journal Article"&gt;17&lt;/ref-type&gt;&lt;contributors&gt;&lt;authors&gt;&lt;author&gt;Moon, Hee Sun&lt;/author&gt;&lt;author&gt;Komlos, John&lt;/author&gt;&lt;author&gt;Jaffe, Peter R.&lt;/author&gt;&lt;/authors&gt;&lt;/contributors&gt;&lt;titles&gt;&lt;title&gt;Uranium reoxidation in previously bioreduced sediment by dissolved oxygen and nitrate&lt;/title&gt;&lt;secondary-title&gt;Environmental Science &amp;amp; Technology&lt;/secondary-title&gt;&lt;/titles&gt;&lt;periodical&gt;&lt;full-title&gt;Environmental Science &amp;amp; Technology&lt;/full-title&gt;&lt;abbr-1&gt;Environ Sci Technol&lt;/abbr-1&gt;&lt;/periodical&gt;&lt;pages&gt;4587-4592&lt;/pages&gt;&lt;volume&gt;41&lt;/volume&gt;&lt;number&gt;13&lt;/number&gt;&lt;dates&gt;&lt;year&gt;2007&lt;/year&gt;&lt;pub-dates&gt;&lt;date&gt;Jul 1&lt;/date&gt;&lt;/pub-dates&gt;&lt;/dates&gt;&lt;isbn&gt;0013-936X&lt;/isbn&gt;&lt;accession-num&gt;WOS:000247782500025&lt;/accession-num&gt;&lt;urls&gt;&lt;related-urls&gt;&lt;url&gt;&amp;lt;Go to ISI&amp;gt;://WOS:000247782500025&lt;/url&gt;&lt;url&gt;http://pubs.acs.org/doi/abs/10.1021/es063063b&lt;/url&gt;&lt;/related-urls&gt;&lt;/urls&gt;&lt;electronic-resource-num&gt;10.1021/es063063b&lt;/electronic-resource-num&gt;&lt;/record&gt;&lt;/Cite&gt;&lt;/EndNote&gt;</w:instrText>
      </w:r>
      <w:r w:rsidRPr="00033E11">
        <w:fldChar w:fldCharType="separate"/>
      </w:r>
      <w:r w:rsidRPr="00033E11">
        <w:rPr>
          <w:noProof/>
        </w:rPr>
        <w:t>(</w:t>
      </w:r>
      <w:r w:rsidR="00E45E00" w:rsidRPr="00033E11">
        <w:rPr>
          <w:noProof/>
        </w:rPr>
        <w:t>Moon et al. 2007</w:t>
      </w:r>
      <w:r w:rsidRPr="00033E11">
        <w:rPr>
          <w:noProof/>
        </w:rPr>
        <w:t>)</w:t>
      </w:r>
      <w:r w:rsidRPr="00033E11">
        <w:fldChar w:fldCharType="end"/>
      </w:r>
      <w:r w:rsidRPr="00033E11">
        <w:t xml:space="preserve">. However, in both laboratory studies, the rate and extent of uranium reoxidation was greater when nitrate, as opposed to oxygen, was the oxidant. The relative importance of nitrate as a predominant oxidant for </w:t>
      </w:r>
      <w:r w:rsidR="00AF4FA9">
        <w:rPr>
          <w:i/>
          <w:iCs/>
        </w:rPr>
        <w:t>in situ</w:t>
      </w:r>
      <w:r w:rsidR="00AF4FA9">
        <w:t xml:space="preserve"> </w:t>
      </w:r>
      <w:r w:rsidRPr="00033E11">
        <w:t xml:space="preserve">uranium reoxidation has also been recognized at numerous uranium-contaminated sites where nitrate is a common co-contaminant due to activities associated with the processing of uranium ore </w:t>
      </w:r>
      <w:r w:rsidRPr="00033E11">
        <w:fldChar w:fldCharType="begin">
          <w:fldData xml:space="preserve">PEVuZE5vdGU+PENpdGU+PEF1dGhvcj5TcGFpbjwvQXV0aG9yPjxZZWFyPjIwMTE8L1llYXI+PFJl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==
</w:fldData>
        </w:fldChar>
      </w:r>
      <w:r w:rsidR="0063330E">
        <w:instrText xml:space="preserve"> ADDIN EN.CITE </w:instrText>
      </w:r>
      <w:r w:rsidR="0063330E">
        <w:fldChar w:fldCharType="begin">
          <w:fldData xml:space="preserve">PEVuZE5vdGU+PENpdGU+PEF1dGhvcj5TcGFpbjwvQXV0aG9yPjxZZWFyPjIwMTE8L1llYXI+PFJl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==
</w:fldData>
        </w:fldChar>
      </w:r>
      <w:r w:rsidR="0063330E">
        <w:instrText xml:space="preserve"> ADDIN EN.CITE.DATA </w:instrText>
      </w:r>
      <w:r w:rsidR="0063330E">
        <w:fldChar w:fldCharType="end"/>
      </w:r>
      <w:r w:rsidRPr="00033E11">
        <w:fldChar w:fldCharType="separate"/>
      </w:r>
      <w:r w:rsidR="0063330E">
        <w:rPr>
          <w:noProof/>
        </w:rPr>
        <w:t>(</w:t>
      </w:r>
      <w:r w:rsidR="00E45E00">
        <w:rPr>
          <w:noProof/>
        </w:rPr>
        <w:t>Lloyd and Renshaw 2005</w:t>
      </w:r>
      <w:r w:rsidR="0063330E">
        <w:rPr>
          <w:noProof/>
        </w:rPr>
        <w:t xml:space="preserve">; </w:t>
      </w:r>
      <w:r w:rsidR="00E45E00">
        <w:rPr>
          <w:noProof/>
        </w:rPr>
        <w:t>Smith et al. 2015</w:t>
      </w:r>
      <w:r w:rsidR="0063330E">
        <w:rPr>
          <w:noProof/>
        </w:rPr>
        <w:t xml:space="preserve">; </w:t>
      </w:r>
      <w:r w:rsidR="00E45E00">
        <w:rPr>
          <w:noProof/>
        </w:rPr>
        <w:t>Spain and Krumholz 2011</w:t>
      </w:r>
      <w:r w:rsidR="0063330E">
        <w:rPr>
          <w:noProof/>
        </w:rPr>
        <w:t>)</w:t>
      </w:r>
      <w:r w:rsidRPr="00033E11">
        <w:fldChar w:fldCharType="end"/>
      </w:r>
      <w:r w:rsidRPr="00033E11">
        <w:t xml:space="preserve">. Although nitrate alone does not abiotically oxidize U(IV) to an appreciable extent, </w:t>
      </w:r>
      <w:r w:rsidRPr="00033E11">
        <w:rPr>
          <w:bCs/>
        </w:rPr>
        <w:t xml:space="preserve">dissimilatory nitrate reduction </w:t>
      </w:r>
      <w:r w:rsidRPr="00033E11">
        <w:t xml:space="preserve">intermediates, such as nitrite, nitric oxide, and nitrous oxide, as well as microbial-mediated nitrate-dependent U(IV) oxidation, have been shown to reoxidize uranium in numerous laboratory and </w:t>
      </w:r>
      <w:r w:rsidR="00AF4FA9">
        <w:rPr>
          <w:i/>
          <w:iCs/>
        </w:rPr>
        <w:t>in situ</w:t>
      </w:r>
      <w:r w:rsidR="00AF4FA9">
        <w:t xml:space="preserve"> </w:t>
      </w:r>
      <w:r w:rsidRPr="00033E11">
        <w:t xml:space="preserve">studies </w:t>
      </w:r>
      <w:r w:rsidRPr="00033E11">
        <w:fldChar w:fldCharType="begin"/>
      </w:r>
      <w:r w:rsidR="00EC7321">
        <w:instrText xml:space="preserve"> ADDIN EN.CITE &lt;EndNote&gt;&lt;Cite&gt;&lt;Author&gt;Singh&lt;/Author&gt;&lt;Year&gt;2014&lt;/Year&gt;&lt;RecNum&gt;689&lt;/RecNum&gt;&lt;DisplayText&gt;(Singh et al. 2014)&lt;/DisplayText&gt;&lt;record&gt;&lt;rec-number&gt;689&lt;/rec-number&gt;&lt;foreign-keys&gt;&lt;key app="EN" db-id="rzwe2tae7rs0abe55xgp55w8xtdf5xp9dwrd"&gt;689&lt;/key&gt;&lt;/foreign-keys&gt;&lt;ref-type name="Journal Article"&gt;17&lt;/ref-type&gt;&lt;contributors&gt;&lt;authors&gt;&lt;author&gt;Singh, G.&lt;/author&gt;&lt;author&gt;Sengor, S. S.&lt;/author&gt;&lt;author&gt;Bhalla, A.&lt;/author&gt;&lt;author&gt;Kumar, S.&lt;/author&gt;&lt;author&gt;De, J.&lt;/author&gt;&lt;author&gt;Stewart, B.&lt;/author&gt;&lt;author&gt;Spycher, N.&lt;/author&gt;&lt;author&gt;Ginn, T. M.&lt;/author&gt;&lt;author&gt;Peyton, B. M.&lt;/author&gt;&lt;author&gt;Sani, R. K.&lt;/author&gt;&lt;/authors&gt;&lt;/contributors&gt;&lt;titles&gt;&lt;title&gt;Reoxidation of Biogenic Reduced Uranium: A Challenge Toward Bioremediation&lt;/title&gt;&lt;secondary-title&gt;Critical Reviews in Environmental Science and Technology&lt;/secondary-title&gt;&lt;/titles&gt;&lt;periodical&gt;&lt;full-title&gt;Critical Reviews in Environmental Science and Technology&lt;/full-title&gt;&lt;/periodical&gt;&lt;pages&gt;391-415&lt;/pages&gt;&lt;volume&gt;44&lt;/volume&gt;&lt;number&gt;4&lt;/number&gt;&lt;dates&gt;&lt;year&gt;2014&lt;/year&gt;&lt;pub-dates&gt;&lt;date&gt;Jan&lt;/date&gt;&lt;/pub-dates&gt;&lt;/dates&gt;&lt;isbn&gt;1064-3389&lt;/isbn&gt;&lt;accession-num&gt;WOS:000329425500003&lt;/accession-num&gt;&lt;urls&gt;&lt;related-urls&gt;&lt;url&gt;&amp;lt;Go to ISI&amp;gt;://WOS:000329425500003&lt;/url&gt;&lt;/related-urls&gt;&lt;/urls&gt;&lt;electronic-resource-num&gt;10.1080/10643389.2012.728522&lt;/electronic-resource-num&gt;&lt;/record&gt;&lt;/Cite&gt;&lt;/EndNote&gt;</w:instrText>
      </w:r>
      <w:r w:rsidRPr="00033E11">
        <w:fldChar w:fldCharType="separate"/>
      </w:r>
      <w:r w:rsidRPr="00033E11">
        <w:rPr>
          <w:noProof/>
        </w:rPr>
        <w:t>(</w:t>
      </w:r>
      <w:r w:rsidR="00E45E00" w:rsidRPr="00033E11">
        <w:rPr>
          <w:noProof/>
        </w:rPr>
        <w:t>Singh et al. 2014</w:t>
      </w:r>
      <w:r w:rsidRPr="00033E11">
        <w:rPr>
          <w:noProof/>
        </w:rPr>
        <w:t>)</w:t>
      </w:r>
      <w:r w:rsidRPr="00033E11">
        <w:fldChar w:fldCharType="end"/>
      </w:r>
      <w:r w:rsidRPr="00033E11">
        <w:t>.</w:t>
      </w:r>
    </w:p>
    <w:p w14:paraId="41FB1D8C" w14:textId="77777777" w:rsidR="00F20517" w:rsidRPr="00033E11" w:rsidRDefault="00F20517" w:rsidP="00F20517">
      <w:r w:rsidRPr="00033E11">
        <w:tab/>
        <w:t xml:space="preserve">Despite the importance of nitrate as an oxidant under field conditions and sulfide-bearing minerals as reductants under laboratory conditions, relatively few studies to date have investigated uranium reoxidation by nitrate following sulfate-reducing conditions in the field. </w:t>
      </w:r>
      <w:r w:rsidRPr="00033E11">
        <w:lastRenderedPageBreak/>
        <w:t xml:space="preserve">Therefore, a substantial knowledge gap currently exists as to the </w:t>
      </w:r>
      <w:proofErr w:type="gramStart"/>
      <w:r w:rsidR="00AF4FA9">
        <w:rPr>
          <w:i/>
          <w:iCs/>
        </w:rPr>
        <w:t>in situ</w:t>
      </w:r>
      <w:proofErr w:type="gramEnd"/>
      <w:r w:rsidR="00AF4FA9">
        <w:t xml:space="preserve"> </w:t>
      </w:r>
      <w:r w:rsidRPr="00033E11">
        <w:t xml:space="preserve">feasibility of such an approach in terms of limiting the extent of uranium reoxidation. The objective of this study was to test the </w:t>
      </w:r>
      <w:proofErr w:type="gramStart"/>
      <w:r w:rsidR="00AF4FA9">
        <w:rPr>
          <w:i/>
          <w:iCs/>
        </w:rPr>
        <w:t>in situ</w:t>
      </w:r>
      <w:proofErr w:type="gramEnd"/>
      <w:r w:rsidR="00AF4FA9">
        <w:t xml:space="preserve"> </w:t>
      </w:r>
      <w:r w:rsidRPr="00033E11">
        <w:t xml:space="preserve">mobility of uranium in the presence of nitrate following uranium- and sulfate-reducing conditions. Based on the results of previous studies and thermodynamics, we hypothesized that preferential oxidation of reduced sulfur-bearing species, as opposed to reduced uranium-bearing species, can substantially limit the extent of uranium mobilization in the presence of nitrate. </w:t>
      </w:r>
    </w:p>
    <w:p w14:paraId="59A9547B" w14:textId="77777777" w:rsidR="00F20517" w:rsidRPr="00033E11" w:rsidRDefault="004407DB" w:rsidP="004407DB">
      <w:pPr>
        <w:pStyle w:val="Heading2"/>
      </w:pPr>
      <w:bookmarkStart w:id="23" w:name="_Toc475171392"/>
      <w:bookmarkStart w:id="24" w:name="_Toc475172169"/>
      <w:bookmarkStart w:id="25" w:name="_Toc475172672"/>
      <w:bookmarkStart w:id="26" w:name="_Toc475172749"/>
      <w:bookmarkStart w:id="27" w:name="_Toc498505022"/>
      <w:r>
        <w:t xml:space="preserve">2.3. </w:t>
      </w:r>
      <w:r w:rsidR="005F4623">
        <w:tab/>
      </w:r>
      <w:r w:rsidR="00F20517" w:rsidRPr="00033E11">
        <w:t>Materials and methods</w:t>
      </w:r>
      <w:bookmarkEnd w:id="23"/>
      <w:bookmarkEnd w:id="24"/>
      <w:bookmarkEnd w:id="25"/>
      <w:bookmarkEnd w:id="26"/>
      <w:bookmarkEnd w:id="27"/>
    </w:p>
    <w:p w14:paraId="501ADD9B" w14:textId="77777777" w:rsidR="00F20517" w:rsidRPr="00033E11" w:rsidRDefault="004407DB" w:rsidP="004407DB">
      <w:pPr>
        <w:pStyle w:val="Heading3"/>
      </w:pPr>
      <w:bookmarkStart w:id="28" w:name="_Toc475171393"/>
      <w:bookmarkStart w:id="29" w:name="_Toc475172170"/>
      <w:bookmarkStart w:id="30" w:name="_Toc475172673"/>
      <w:bookmarkStart w:id="31" w:name="_Toc475172750"/>
      <w:bookmarkStart w:id="32" w:name="_Toc498505023"/>
      <w:r>
        <w:t xml:space="preserve">2.3.1. </w:t>
      </w:r>
      <w:r w:rsidR="005F4623">
        <w:tab/>
      </w:r>
      <w:r w:rsidR="00F20517" w:rsidRPr="00033E11">
        <w:t>Study site</w:t>
      </w:r>
      <w:bookmarkEnd w:id="28"/>
      <w:bookmarkEnd w:id="29"/>
      <w:bookmarkEnd w:id="30"/>
      <w:bookmarkEnd w:id="31"/>
      <w:bookmarkEnd w:id="32"/>
      <w:r w:rsidR="00F20517" w:rsidRPr="00033E11">
        <w:t xml:space="preserve"> </w:t>
      </w:r>
    </w:p>
    <w:p w14:paraId="31B464DE" w14:textId="0483F3DD" w:rsidR="00F20517" w:rsidRPr="00033E11" w:rsidRDefault="00F20517" w:rsidP="00F20517">
      <w:r w:rsidRPr="00033E11">
        <w:tab/>
        <w:t xml:space="preserve">The study site </w:t>
      </w:r>
      <w:proofErr w:type="gramStart"/>
      <w:r w:rsidRPr="00033E11">
        <w:t>is located in</w:t>
      </w:r>
      <w:proofErr w:type="gramEnd"/>
      <w:r w:rsidRPr="00033E11">
        <w:t xml:space="preserve"> Area 2 of the Oak Ridge Integrated Field Research Challenge (OR-IFRC) site in Oak Ridge, Tennessee. A typical geologic profile of Area 2 would consist of approximately 6 meters of reworked fill and saprolite at the surface underlain by 2 meters of intact saprolite with weathered bedrock below the saprolite </w:t>
      </w:r>
      <w:r w:rsidRPr="00033E11">
        <w:fldChar w:fldCharType="begin"/>
      </w:r>
      <w:r w:rsidR="00EC7321">
        <w:instrText xml:space="preserve"> ADDIN EN.CITE &lt;EndNote&gt;&lt;Cite&gt;&lt;Author&gt;Watson&lt;/Author&gt;&lt;Year&gt;2004&lt;/Year&gt;&lt;RecNum&gt;7025&lt;/RecNum&gt;&lt;DisplayText&gt;(Watson et al. 2004)&lt;/DisplayText&gt;&lt;record&gt;&lt;rec-number&gt;7025&lt;/rec-number&gt;&lt;foreign-keys&gt;&lt;key app="EN" db-id="x9eet5pfuadszae0v03p9afexee5x9rpvsts" timestamp="1379939458"&gt;7025&lt;/key&gt;&lt;/foreign-keys&gt;&lt;ref-type name="Government Document"&gt;46&lt;/ref-type&gt;&lt;contributors&gt;&lt;authors&gt;&lt;author&gt;Watson, D.B.&lt;/author&gt;&lt;author&gt;Kostka, J.E.&lt;/author&gt;&lt;author&gt;Fields, M.W.&lt;/author&gt;&lt;author&gt;Jardine, P.M.&lt;/author&gt;&lt;/authors&gt;&lt;secondary-authors&gt;&lt;author&gt;United States Department of Energy&lt;/author&gt;&lt;/secondary-authors&gt;&lt;/contributors&gt;&lt;titles&gt;&lt;title&gt;The Oak Ridge Field Research Center Conceptual Model&lt;/title&gt;&lt;/titles&gt;&lt;dates&gt;&lt;year&gt;2004&lt;/year&gt;&lt;/dates&gt;&lt;pub-location&gt;Oak Ridge, TN&lt;/pub-location&gt;&lt;publisher&gt;United States Department of Energy&lt;/publisher&gt;&lt;urls&gt;&lt;/urls&gt;&lt;/record&gt;&lt;/Cite&gt;&lt;/EndNote&gt;</w:instrText>
      </w:r>
      <w:r w:rsidRPr="00033E11">
        <w:fldChar w:fldCharType="separate"/>
      </w:r>
      <w:r w:rsidR="00EC7321">
        <w:rPr>
          <w:noProof/>
        </w:rPr>
        <w:t>(</w:t>
      </w:r>
      <w:r w:rsidR="00E45E00">
        <w:rPr>
          <w:noProof/>
        </w:rPr>
        <w:t>Watson et al. 2004</w:t>
      </w:r>
      <w:r w:rsidR="00EC7321">
        <w:rPr>
          <w:noProof/>
        </w:rPr>
        <w:t>)</w:t>
      </w:r>
      <w:r w:rsidRPr="00033E11">
        <w:fldChar w:fldCharType="end"/>
      </w:r>
      <w:r w:rsidRPr="00033E11">
        <w:t xml:space="preserve">. The study site contains ten shallow groundwater monitoring wells (FW218 through FW227) constructed of ¾-inch inside diameter schedule 80 polyvinyl chloride (PVC) pipe. The monitoring wells were installed by direct push and are screened from 3.5 to 6 meters below ground surface (mbgs). The shallow groundwater aquifer is unconfined and depth to groundwater is approximately 3.5 mbgs. The groundwater and sediments within Area 2 are contaminated with nitrate and uranium from the former S-3 Ponds which contained liquid waste derived from the processing of uranium ore </w:t>
      </w:r>
      <w:r w:rsidRPr="00033E11">
        <w:fldChar w:fldCharType="begin"/>
      </w:r>
      <w:r w:rsidRPr="00033E11">
        <w:instrText xml:space="preserve"> ADDIN EN.CITE &lt;EndNote&gt;&lt;Cite&gt;&lt;Author&gt;Spain&lt;/Author&gt;&lt;Year&gt;2011&lt;/Year&gt;&lt;RecNum&gt;7919&lt;/RecNum&gt;&lt;DisplayText&gt;(Spain and Krumholz 2011)&lt;/DisplayText&gt;&lt;record&gt;&lt;rec-number&gt;7919&lt;/rec-number&gt;&lt;foreign-keys&gt;&lt;key app="EN" db-id="x9eet5pfuadszae0v03p9afexee5x9rpvsts" timestamp="1445964963"&gt;7919&lt;/key&gt;&lt;/foreign-keys&gt;&lt;ref-type name="Journal Article"&gt;17&lt;/ref-type&gt;&lt;contributors&gt;&lt;authors&gt;&lt;author&gt;Spain, Anne M.&lt;/author&gt;&lt;author&gt;Krumholz, Lee R.&lt;/author&gt;&lt;/authors&gt;&lt;/contributors&gt;&lt;titles&gt;&lt;title&gt;Nitrate-Reducing Bacteria at the Nitrate and Radionuclide Contaminated Oak Ridge Integrated Field Research Challenge Site: A Review&lt;/title&gt;&lt;secondary-title&gt;Geomicrobiology Journal&lt;/secondary-title&gt;&lt;/titles&gt;&lt;periodical&gt;&lt;full-title&gt;Geomicrobiology Journal&lt;/full-title&gt;&lt;abbr-1&gt;Geomicrobiol J&lt;/abbr-1&gt;&lt;/periodical&gt;&lt;pages&gt;418-429&lt;/pages&gt;&lt;volume&gt;28&lt;/volume&gt;&lt;number&gt;5-6&lt;/number&gt;&lt;dates&gt;&lt;year&gt;2011&lt;/year&gt;&lt;pub-dates&gt;&lt;date&gt;2011&lt;/date&gt;&lt;/pub-dates&gt;&lt;/dates&gt;&lt;isbn&gt;0149-0451&lt;/isbn&gt;&lt;accession-num&gt;WOS:000296189400005&lt;/accession-num&gt;&lt;urls&gt;&lt;related-urls&gt;&lt;url&gt;&amp;lt;Go to ISI&amp;gt;://WOS:000296189400005&lt;/url&gt;&lt;/related-urls&gt;&lt;/urls&gt;&lt;electronic-resource-num&gt;10.1080/01490451.2010.507642&lt;/electronic-resource-num&gt;&lt;/record&gt;&lt;/Cite&gt;&lt;/EndNote&gt;</w:instrText>
      </w:r>
      <w:r w:rsidRPr="00033E11">
        <w:fldChar w:fldCharType="separate"/>
      </w:r>
      <w:r w:rsidRPr="00033E11">
        <w:rPr>
          <w:noProof/>
        </w:rPr>
        <w:t>(</w:t>
      </w:r>
      <w:r w:rsidR="00E45E00" w:rsidRPr="00033E11">
        <w:rPr>
          <w:noProof/>
        </w:rPr>
        <w:t>Spain and Krumholz 2011</w:t>
      </w:r>
      <w:r w:rsidRPr="00033E11">
        <w:rPr>
          <w:noProof/>
        </w:rPr>
        <w:t>)</w:t>
      </w:r>
      <w:r w:rsidRPr="00033E11">
        <w:fldChar w:fldCharType="end"/>
      </w:r>
      <w:r w:rsidRPr="00033E11">
        <w:t xml:space="preserve">. The pH of groundwater at Area 2 tends to be between 6 and 7 with concentrations of uranium ranging from 3.8 to 7.1 </w:t>
      </w:r>
      <w:r w:rsidRPr="00033E11">
        <w:rPr>
          <w:rFonts w:cs="Times New Roman"/>
        </w:rPr>
        <w:t>μ</w:t>
      </w:r>
      <w:r w:rsidRPr="00033E11">
        <w:t xml:space="preserve">M </w:t>
      </w:r>
      <w:r w:rsidRPr="00033E11">
        <w:fldChar w:fldCharType="begin"/>
      </w:r>
      <w:r w:rsidRPr="00033E11">
        <w:instrText xml:space="preserve"> ADDIN EN.CITE &lt;EndNote&gt;&lt;Cite&gt;&lt;Author&gt;Moon&lt;/Author&gt;&lt;Year&gt;2006&lt;/Year&gt;&lt;RecNum&gt;7667&lt;/RecNum&gt;&lt;DisplayText&gt;(Moon et al. 2006)&lt;/DisplayText&gt;&lt;record&gt;&lt;rec-number&gt;7667&lt;/rec-number&gt;&lt;foreign-keys&gt;&lt;key app="EN" db-id="x9eet5pfuadszae0v03p9afexee5x9rpvsts"&gt;7667&lt;/key&gt;&lt;/foreign-keys&gt;&lt;ref-type name="Journal Article"&gt;17&lt;/ref-type&gt;&lt;contributors&gt;&lt;authors&gt;&lt;author&gt;Moon, Ji-Won&lt;/author&gt;&lt;author&gt;Roh, Yul&lt;/author&gt;&lt;author&gt;Phelps, Tommy J.&lt;/author&gt;&lt;author&gt;Phillips, Debra H.&lt;/author&gt;&lt;author&gt;Watson, David B.&lt;/author&gt;&lt;author&gt;Kim, Young-Jin&lt;/author&gt;&lt;author&gt;Brooks, Scott C.&lt;/author&gt;&lt;/authors&gt;&lt;/contributors&gt;&lt;titles&gt;&lt;title&gt;Physicochemical and mineralogical characterization of soil-saprolite cores from a field research site, Tennessee&lt;/title&gt;&lt;secondary-title&gt;Journal of Environmental Quality&lt;/secondary-title&gt;&lt;/titles&gt;&lt;periodical&gt;&lt;full-title&gt;Journal of Environmental Quality&lt;/full-title&gt;&lt;abbr-1&gt;J Environ Qual&lt;/abbr-1&gt;&lt;/periodical&gt;&lt;pages&gt;1731-1741&lt;/pages&gt;&lt;volume&gt;35&lt;/volume&gt;&lt;number&gt;5&lt;/number&gt;&lt;dates&gt;&lt;year&gt;2006&lt;/year&gt;&lt;pub-dates&gt;&lt;date&gt;Sep-Oct&lt;/date&gt;&lt;/pub-dates&gt;&lt;/dates&gt;&lt;isbn&gt;0047-2425&lt;/isbn&gt;&lt;accession-num&gt;WOS:000240924200010&lt;/accession-num&gt;&lt;urls&gt;&lt;related-urls&gt;&lt;url&gt;&amp;lt;Go to ISI&amp;gt;://WOS:000240924200010&lt;/url&gt;&lt;/related-urls&gt;&lt;/urls&gt;&lt;electronic-resource-num&gt;10.2134/jeq2005.0123&lt;/electronic-resource-num&gt;&lt;/record&gt;&lt;/Cite&gt;&lt;/EndNote&gt;</w:instrText>
      </w:r>
      <w:r w:rsidRPr="00033E11">
        <w:fldChar w:fldCharType="separate"/>
      </w:r>
      <w:r w:rsidRPr="00033E11">
        <w:rPr>
          <w:noProof/>
        </w:rPr>
        <w:t>(</w:t>
      </w:r>
      <w:r w:rsidR="00E45E00" w:rsidRPr="00033E11">
        <w:rPr>
          <w:noProof/>
        </w:rPr>
        <w:t>Moon et al. 2006</w:t>
      </w:r>
      <w:r w:rsidRPr="00033E11">
        <w:rPr>
          <w:noProof/>
        </w:rPr>
        <w:t>)</w:t>
      </w:r>
      <w:r w:rsidRPr="00033E11">
        <w:fldChar w:fldCharType="end"/>
      </w:r>
      <w:r w:rsidRPr="00033E11">
        <w:t xml:space="preserve"> and concentrations of nitrate ranging from 1 to 4 mM </w:t>
      </w:r>
      <w:r w:rsidRPr="00033E11">
        <w:fldChar w:fldCharType="begin"/>
      </w:r>
      <w:r w:rsidRPr="00033E11">
        <w:instrText xml:space="preserve"> ADDIN EN.CITE &lt;EndNote&gt;&lt;Cite&gt;&lt;Author&gt;Spain&lt;/Author&gt;&lt;Year&gt;2011&lt;/Year&gt;&lt;RecNum&gt;7919&lt;/RecNum&gt;&lt;DisplayText&gt;(Spain and Krumholz 2011)&lt;/DisplayText&gt;&lt;record&gt;&lt;rec-number&gt;7919&lt;/rec-number&gt;&lt;foreign-keys&gt;&lt;key app="EN" db-id="x9eet5pfuadszae0v03p9afexee5x9rpvsts" timestamp="1445964963"&gt;7919&lt;/key&gt;&lt;/foreign-keys&gt;&lt;ref-type name="Journal Article"&gt;17&lt;/ref-type&gt;&lt;contributors&gt;&lt;authors&gt;&lt;author&gt;Spain, Anne M.&lt;/author&gt;&lt;author&gt;Krumholz, Lee R.&lt;/author&gt;&lt;/authors&gt;&lt;/contributors&gt;&lt;titles&gt;&lt;title&gt;Nitrate-Reducing Bacteria at the Nitrate and Radionuclide Contaminated Oak Ridge Integrated Field Research Challenge Site: A Review&lt;/title&gt;&lt;secondary-title&gt;Geomicrobiology Journal&lt;/secondary-title&gt;&lt;/titles&gt;&lt;periodical&gt;&lt;full-title&gt;Geomicrobiology Journal&lt;/full-title&gt;&lt;abbr-1&gt;Geomicrobiol J&lt;/abbr-1&gt;&lt;/periodical&gt;&lt;pages&gt;418-429&lt;/pages&gt;&lt;volume&gt;28&lt;/volume&gt;&lt;number&gt;5-6&lt;/number&gt;&lt;dates&gt;&lt;year&gt;2011&lt;/year&gt;&lt;pub-dates&gt;&lt;date&gt;2011&lt;/date&gt;&lt;/pub-dates&gt;&lt;/dates&gt;&lt;isbn&gt;0149-0451&lt;/isbn&gt;&lt;accession-num&gt;WOS:000296189400005&lt;/accession-num&gt;&lt;urls&gt;&lt;related-urls&gt;&lt;url&gt;&amp;lt;Go to ISI&amp;gt;://WOS:000296189400005&lt;/url&gt;&lt;/related-urls&gt;&lt;/urls&gt;&lt;electronic-resource-num&gt;10.1080/01490451.2010.507642&lt;/electronic-resource-num&gt;&lt;/record&gt;&lt;/Cite&gt;&lt;/EndNote&gt;</w:instrText>
      </w:r>
      <w:r w:rsidRPr="00033E11">
        <w:fldChar w:fldCharType="separate"/>
      </w:r>
      <w:r w:rsidRPr="00033E11">
        <w:rPr>
          <w:noProof/>
        </w:rPr>
        <w:t>(</w:t>
      </w:r>
      <w:r w:rsidR="00E45E00" w:rsidRPr="00033E11">
        <w:rPr>
          <w:noProof/>
        </w:rPr>
        <w:t>Spain and Krumholz 2011</w:t>
      </w:r>
      <w:r w:rsidRPr="00033E11">
        <w:rPr>
          <w:noProof/>
        </w:rPr>
        <w:t>)</w:t>
      </w:r>
      <w:r w:rsidRPr="00033E11">
        <w:fldChar w:fldCharType="end"/>
      </w:r>
      <w:r w:rsidRPr="00033E11">
        <w:t>. The average groundwater redox potential is 170 mV and reduction of equilibrium-predicted U(VI)-bearing species (UO</w:t>
      </w:r>
      <w:r w:rsidRPr="00033E11">
        <w:rPr>
          <w:vertAlign w:val="subscript"/>
        </w:rPr>
        <w:t>2</w:t>
      </w:r>
      <w:r w:rsidRPr="00033E11">
        <w:t>CO</w:t>
      </w:r>
      <w:r w:rsidRPr="00033E11">
        <w:rPr>
          <w:vertAlign w:val="subscript"/>
        </w:rPr>
        <w:t>3</w:t>
      </w:r>
      <w:r w:rsidRPr="00033E11">
        <w:t xml:space="preserve">, </w:t>
      </w:r>
      <w:r w:rsidRPr="00033E11">
        <w:lastRenderedPageBreak/>
        <w:t>UO</w:t>
      </w:r>
      <w:r w:rsidRPr="00033E11">
        <w:rPr>
          <w:vertAlign w:val="subscript"/>
        </w:rPr>
        <w:t>2</w:t>
      </w:r>
      <w:r w:rsidRPr="00033E11">
        <w:t>(CO</w:t>
      </w:r>
      <w:r w:rsidRPr="00033E11">
        <w:rPr>
          <w:vertAlign w:val="subscript"/>
        </w:rPr>
        <w:t>3</w:t>
      </w:r>
      <w:r w:rsidRPr="00033E11">
        <w:t>)</w:t>
      </w:r>
      <w:r w:rsidRPr="00033E11">
        <w:rPr>
          <w:vertAlign w:val="subscript"/>
        </w:rPr>
        <w:t>2</w:t>
      </w:r>
      <w:r w:rsidRPr="00033E11">
        <w:rPr>
          <w:vertAlign w:val="superscript"/>
        </w:rPr>
        <w:t>2-</w:t>
      </w:r>
      <w:r w:rsidRPr="00033E11">
        <w:t>, UO</w:t>
      </w:r>
      <w:r w:rsidRPr="00033E11">
        <w:rPr>
          <w:vertAlign w:val="subscript"/>
        </w:rPr>
        <w:t>2</w:t>
      </w:r>
      <w:r w:rsidRPr="00033E11">
        <w:t>SO</w:t>
      </w:r>
      <w:r w:rsidRPr="00033E11">
        <w:rPr>
          <w:vertAlign w:val="subscript"/>
        </w:rPr>
        <w:t>4</w:t>
      </w:r>
      <w:r w:rsidRPr="00033E11">
        <w:t>, UO</w:t>
      </w:r>
      <w:r w:rsidRPr="00033E11">
        <w:rPr>
          <w:vertAlign w:val="subscript"/>
        </w:rPr>
        <w:t>2</w:t>
      </w:r>
      <w:r w:rsidRPr="00033E11">
        <w:t>(SO</w:t>
      </w:r>
      <w:r w:rsidRPr="00033E11">
        <w:rPr>
          <w:vertAlign w:val="subscript"/>
        </w:rPr>
        <w:t>4</w:t>
      </w:r>
      <w:r w:rsidRPr="00033E11">
        <w:t>)</w:t>
      </w:r>
      <w:r w:rsidRPr="00033E11">
        <w:rPr>
          <w:vertAlign w:val="subscript"/>
        </w:rPr>
        <w:t>2</w:t>
      </w:r>
      <w:r w:rsidRPr="00033E11">
        <w:rPr>
          <w:vertAlign w:val="superscript"/>
        </w:rPr>
        <w:t>2-</w:t>
      </w:r>
      <w:r w:rsidRPr="00033E11">
        <w:t>,</w:t>
      </w:r>
      <w:r w:rsidRPr="00033E11">
        <w:rPr>
          <w:rFonts w:ascii="AdvOT2e364b11" w:hAnsi="AdvOT2e364b11" w:cs="AdvOT2e364b11"/>
          <w:sz w:val="20"/>
          <w:szCs w:val="20"/>
        </w:rPr>
        <w:t xml:space="preserve"> </w:t>
      </w:r>
      <w:r w:rsidRPr="00033E11">
        <w:rPr>
          <w:rFonts w:cs="Times New Roman"/>
        </w:rPr>
        <w:t>Ca</w:t>
      </w:r>
      <w:r w:rsidRPr="00033E11">
        <w:rPr>
          <w:rFonts w:cs="Times New Roman"/>
          <w:vertAlign w:val="subscript"/>
        </w:rPr>
        <w:t>2</w:t>
      </w:r>
      <w:r w:rsidRPr="00033E11">
        <w:rPr>
          <w:rFonts w:cs="Times New Roman"/>
        </w:rPr>
        <w:t>UO</w:t>
      </w:r>
      <w:r w:rsidRPr="00033E11">
        <w:rPr>
          <w:rFonts w:cs="Times New Roman"/>
          <w:vertAlign w:val="subscript"/>
        </w:rPr>
        <w:t>2</w:t>
      </w:r>
      <w:r w:rsidRPr="00033E11">
        <w:rPr>
          <w:rFonts w:cs="Times New Roman"/>
        </w:rPr>
        <w:t>(CO</w:t>
      </w:r>
      <w:r w:rsidRPr="00033E11">
        <w:rPr>
          <w:rFonts w:cs="Times New Roman"/>
          <w:vertAlign w:val="subscript"/>
        </w:rPr>
        <w:t>3</w:t>
      </w:r>
      <w:r w:rsidRPr="00033E11">
        <w:rPr>
          <w:rFonts w:cs="Times New Roman"/>
        </w:rPr>
        <w:t>)</w:t>
      </w:r>
      <w:r w:rsidRPr="00033E11">
        <w:rPr>
          <w:rFonts w:cs="Times New Roman"/>
          <w:vertAlign w:val="subscript"/>
        </w:rPr>
        <w:t>3</w:t>
      </w:r>
      <w:r w:rsidRPr="00033E11">
        <w:rPr>
          <w:rFonts w:cs="Times New Roman"/>
        </w:rPr>
        <w:t>, CaUO</w:t>
      </w:r>
      <w:r w:rsidRPr="00033E11">
        <w:rPr>
          <w:rFonts w:cs="Times New Roman"/>
          <w:vertAlign w:val="subscript"/>
        </w:rPr>
        <w:t>2</w:t>
      </w:r>
      <w:r w:rsidRPr="00033E11">
        <w:rPr>
          <w:rFonts w:cs="Times New Roman"/>
        </w:rPr>
        <w:t>(CO</w:t>
      </w:r>
      <w:r w:rsidRPr="00033E11">
        <w:rPr>
          <w:rFonts w:cs="Times New Roman"/>
          <w:vertAlign w:val="subscript"/>
        </w:rPr>
        <w:t>3</w:t>
      </w:r>
      <w:r w:rsidRPr="00033E11">
        <w:rPr>
          <w:rFonts w:cs="Times New Roman"/>
        </w:rPr>
        <w:t>)</w:t>
      </w:r>
      <w:r w:rsidRPr="00033E11">
        <w:rPr>
          <w:rFonts w:cs="Times New Roman"/>
          <w:vertAlign w:val="superscript"/>
        </w:rPr>
        <w:t>2-</w:t>
      </w:r>
      <w:r w:rsidRPr="00033E11">
        <w:rPr>
          <w:rFonts w:cs="Times New Roman"/>
          <w:vertAlign w:val="subscript"/>
        </w:rPr>
        <w:softHyphen/>
      </w:r>
      <w:r w:rsidRPr="00033E11">
        <w:rPr>
          <w:rFonts w:cs="Times New Roman"/>
        </w:rPr>
        <w:t xml:space="preserve">) </w:t>
      </w:r>
      <w:r w:rsidRPr="00033E11">
        <w:t xml:space="preserve">is not energetically favorable in the absence of an added electron donor </w:t>
      </w:r>
      <w:r w:rsidRPr="00033E11">
        <w:fldChar w:fldCharType="begin">
          <w:fldData xml:space="preserve">PEVuZE5vdGU+PENpdGU+PEF1dGhvcj5Nb29uPC9BdXRob3I+PFllYXI+MjAwNjwvWWVhcj48UmVj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=
</w:fldData>
        </w:fldChar>
      </w:r>
      <w:r w:rsidR="0063330E">
        <w:instrText xml:space="preserve"> ADDIN EN.CITE </w:instrText>
      </w:r>
      <w:r w:rsidR="0063330E">
        <w:fldChar w:fldCharType="begin">
          <w:fldData xml:space="preserve">PEVuZE5vdGU+PENpdGU+PEF1dGhvcj5Nb29uPC9BdXRob3I+PFllYXI+MjAwNjwvWWVhcj48UmVj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=
</w:fldData>
        </w:fldChar>
      </w:r>
      <w:r w:rsidR="0063330E">
        <w:instrText xml:space="preserve"> ADDIN EN.CITE.DATA </w:instrText>
      </w:r>
      <w:r w:rsidR="0063330E">
        <w:fldChar w:fldCharType="end"/>
      </w:r>
      <w:r w:rsidRPr="00033E11">
        <w:fldChar w:fldCharType="separate"/>
      </w:r>
      <w:r w:rsidRPr="00033E11">
        <w:rPr>
          <w:noProof/>
        </w:rPr>
        <w:t>(</w:t>
      </w:r>
      <w:r w:rsidR="00E45E00" w:rsidRPr="00033E11">
        <w:rPr>
          <w:noProof/>
        </w:rPr>
        <w:t>Moon et al. 2006</w:t>
      </w:r>
      <w:r w:rsidRPr="00033E11">
        <w:rPr>
          <w:noProof/>
        </w:rPr>
        <w:t xml:space="preserve">; </w:t>
      </w:r>
      <w:r w:rsidR="00E45E00" w:rsidRPr="00033E11">
        <w:rPr>
          <w:noProof/>
        </w:rPr>
        <w:t>Watson et al. 2013</w:t>
      </w:r>
      <w:r w:rsidRPr="00033E11">
        <w:rPr>
          <w:noProof/>
        </w:rPr>
        <w:t>)</w:t>
      </w:r>
      <w:r w:rsidRPr="00033E11">
        <w:fldChar w:fldCharType="end"/>
      </w:r>
      <w:r w:rsidRPr="00033E11">
        <w:t xml:space="preserve">. The saprolite contains significant quantities of iron oxides and, to a lesser extent, manganese oxides which have a high capacity for U(VI) adsorption at circumneutral pH </w:t>
      </w:r>
      <w:r w:rsidRPr="00033E11">
        <w:fldChar w:fldCharType="begin"/>
      </w:r>
      <w:r w:rsidRPr="00033E11">
        <w:instrText xml:space="preserve"> ADDIN EN.CITE &lt;EndNote&gt;&lt;Cite&gt;&lt;Author&gt;Barnett&lt;/Author&gt;&lt;Year&gt;2002&lt;/Year&gt;&lt;RecNum&gt;7169&lt;/RecNum&gt;&lt;DisplayText&gt;(Barnett et al. 2002)&lt;/DisplayText&gt;&lt;record&gt;&lt;rec-number&gt;7169&lt;/rec-number&gt;&lt;foreign-keys&gt;&lt;key app="EN" db-id="x9eet5pfuadszae0v03p9afexee5x9rpvsts" timestamp="1384797745"&gt;7169&lt;/key&gt;&lt;/foreign-keys&gt;&lt;ref-type name="Journal Article"&gt;17&lt;/ref-type&gt;&lt;contributors&gt;&lt;authors&gt;&lt;author&gt;Barnett, M. O.&lt;/author&gt;&lt;author&gt;Jardine, P. M.&lt;/author&gt;&lt;author&gt;Brooks, S. C.&lt;/author&gt;&lt;/authors&gt;&lt;/contributors&gt;&lt;auth-address&gt;Barnett, MO&amp;#xD;Auburn Univ, Dept Civil Engn, Harbert Engn Ctr 238, Auburn, AL 36849 USA&amp;#xD;Auburn Univ, Dept Civil Engn, Harbert Engn Ctr 238, Auburn, AL 36849 USA&amp;#xD;Auburn Univ, Dept Civil Engn, Harbert Engn Ctr 238, Auburn, AL 36849 USA&amp;#xD;Oak Ridge Natl Lab, Div Environm Sci, Oak Ridge, TN 37831 USA&lt;/auth-address&gt;&lt;titles&gt;&lt;title&gt;U(VI) adsorption to heterogeneous subsurface media: Application of a surface complexation model&lt;/title&gt;&lt;secondary-title&gt;Environmental Science &amp;amp; Technology&lt;/secondary-title&gt;&lt;alt-title&gt;Environ Sci Technol&lt;/alt-title&gt;&lt;/titles&gt;&lt;periodical&gt;&lt;full-title&gt;Environmental Science &amp;amp; Technology&lt;/full-title&gt;&lt;abbr-1&gt;Environ Sci Technol&lt;/abbr-1&gt;&lt;/periodical&gt;&lt;alt-periodical&gt;&lt;full-title&gt;Environmental Science &amp;amp; Technology&lt;/full-title&gt;&lt;abbr-1&gt;Environ Sci Technol&lt;/abbr-1&gt;&lt;/alt-periodical&gt;&lt;pages&gt;937-942&lt;/pages&gt;&lt;volume&gt;36&lt;/volume&gt;&lt;number&gt;5&lt;/number&gt;&lt;keywords&gt;&lt;keyword&gt;uranium(vi)&lt;/keyword&gt;&lt;keyword&gt;sorption&lt;/keyword&gt;&lt;keyword&gt;montmorillonite&lt;/keyword&gt;&lt;keyword&gt;hematite&lt;/keyword&gt;&lt;keyword&gt;smectite&lt;/keyword&gt;&lt;keyword&gt;uranyl&lt;/keyword&gt;&lt;/keywords&gt;&lt;dates&gt;&lt;year&gt;2002&lt;/year&gt;&lt;pub-dates&gt;&lt;date&gt;Mar 1&lt;/date&gt;&lt;/pub-dates&gt;&lt;/dates&gt;&lt;isbn&gt;0013-936X&lt;/isbn&gt;&lt;accession-num&gt;ISI:000174136400032&lt;/accession-num&gt;&lt;urls&gt;&lt;related-urls&gt;&lt;url&gt;&amp;lt;Go to ISI&amp;gt;://000174136400032&lt;/url&gt;&lt;/related-urls&gt;&lt;/urls&gt;&lt;electronic-resource-num&gt;Doi 10.1021/Es010846i&lt;/electronic-resource-num&gt;&lt;language&gt;English&lt;/language&gt;&lt;/record&gt;&lt;/Cite&gt;&lt;/EndNote&gt;</w:instrText>
      </w:r>
      <w:r w:rsidRPr="00033E11">
        <w:fldChar w:fldCharType="separate"/>
      </w:r>
      <w:r w:rsidRPr="00033E11">
        <w:rPr>
          <w:noProof/>
        </w:rPr>
        <w:t>(</w:t>
      </w:r>
      <w:r w:rsidR="00E45E00" w:rsidRPr="00033E11">
        <w:rPr>
          <w:noProof/>
        </w:rPr>
        <w:t>Barnett et al. 2002</w:t>
      </w:r>
      <w:r w:rsidRPr="00033E11">
        <w:rPr>
          <w:noProof/>
        </w:rPr>
        <w:t>)</w:t>
      </w:r>
      <w:r w:rsidRPr="00033E11">
        <w:fldChar w:fldCharType="end"/>
      </w:r>
      <w:r w:rsidRPr="00033E11">
        <w:t xml:space="preserve">. Concentrations of uranium (nitric-acid extractable) in saprolite from Area 2 range from 0.293 to 453 mg/kg </w:t>
      </w:r>
      <w:r w:rsidRPr="00033E11">
        <w:fldChar w:fldCharType="begin"/>
      </w:r>
      <w:r w:rsidRPr="00033E11">
        <w:instrText xml:space="preserve"> ADDIN EN.CITE &lt;EndNote&gt;&lt;Cite&gt;&lt;Author&gt;Moon&lt;/Author&gt;&lt;Year&gt;2006&lt;/Year&gt;&lt;RecNum&gt;7667&lt;/RecNum&gt;&lt;DisplayText&gt;(Moon et al. 2006)&lt;/DisplayText&gt;&lt;record&gt;&lt;rec-number&gt;7667&lt;/rec-number&gt;&lt;foreign-keys&gt;&lt;key app="EN" db-id="x9eet5pfuadszae0v03p9afexee5x9rpvsts"&gt;7667&lt;/key&gt;&lt;/foreign-keys&gt;&lt;ref-type name="Journal Article"&gt;17&lt;/ref-type&gt;&lt;contributors&gt;&lt;authors&gt;&lt;author&gt;Moon, Ji-Won&lt;/author&gt;&lt;author&gt;Roh, Yul&lt;/author&gt;&lt;author&gt;Phelps, Tommy J.&lt;/author&gt;&lt;author&gt;Phillips, Debra H.&lt;/author&gt;&lt;author&gt;Watson, David B.&lt;/author&gt;&lt;author&gt;Kim, Young-Jin&lt;/author&gt;&lt;author&gt;Brooks, Scott C.&lt;/author&gt;&lt;/authors&gt;&lt;/contributors&gt;&lt;titles&gt;&lt;title&gt;Physicochemical and mineralogical characterization of soil-saprolite cores from a field research site, Tennessee&lt;/title&gt;&lt;secondary-title&gt;Journal of Environmental Quality&lt;/secondary-title&gt;&lt;/titles&gt;&lt;periodical&gt;&lt;full-title&gt;Journal of Environmental Quality&lt;/full-title&gt;&lt;abbr-1&gt;J Environ Qual&lt;/abbr-1&gt;&lt;/periodical&gt;&lt;pages&gt;1731-1741&lt;/pages&gt;&lt;volume&gt;35&lt;/volume&gt;&lt;number&gt;5&lt;/number&gt;&lt;dates&gt;&lt;year&gt;2006&lt;/year&gt;&lt;pub-dates&gt;&lt;date&gt;Sep-Oct&lt;/date&gt;&lt;/pub-dates&gt;&lt;/dates&gt;&lt;isbn&gt;0047-2425&lt;/isbn&gt;&lt;accession-num&gt;WOS:000240924200010&lt;/accession-num&gt;&lt;urls&gt;&lt;related-urls&gt;&lt;url&gt;&amp;lt;Go to ISI&amp;gt;://WOS:000240924200010&lt;/url&gt;&lt;/related-urls&gt;&lt;/urls&gt;&lt;electronic-resource-num&gt;10.2134/jeq2005.0123&lt;/electronic-resource-num&gt;&lt;/record&gt;&lt;/Cite&gt;&lt;/EndNote&gt;</w:instrText>
      </w:r>
      <w:r w:rsidRPr="00033E11">
        <w:fldChar w:fldCharType="separate"/>
      </w:r>
      <w:r w:rsidRPr="00033E11">
        <w:rPr>
          <w:noProof/>
        </w:rPr>
        <w:t>(</w:t>
      </w:r>
      <w:r w:rsidR="00E45E00" w:rsidRPr="00033E11">
        <w:rPr>
          <w:noProof/>
        </w:rPr>
        <w:t>Moon et al. 2006</w:t>
      </w:r>
      <w:r w:rsidRPr="00033E11">
        <w:rPr>
          <w:noProof/>
        </w:rPr>
        <w:t>)</w:t>
      </w:r>
      <w:r w:rsidRPr="00033E11">
        <w:fldChar w:fldCharType="end"/>
      </w:r>
      <w:r w:rsidRPr="00033E11">
        <w:t xml:space="preserve">. Microbial-mediated uranium reduction has been demonstrated in numerous laboratory studies utilizing Area 2 groundwater and/or sediments by the addition of a range of electron donors </w:t>
      </w:r>
      <w:r w:rsidRPr="00033E11">
        <w:fldChar w:fldCharType="begin"/>
      </w:r>
      <w:r w:rsidRPr="00033E11">
        <w:instrText xml:space="preserve"> ADDIN EN.CITE &lt;EndNote&gt;&lt;Cite&gt;&lt;Author&gt;Spain&lt;/Author&gt;&lt;Year&gt;2011&lt;/Year&gt;&lt;RecNum&gt;7919&lt;/RecNum&gt;&lt;DisplayText&gt;(Spain and Krumholz 2011)&lt;/DisplayText&gt;&lt;record&gt;&lt;rec-number&gt;7919&lt;/rec-number&gt;&lt;foreign-keys&gt;&lt;key app="EN" db-id="x9eet5pfuadszae0v03p9afexee5x9rpvsts" timestamp="1445964963"&gt;7919&lt;/key&gt;&lt;/foreign-keys&gt;&lt;ref-type name="Journal Article"&gt;17&lt;/ref-type&gt;&lt;contributors&gt;&lt;authors&gt;&lt;author&gt;Spain, Anne M.&lt;/author&gt;&lt;author&gt;Krumholz, Lee R.&lt;/author&gt;&lt;/authors&gt;&lt;/contributors&gt;&lt;titles&gt;&lt;title&gt;Nitrate-Reducing Bacteria at the Nitrate and Radionuclide Contaminated Oak Ridge Integrated Field Research Challenge Site: A Review&lt;/title&gt;&lt;secondary-title&gt;Geomicrobiology Journal&lt;/secondary-title&gt;&lt;/titles&gt;&lt;periodical&gt;&lt;full-title&gt;Geomicrobiology Journal&lt;/full-title&gt;&lt;abbr-1&gt;Geomicrobiol J&lt;/abbr-1&gt;&lt;/periodical&gt;&lt;pages&gt;418-429&lt;/pages&gt;&lt;volume&gt;28&lt;/volume&gt;&lt;number&gt;5-6&lt;/number&gt;&lt;dates&gt;&lt;year&gt;2011&lt;/year&gt;&lt;pub-dates&gt;&lt;date&gt;2011&lt;/date&gt;&lt;/pub-dates&gt;&lt;/dates&gt;&lt;isbn&gt;0149-0451&lt;/isbn&gt;&lt;accession-num&gt;WOS:000296189400005&lt;/accession-num&gt;&lt;urls&gt;&lt;related-urls&gt;&lt;url&gt;&amp;lt;Go to ISI&amp;gt;://WOS:000296189400005&lt;/url&gt;&lt;/related-urls&gt;&lt;/urls&gt;&lt;electronic-resource-num&gt;10.1080/01490451.2010.507642&lt;/electronic-resource-num&gt;&lt;/record&gt;&lt;/Cite&gt;&lt;/EndNote&gt;</w:instrText>
      </w:r>
      <w:r w:rsidRPr="00033E11">
        <w:fldChar w:fldCharType="separate"/>
      </w:r>
      <w:r w:rsidRPr="00033E11">
        <w:rPr>
          <w:noProof/>
        </w:rPr>
        <w:t>(</w:t>
      </w:r>
      <w:r w:rsidR="00E45E00" w:rsidRPr="00033E11">
        <w:rPr>
          <w:noProof/>
        </w:rPr>
        <w:t>Spain and Krumholz 2011</w:t>
      </w:r>
      <w:r w:rsidRPr="00033E11">
        <w:rPr>
          <w:noProof/>
        </w:rPr>
        <w:t>)</w:t>
      </w:r>
      <w:r w:rsidRPr="00033E11">
        <w:fldChar w:fldCharType="end"/>
      </w:r>
      <w:r w:rsidRPr="00033E11">
        <w:t xml:space="preserve"> and under </w:t>
      </w:r>
      <w:r w:rsidR="00AF4FA9">
        <w:rPr>
          <w:i/>
          <w:iCs/>
        </w:rPr>
        <w:t>in situ</w:t>
      </w:r>
      <w:r w:rsidR="00AF4FA9">
        <w:t xml:space="preserve"> </w:t>
      </w:r>
      <w:r w:rsidRPr="00033E11">
        <w:t xml:space="preserve">conditions by the addition of ethanol </w:t>
      </w:r>
      <w:r w:rsidRPr="00033E11">
        <w:fldChar w:fldCharType="begin"/>
      </w:r>
      <w:r w:rsidRPr="00033E11">
        <w:instrText xml:space="preserve"> ADDIN EN.CITE &lt;EndNote&gt;&lt;Cite&gt;&lt;Author&gt;Fang&lt;/Author&gt;&lt;Year&gt;2006&lt;/Year&gt;&lt;RecNum&gt;7669&lt;/RecNum&gt;&lt;DisplayText&gt;(Fang et al. 2006)&lt;/DisplayText&gt;&lt;record&gt;&lt;rec-number&gt;7669&lt;/rec-number&gt;&lt;foreign-keys&gt;&lt;key app="EN" db-id="x9eet5pfuadszae0v03p9afexee5x9rpvsts"&gt;7669&lt;/key&gt;&lt;/foreign-keys&gt;&lt;ref-type name="Conference Proceedings"&gt;10&lt;/ref-type&gt;&lt;contributors&gt;&lt;authors&gt;&lt;author&gt;Fang, Y.&lt;/author&gt;&lt;author&gt;Scheibe, T. D.&lt;/author&gt;&lt;author&gt;Roden, E. E.&lt;/author&gt;&lt;author&gt;Kamolpornwijit, W.&lt;/author&gt;&lt;author&gt;Brooks, S. C. &lt;/author&gt;&lt;/authors&gt;&lt;/contributors&gt;&lt;titles&gt;&lt;title&gt;3D Field-Scale Reactive Transport Modeling of in Situ Immobilization of Uranium in Structured Porous Media via Biostimulation&lt;/title&gt;&lt;secondary-title&gt;CMWR-XVI &lt;/secondary-title&gt;&lt;/titles&gt;&lt;dates&gt;&lt;year&gt;2006&lt;/year&gt;&lt;/dates&gt;&lt;pub-location&gt;Copenhagen, Denmark&lt;/pub-location&gt;&lt;urls&gt;&lt;/urls&gt;&lt;/record&gt;&lt;/Cite&gt;&lt;/EndNote&gt;</w:instrText>
      </w:r>
      <w:r w:rsidRPr="00033E11">
        <w:fldChar w:fldCharType="separate"/>
      </w:r>
      <w:r w:rsidRPr="00033E11">
        <w:rPr>
          <w:noProof/>
        </w:rPr>
        <w:t>(</w:t>
      </w:r>
      <w:r w:rsidR="00E45E00" w:rsidRPr="00033E11">
        <w:rPr>
          <w:noProof/>
        </w:rPr>
        <w:t>Fang et al. 2006</w:t>
      </w:r>
      <w:r w:rsidRPr="00033E11">
        <w:rPr>
          <w:noProof/>
        </w:rPr>
        <w:t>)</w:t>
      </w:r>
      <w:r w:rsidRPr="00033E11">
        <w:fldChar w:fldCharType="end"/>
      </w:r>
      <w:r w:rsidRPr="00033E11">
        <w:t xml:space="preserve"> and emulsified vegetable oil </w:t>
      </w:r>
      <w:r w:rsidRPr="00033E11">
        <w:fldChar w:fldCharType="begin"/>
      </w:r>
      <w:r w:rsidR="0063330E">
        <w:instrText xml:space="preserve"> ADDIN EN.CITE &lt;EndNote&gt;&lt;Cite&gt;&lt;Author&gt;Watson&lt;/Author&gt;&lt;Year&gt;2013&lt;/Year&gt;&lt;RecNum&gt;650&lt;/RecNum&gt;&lt;DisplayText&gt;(Watson et al. 2013)&lt;/DisplayText&gt;&lt;record&gt;&lt;rec-number&gt;650&lt;/rec-number&gt;&lt;foreign-keys&gt;&lt;key app="EN" db-id="rzwe2tae7rs0abe55xgp55w8xtdf5xp9dwrd"&gt;650&lt;/key&gt;&lt;/foreign-keys&gt;&lt;ref-type name="Journal Article"&gt;17&lt;/ref-type&gt;&lt;contributors&gt;&lt;authors&gt;&lt;author&gt;Watson, D. B.&lt;/author&gt;&lt;author&gt;Wu, W. M.&lt;/author&gt;&lt;author&gt;Mehlhorn, T.&lt;/author&gt;&lt;author&gt;Tang, G. P.&lt;/author&gt;&lt;author&gt;Earles, J.&lt;/author&gt;&lt;author&gt;Lowe, K.&lt;/author&gt;&lt;author&gt;Gihring, T. M.&lt;/author&gt;&lt;author&gt;Zhang, G. X.&lt;/author&gt;&lt;author&gt;Phillips, J.&lt;/author&gt;&lt;author&gt;Boyanov, M. I.&lt;/author&gt;&lt;author&gt;Spalding, B. P.&lt;/author&gt;&lt;author&gt;Schadt, C.&lt;/author&gt;&lt;author&gt;Kemner, K. M.&lt;/author&gt;&lt;author&gt;Criddle, C. S.&lt;/author&gt;&lt;author&gt;Jardine, P. M.&lt;/author&gt;&lt;author&gt;Brooks, S. C.&lt;/author&gt;&lt;/authors&gt;&lt;/contributors&gt;&lt;titles&gt;&lt;title&gt;In Situ Bioremediation of Uranium with Emulsified Vegetable Oil as the Electron Donor&lt;/title&gt;&lt;secondary-title&gt;Environmental Science &amp;amp; Technology&lt;/secondary-title&gt;&lt;/titles&gt;&lt;periodical&gt;&lt;full-title&gt;Environmental Science &amp;amp; Technology&lt;/full-title&gt;&lt;/periodical&gt;&lt;pages&gt;6440-6448&lt;/pages&gt;&lt;volume&gt;47&lt;/volume&gt;&lt;number&gt;12&lt;/number&gt;&lt;dates&gt;&lt;year&gt;2013&lt;/year&gt;&lt;pub-dates&gt;&lt;date&gt;Jun&lt;/date&gt;&lt;/pub-dates&gt;&lt;/dates&gt;&lt;isbn&gt;0013-936X&lt;/isbn&gt;&lt;accession-num&gt;WOS:000320749000046&lt;/accession-num&gt;&lt;urls&gt;&lt;related-urls&gt;&lt;url&gt;&amp;lt;Go to ISI&amp;gt;://WOS:000320749000046&lt;/url&gt;&lt;/related-urls&gt;&lt;/urls&gt;&lt;electronic-resource-num&gt;10.1021/es3033555&lt;/electronic-resource-num&gt;&lt;/record&gt;&lt;/Cite&gt;&lt;/EndNote&gt;</w:instrText>
      </w:r>
      <w:r w:rsidRPr="00033E11">
        <w:fldChar w:fldCharType="separate"/>
      </w:r>
      <w:r w:rsidRPr="00033E11">
        <w:rPr>
          <w:noProof/>
        </w:rPr>
        <w:t>(</w:t>
      </w:r>
      <w:r w:rsidR="00E45E00" w:rsidRPr="00033E11">
        <w:rPr>
          <w:noProof/>
        </w:rPr>
        <w:t>Watson et al. 2013</w:t>
      </w:r>
      <w:r w:rsidRPr="00033E11">
        <w:rPr>
          <w:noProof/>
        </w:rPr>
        <w:t>)</w:t>
      </w:r>
      <w:r w:rsidRPr="00033E11">
        <w:fldChar w:fldCharType="end"/>
      </w:r>
      <w:r w:rsidRPr="00033E11">
        <w:t xml:space="preserve">. However, concurrent reoxidation of reduced sulfur-bearing species and U(IV) by nitrate following depletion of emulsified vegetable oil has also been observed in Area 2 </w:t>
      </w:r>
      <w:r w:rsidRPr="00033E11">
        <w:fldChar w:fldCharType="begin"/>
      </w:r>
      <w:r w:rsidR="0063330E">
        <w:instrText xml:space="preserve"> ADDIN EN.CITE &lt;EndNote&gt;&lt;Cite&gt;&lt;Author&gt;Watson&lt;/Author&gt;&lt;Year&gt;2013&lt;/Year&gt;&lt;RecNum&gt;650&lt;/RecNum&gt;&lt;DisplayText&gt;(Watson et al. 2013)&lt;/DisplayText&gt;&lt;record&gt;&lt;rec-number&gt;650&lt;/rec-number&gt;&lt;foreign-keys&gt;&lt;key app="EN" db-id="rzwe2tae7rs0abe55xgp55w8xtdf5xp9dwrd"&gt;650&lt;/key&gt;&lt;/foreign-keys&gt;&lt;ref-type name="Journal Article"&gt;17&lt;/ref-type&gt;&lt;contributors&gt;&lt;authors&gt;&lt;author&gt;Watson, D. B.&lt;/author&gt;&lt;author&gt;Wu, W. M.&lt;/author&gt;&lt;author&gt;Mehlhorn, T.&lt;/author&gt;&lt;author&gt;Tang, G. P.&lt;/author&gt;&lt;author&gt;Earles, J.&lt;/author&gt;&lt;author&gt;Lowe, K.&lt;/author&gt;&lt;author&gt;Gihring, T. M.&lt;/author&gt;&lt;author&gt;Zhang, G. X.&lt;/author&gt;&lt;author&gt;Phillips, J.&lt;/author&gt;&lt;author&gt;Boyanov, M. I.&lt;/author&gt;&lt;author&gt;Spalding, B. P.&lt;/author&gt;&lt;author&gt;Schadt, C.&lt;/author&gt;&lt;author&gt;Kemner, K. M.&lt;/author&gt;&lt;author&gt;Criddle, C. S.&lt;/author&gt;&lt;author&gt;Jardine, P. M.&lt;/author&gt;&lt;author&gt;Brooks, S. C.&lt;/author&gt;&lt;/authors&gt;&lt;/contributors&gt;&lt;titles&gt;&lt;title&gt;In Situ Bioremediation of Uranium with Emulsified Vegetable Oil as the Electron Donor&lt;/title&gt;&lt;secondary-title&gt;Environmental Science &amp;amp; Technology&lt;/secondary-title&gt;&lt;/titles&gt;&lt;periodical&gt;&lt;full-title&gt;Environmental Science &amp;amp; Technology&lt;/full-title&gt;&lt;/periodical&gt;&lt;pages&gt;6440-6448&lt;/pages&gt;&lt;volume&gt;47&lt;/volume&gt;&lt;number&gt;12&lt;/number&gt;&lt;dates&gt;&lt;year&gt;2013&lt;/year&gt;&lt;pub-dates&gt;&lt;date&gt;Jun&lt;/date&gt;&lt;/pub-dates&gt;&lt;/dates&gt;&lt;isbn&gt;0013-936X&lt;/isbn&gt;&lt;accession-num&gt;WOS:000320749000046&lt;/accession-num&gt;&lt;urls&gt;&lt;related-urls&gt;&lt;url&gt;&amp;lt;Go to ISI&amp;gt;://WOS:000320749000046&lt;/url&gt;&lt;/related-urls&gt;&lt;/urls&gt;&lt;electronic-resource-num&gt;10.1021/es3033555&lt;/electronic-resource-num&gt;&lt;/record&gt;&lt;/Cite&gt;&lt;/EndNote&gt;</w:instrText>
      </w:r>
      <w:r w:rsidRPr="00033E11">
        <w:fldChar w:fldCharType="separate"/>
      </w:r>
      <w:r w:rsidRPr="00033E11">
        <w:rPr>
          <w:noProof/>
        </w:rPr>
        <w:t>(</w:t>
      </w:r>
      <w:r w:rsidR="00E45E00" w:rsidRPr="00033E11">
        <w:rPr>
          <w:noProof/>
        </w:rPr>
        <w:t>Watson et al. 2013</w:t>
      </w:r>
      <w:r w:rsidRPr="00033E11">
        <w:rPr>
          <w:noProof/>
        </w:rPr>
        <w:t>)</w:t>
      </w:r>
      <w:r w:rsidRPr="00033E11">
        <w:fldChar w:fldCharType="end"/>
      </w:r>
      <w:r w:rsidRPr="00033E11">
        <w:t>. This suggests that the geochemistry of Area 2 is conducive to forming reduced sulfur-bearing species but that nitrate has the oxidative strength to remobilize uranium to background levels. The wells utilized in this study were not part of any previous studies and are likely not affected by previous or ongoing activities within Area 2</w:t>
      </w:r>
      <w:r w:rsidR="000A5750">
        <w:t xml:space="preserve">. </w:t>
      </w:r>
    </w:p>
    <w:p w14:paraId="708E5F27" w14:textId="77777777" w:rsidR="00F20517" w:rsidRPr="00033E11" w:rsidRDefault="005F4623" w:rsidP="004407DB">
      <w:pPr>
        <w:pStyle w:val="Heading3"/>
      </w:pPr>
      <w:bookmarkStart w:id="33" w:name="_Toc475171394"/>
      <w:bookmarkStart w:id="34" w:name="_Toc475172171"/>
      <w:bookmarkStart w:id="35" w:name="_Toc475172674"/>
      <w:bookmarkStart w:id="36" w:name="_Toc475172751"/>
      <w:bookmarkStart w:id="37" w:name="_Toc498505024"/>
      <w:r>
        <w:t>2.3.2.</w:t>
      </w:r>
      <w:r>
        <w:tab/>
      </w:r>
      <w:r w:rsidR="00F20517" w:rsidRPr="00033E11">
        <w:t>Biostimulation and reoxidation tests</w:t>
      </w:r>
      <w:bookmarkEnd w:id="33"/>
      <w:bookmarkEnd w:id="34"/>
      <w:bookmarkEnd w:id="35"/>
      <w:bookmarkEnd w:id="36"/>
      <w:bookmarkEnd w:id="37"/>
    </w:p>
    <w:p w14:paraId="20E55873" w14:textId="77777777" w:rsidR="0033569C" w:rsidRDefault="00F20517" w:rsidP="0033569C">
      <w:pPr>
        <w:ind w:firstLine="720"/>
      </w:pPr>
      <w:r w:rsidRPr="00033E11">
        <w:t xml:space="preserve">A series of four tests were conducted in wells FW218 through FW227. Three biostimulation tests (Tests 1, 2, and 3) were conducted </w:t>
      </w:r>
      <w:proofErr w:type="gramStart"/>
      <w:r w:rsidRPr="00033E11">
        <w:t>in order to</w:t>
      </w:r>
      <w:proofErr w:type="gramEnd"/>
      <w:r w:rsidRPr="00033E11">
        <w:t xml:space="preserve"> reduce and immobilize uranium and to </w:t>
      </w:r>
      <w:r w:rsidR="0033569C">
        <w:t>precipitate sulfides (</w:t>
      </w:r>
      <w:r w:rsidR="00B56797">
        <w:fldChar w:fldCharType="begin"/>
      </w:r>
      <w:r w:rsidR="00B56797">
        <w:instrText xml:space="preserve"> REF _Ref485276658 \h </w:instrText>
      </w:r>
      <w:r w:rsidR="00B56797">
        <w:fldChar w:fldCharType="separate"/>
      </w:r>
      <w:r w:rsidR="001175BB">
        <w:t xml:space="preserve">Table </w:t>
      </w:r>
      <w:r w:rsidR="001175BB">
        <w:rPr>
          <w:noProof/>
        </w:rPr>
        <w:t>2</w:t>
      </w:r>
      <w:r w:rsidR="001175BB">
        <w:t>.</w:t>
      </w:r>
      <w:r w:rsidR="001175BB">
        <w:rPr>
          <w:noProof/>
        </w:rPr>
        <w:t>1</w:t>
      </w:r>
      <w:r w:rsidR="00B56797">
        <w:fldChar w:fldCharType="end"/>
      </w:r>
      <w:r w:rsidR="0033569C">
        <w:t xml:space="preserve">). </w:t>
      </w:r>
      <w:r w:rsidR="0033569C" w:rsidRPr="00033E11">
        <w:t xml:space="preserve">The reoxidation test (Test 4) was conducted </w:t>
      </w:r>
      <w:proofErr w:type="gramStart"/>
      <w:r w:rsidR="0033569C" w:rsidRPr="00033E11">
        <w:t>in order to</w:t>
      </w:r>
      <w:proofErr w:type="gramEnd"/>
      <w:r w:rsidR="0033569C" w:rsidRPr="00033E11">
        <w:t xml:space="preserve"> investigate the mobility of uranium in the presence of nitrate (</w:t>
      </w:r>
      <w:r w:rsidR="00B56797">
        <w:fldChar w:fldCharType="begin"/>
      </w:r>
      <w:r w:rsidR="00B56797">
        <w:instrText xml:space="preserve"> REF _Ref485276658 \h </w:instrText>
      </w:r>
      <w:r w:rsidR="00B56797">
        <w:fldChar w:fldCharType="separate"/>
      </w:r>
      <w:r w:rsidR="001175BB">
        <w:t xml:space="preserve">Table </w:t>
      </w:r>
      <w:r w:rsidR="001175BB">
        <w:rPr>
          <w:noProof/>
        </w:rPr>
        <w:t>2</w:t>
      </w:r>
      <w:r w:rsidR="001175BB">
        <w:t>.</w:t>
      </w:r>
      <w:r w:rsidR="001175BB">
        <w:rPr>
          <w:noProof/>
        </w:rPr>
        <w:t>1</w:t>
      </w:r>
      <w:r w:rsidR="00B56797">
        <w:fldChar w:fldCharType="end"/>
      </w:r>
      <w:r w:rsidR="0033569C" w:rsidRPr="00033E11">
        <w:t xml:space="preserve">). Groundwater samples for all tests were collected and filtered (0.2 </w:t>
      </w:r>
      <w:proofErr w:type="spellStart"/>
      <w:r w:rsidR="0033569C" w:rsidRPr="00033E11">
        <w:t>μm</w:t>
      </w:r>
      <w:proofErr w:type="spellEnd"/>
      <w:r w:rsidR="0033569C" w:rsidRPr="00033E11">
        <w:t>) in the field and stored at 4</w:t>
      </w:r>
      <w:r w:rsidR="0033569C" w:rsidRPr="00033E11">
        <w:rPr>
          <w:rFonts w:ascii="Symbol" w:hAnsi="Symbol" w:cs="Symbol"/>
        </w:rPr>
        <w:t></w:t>
      </w:r>
      <w:r w:rsidR="0033569C" w:rsidRPr="00033E11">
        <w:t xml:space="preserve">C until analyzed. Groundwater used for test injectate was collected from nearby well GW835 which contained relatively low pre-test concentrations of nitrate (1 mM), U(VI) (5 μM) and sulfate (1 </w:t>
      </w:r>
    </w:p>
    <w:p w14:paraId="197F023B" w14:textId="77777777" w:rsidR="000A3930" w:rsidRPr="000A3930" w:rsidRDefault="002D1B51" w:rsidP="002D1B51">
      <w:pPr>
        <w:pStyle w:val="Caption"/>
      </w:pPr>
      <w:bookmarkStart w:id="38" w:name="_Ref485276658"/>
      <w:bookmarkStart w:id="39" w:name="_Toc498504879"/>
      <w:r>
        <w:lastRenderedPageBreak/>
        <w:t xml:space="preserve">Table </w:t>
      </w:r>
      <w:r w:rsidR="00CA2C3C">
        <w:fldChar w:fldCharType="begin"/>
      </w:r>
      <w:r w:rsidR="00CA2C3C">
        <w:instrText xml:space="preserve"> STYLEREF 1 \s </w:instrText>
      </w:r>
      <w:r w:rsidR="00CA2C3C">
        <w:fldChar w:fldCharType="separate"/>
      </w:r>
      <w:r w:rsidR="002105EE">
        <w:rPr>
          <w:noProof/>
        </w:rPr>
        <w:t>2</w:t>
      </w:r>
      <w:r w:rsidR="00CA2C3C">
        <w:rPr>
          <w:noProof/>
        </w:rPr>
        <w:fldChar w:fldCharType="end"/>
      </w:r>
      <w:r w:rsidR="002105EE">
        <w:t>.</w:t>
      </w:r>
      <w:r w:rsidR="00CA2C3C">
        <w:fldChar w:fldCharType="begin"/>
      </w:r>
      <w:r w:rsidR="00CA2C3C">
        <w:instrText xml:space="preserve"> SEQ Table \* ARABIC \s 1 </w:instrText>
      </w:r>
      <w:r w:rsidR="00CA2C3C">
        <w:fldChar w:fldCharType="separate"/>
      </w:r>
      <w:r w:rsidR="002105EE">
        <w:rPr>
          <w:noProof/>
        </w:rPr>
        <w:t>1</w:t>
      </w:r>
      <w:r w:rsidR="00CA2C3C">
        <w:rPr>
          <w:noProof/>
        </w:rPr>
        <w:fldChar w:fldCharType="end"/>
      </w:r>
      <w:bookmarkEnd w:id="38"/>
      <w:r>
        <w:t xml:space="preserve"> </w:t>
      </w:r>
      <w:r w:rsidR="000A3930" w:rsidRPr="005774C8">
        <w:rPr>
          <w:b w:val="0"/>
        </w:rPr>
        <w:t>Summary of biostimulation and reoxidation test methodology. EtOH = ethanol</w:t>
      </w:r>
      <w:bookmarkEnd w:id="39"/>
    </w:p>
    <w:tbl>
      <w:tblPr>
        <w:tblW w:w="9360" w:type="dxa"/>
        <w:jc w:val="center"/>
        <w:tblLook w:val="04A0" w:firstRow="1" w:lastRow="0" w:firstColumn="1" w:lastColumn="0" w:noHBand="0" w:noVBand="1"/>
      </w:tblPr>
      <w:tblGrid>
        <w:gridCol w:w="722"/>
        <w:gridCol w:w="1743"/>
        <w:gridCol w:w="1511"/>
        <w:gridCol w:w="1085"/>
        <w:gridCol w:w="1485"/>
        <w:gridCol w:w="1103"/>
        <w:gridCol w:w="1711"/>
      </w:tblGrid>
      <w:tr w:rsidR="00F20517" w:rsidRPr="00033E11" w14:paraId="6DC2074D" w14:textId="77777777" w:rsidTr="0063330E">
        <w:trPr>
          <w:trHeight w:val="315"/>
          <w:jc w:val="center"/>
        </w:trPr>
        <w:tc>
          <w:tcPr>
            <w:tcW w:w="680" w:type="dxa"/>
            <w:tcBorders>
              <w:top w:val="single" w:sz="4" w:space="0" w:color="auto"/>
              <w:left w:val="nil"/>
              <w:bottom w:val="single" w:sz="4" w:space="0" w:color="auto"/>
              <w:right w:val="nil"/>
            </w:tcBorders>
            <w:shd w:val="clear" w:color="auto" w:fill="auto"/>
            <w:noWrap/>
            <w:vAlign w:val="center"/>
            <w:hideMark/>
          </w:tcPr>
          <w:p w14:paraId="38854BBB"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Test #</w:t>
            </w:r>
          </w:p>
        </w:tc>
        <w:tc>
          <w:tcPr>
            <w:tcW w:w="1643" w:type="dxa"/>
            <w:tcBorders>
              <w:top w:val="single" w:sz="4" w:space="0" w:color="auto"/>
              <w:left w:val="nil"/>
              <w:bottom w:val="single" w:sz="4" w:space="0" w:color="auto"/>
              <w:right w:val="nil"/>
            </w:tcBorders>
            <w:shd w:val="clear" w:color="auto" w:fill="auto"/>
            <w:noWrap/>
            <w:vAlign w:val="center"/>
            <w:hideMark/>
          </w:tcPr>
          <w:p w14:paraId="6CB7048C"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Test Type</w:t>
            </w:r>
          </w:p>
        </w:tc>
        <w:tc>
          <w:tcPr>
            <w:tcW w:w="1424" w:type="dxa"/>
            <w:tcBorders>
              <w:top w:val="single" w:sz="4" w:space="0" w:color="auto"/>
              <w:left w:val="nil"/>
              <w:bottom w:val="single" w:sz="4" w:space="0" w:color="auto"/>
              <w:right w:val="nil"/>
            </w:tcBorders>
            <w:shd w:val="clear" w:color="auto" w:fill="auto"/>
            <w:noWrap/>
            <w:vAlign w:val="center"/>
            <w:hideMark/>
          </w:tcPr>
          <w:p w14:paraId="443650DE"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Method</w:t>
            </w:r>
          </w:p>
        </w:tc>
        <w:tc>
          <w:tcPr>
            <w:tcW w:w="1023" w:type="dxa"/>
            <w:tcBorders>
              <w:top w:val="single" w:sz="4" w:space="0" w:color="auto"/>
              <w:left w:val="nil"/>
              <w:bottom w:val="single" w:sz="4" w:space="0" w:color="auto"/>
              <w:right w:val="nil"/>
            </w:tcBorders>
            <w:shd w:val="clear" w:color="auto" w:fill="auto"/>
            <w:noWrap/>
            <w:vAlign w:val="center"/>
            <w:hideMark/>
          </w:tcPr>
          <w:p w14:paraId="72C91E9A"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Day(s)</w:t>
            </w:r>
          </w:p>
        </w:tc>
        <w:tc>
          <w:tcPr>
            <w:tcW w:w="1400" w:type="dxa"/>
            <w:tcBorders>
              <w:top w:val="single" w:sz="4" w:space="0" w:color="auto"/>
              <w:left w:val="nil"/>
              <w:bottom w:val="single" w:sz="4" w:space="0" w:color="auto"/>
              <w:right w:val="nil"/>
            </w:tcBorders>
            <w:shd w:val="clear" w:color="auto" w:fill="auto"/>
            <w:noWrap/>
            <w:vAlign w:val="center"/>
            <w:hideMark/>
          </w:tcPr>
          <w:p w14:paraId="28A7DE80"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Treatment ID</w:t>
            </w:r>
          </w:p>
        </w:tc>
        <w:tc>
          <w:tcPr>
            <w:tcW w:w="1040" w:type="dxa"/>
            <w:tcBorders>
              <w:top w:val="single" w:sz="4" w:space="0" w:color="auto"/>
              <w:left w:val="nil"/>
              <w:bottom w:val="single" w:sz="4" w:space="0" w:color="auto"/>
              <w:right w:val="nil"/>
            </w:tcBorders>
            <w:shd w:val="clear" w:color="auto" w:fill="auto"/>
            <w:noWrap/>
            <w:vAlign w:val="center"/>
            <w:hideMark/>
          </w:tcPr>
          <w:p w14:paraId="4B0FA559"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Well</w:t>
            </w:r>
          </w:p>
        </w:tc>
        <w:tc>
          <w:tcPr>
            <w:tcW w:w="1613" w:type="dxa"/>
            <w:tcBorders>
              <w:top w:val="single" w:sz="4" w:space="0" w:color="auto"/>
              <w:left w:val="nil"/>
              <w:bottom w:val="single" w:sz="4" w:space="0" w:color="auto"/>
              <w:right w:val="nil"/>
            </w:tcBorders>
            <w:shd w:val="clear" w:color="auto" w:fill="auto"/>
            <w:vAlign w:val="center"/>
            <w:hideMark/>
          </w:tcPr>
          <w:p w14:paraId="324720CC"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Amendments</w:t>
            </w:r>
          </w:p>
        </w:tc>
      </w:tr>
      <w:tr w:rsidR="00F20517" w:rsidRPr="00033E11" w14:paraId="5D24A8C8" w14:textId="77777777" w:rsidTr="0063330E">
        <w:trPr>
          <w:trHeight w:val="945"/>
          <w:jc w:val="center"/>
        </w:trPr>
        <w:tc>
          <w:tcPr>
            <w:tcW w:w="680" w:type="dxa"/>
            <w:tcBorders>
              <w:top w:val="nil"/>
              <w:left w:val="nil"/>
              <w:bottom w:val="single" w:sz="4" w:space="0" w:color="auto"/>
              <w:right w:val="nil"/>
            </w:tcBorders>
            <w:shd w:val="clear" w:color="auto" w:fill="auto"/>
            <w:noWrap/>
            <w:vAlign w:val="center"/>
            <w:hideMark/>
          </w:tcPr>
          <w:p w14:paraId="479F02F8"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1</w:t>
            </w:r>
          </w:p>
        </w:tc>
        <w:tc>
          <w:tcPr>
            <w:tcW w:w="1643" w:type="dxa"/>
            <w:tcBorders>
              <w:top w:val="nil"/>
              <w:left w:val="nil"/>
              <w:bottom w:val="single" w:sz="4" w:space="0" w:color="auto"/>
              <w:right w:val="nil"/>
            </w:tcBorders>
            <w:shd w:val="clear" w:color="auto" w:fill="auto"/>
            <w:noWrap/>
            <w:vAlign w:val="center"/>
            <w:hideMark/>
          </w:tcPr>
          <w:p w14:paraId="3A41B072"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Biostimulation</w:t>
            </w:r>
          </w:p>
        </w:tc>
        <w:tc>
          <w:tcPr>
            <w:tcW w:w="1424" w:type="dxa"/>
            <w:tcBorders>
              <w:top w:val="nil"/>
              <w:left w:val="nil"/>
              <w:bottom w:val="single" w:sz="4" w:space="0" w:color="auto"/>
              <w:right w:val="nil"/>
            </w:tcBorders>
            <w:shd w:val="clear" w:color="auto" w:fill="auto"/>
            <w:noWrap/>
            <w:vAlign w:val="center"/>
            <w:hideMark/>
          </w:tcPr>
          <w:p w14:paraId="051AE2C7"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Injection Only</w:t>
            </w:r>
          </w:p>
        </w:tc>
        <w:tc>
          <w:tcPr>
            <w:tcW w:w="1023" w:type="dxa"/>
            <w:tcBorders>
              <w:top w:val="nil"/>
              <w:left w:val="nil"/>
              <w:bottom w:val="single" w:sz="4" w:space="0" w:color="auto"/>
              <w:right w:val="nil"/>
            </w:tcBorders>
            <w:shd w:val="clear" w:color="auto" w:fill="auto"/>
            <w:noWrap/>
            <w:vAlign w:val="center"/>
            <w:hideMark/>
          </w:tcPr>
          <w:p w14:paraId="737AAC34"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0</w:t>
            </w:r>
          </w:p>
        </w:tc>
        <w:tc>
          <w:tcPr>
            <w:tcW w:w="1400" w:type="dxa"/>
            <w:tcBorders>
              <w:top w:val="nil"/>
              <w:left w:val="nil"/>
              <w:bottom w:val="single" w:sz="4" w:space="0" w:color="auto"/>
              <w:right w:val="nil"/>
            </w:tcBorders>
            <w:shd w:val="clear" w:color="auto" w:fill="auto"/>
            <w:noWrap/>
            <w:vAlign w:val="center"/>
            <w:hideMark/>
          </w:tcPr>
          <w:p w14:paraId="442D44C5"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w:t>
            </w:r>
          </w:p>
        </w:tc>
        <w:tc>
          <w:tcPr>
            <w:tcW w:w="1040" w:type="dxa"/>
            <w:tcBorders>
              <w:top w:val="nil"/>
              <w:left w:val="nil"/>
              <w:bottom w:val="single" w:sz="4" w:space="0" w:color="auto"/>
              <w:right w:val="nil"/>
            </w:tcBorders>
            <w:shd w:val="clear" w:color="auto" w:fill="auto"/>
            <w:noWrap/>
            <w:vAlign w:val="center"/>
            <w:hideMark/>
          </w:tcPr>
          <w:p w14:paraId="17B41967"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All Wells</w:t>
            </w:r>
          </w:p>
        </w:tc>
        <w:tc>
          <w:tcPr>
            <w:tcW w:w="1613" w:type="dxa"/>
            <w:tcBorders>
              <w:top w:val="nil"/>
              <w:left w:val="nil"/>
              <w:bottom w:val="single" w:sz="4" w:space="0" w:color="auto"/>
              <w:right w:val="nil"/>
            </w:tcBorders>
            <w:shd w:val="clear" w:color="auto" w:fill="auto"/>
            <w:vAlign w:val="center"/>
            <w:hideMark/>
          </w:tcPr>
          <w:p w14:paraId="733F441B"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40mM EtOH, 20mM SO</w:t>
            </w:r>
            <w:r w:rsidRPr="00033E11">
              <w:rPr>
                <w:rFonts w:eastAsia="Times New Roman" w:cs="Times New Roman"/>
                <w:szCs w:val="24"/>
                <w:vertAlign w:val="subscript"/>
              </w:rPr>
              <w:t>4</w:t>
            </w:r>
            <w:r w:rsidRPr="00033E11">
              <w:rPr>
                <w:rFonts w:eastAsia="Times New Roman" w:cs="Times New Roman"/>
                <w:szCs w:val="24"/>
                <w:vertAlign w:val="superscript"/>
              </w:rPr>
              <w:t>2-</w:t>
            </w:r>
          </w:p>
        </w:tc>
      </w:tr>
      <w:tr w:rsidR="00F20517" w:rsidRPr="00033E11" w14:paraId="6CC675E8" w14:textId="77777777" w:rsidTr="0063330E">
        <w:trPr>
          <w:trHeight w:val="945"/>
          <w:jc w:val="center"/>
        </w:trPr>
        <w:tc>
          <w:tcPr>
            <w:tcW w:w="680" w:type="dxa"/>
            <w:tcBorders>
              <w:top w:val="nil"/>
              <w:left w:val="nil"/>
              <w:bottom w:val="single" w:sz="4" w:space="0" w:color="auto"/>
              <w:right w:val="nil"/>
            </w:tcBorders>
            <w:shd w:val="clear" w:color="auto" w:fill="auto"/>
            <w:noWrap/>
            <w:vAlign w:val="center"/>
            <w:hideMark/>
          </w:tcPr>
          <w:p w14:paraId="626BECED"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2</w:t>
            </w:r>
          </w:p>
        </w:tc>
        <w:tc>
          <w:tcPr>
            <w:tcW w:w="1643" w:type="dxa"/>
            <w:tcBorders>
              <w:top w:val="nil"/>
              <w:left w:val="nil"/>
              <w:bottom w:val="single" w:sz="4" w:space="0" w:color="auto"/>
              <w:right w:val="nil"/>
            </w:tcBorders>
            <w:shd w:val="clear" w:color="auto" w:fill="auto"/>
            <w:noWrap/>
            <w:vAlign w:val="center"/>
            <w:hideMark/>
          </w:tcPr>
          <w:p w14:paraId="616D2BFE"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Biostimulation</w:t>
            </w:r>
          </w:p>
        </w:tc>
        <w:tc>
          <w:tcPr>
            <w:tcW w:w="1424" w:type="dxa"/>
            <w:tcBorders>
              <w:top w:val="nil"/>
              <w:left w:val="nil"/>
              <w:bottom w:val="single" w:sz="4" w:space="0" w:color="auto"/>
              <w:right w:val="nil"/>
            </w:tcBorders>
            <w:shd w:val="clear" w:color="auto" w:fill="auto"/>
            <w:noWrap/>
            <w:vAlign w:val="center"/>
            <w:hideMark/>
          </w:tcPr>
          <w:p w14:paraId="343D9EB1"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Injection Only</w:t>
            </w:r>
          </w:p>
        </w:tc>
        <w:tc>
          <w:tcPr>
            <w:tcW w:w="1023" w:type="dxa"/>
            <w:tcBorders>
              <w:top w:val="nil"/>
              <w:left w:val="nil"/>
              <w:bottom w:val="single" w:sz="4" w:space="0" w:color="auto"/>
              <w:right w:val="nil"/>
            </w:tcBorders>
            <w:shd w:val="clear" w:color="auto" w:fill="auto"/>
            <w:noWrap/>
            <w:vAlign w:val="center"/>
            <w:hideMark/>
          </w:tcPr>
          <w:p w14:paraId="3AFDC9F6"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47</w:t>
            </w:r>
          </w:p>
        </w:tc>
        <w:tc>
          <w:tcPr>
            <w:tcW w:w="1400" w:type="dxa"/>
            <w:tcBorders>
              <w:top w:val="nil"/>
              <w:left w:val="nil"/>
              <w:bottom w:val="single" w:sz="4" w:space="0" w:color="auto"/>
              <w:right w:val="nil"/>
            </w:tcBorders>
            <w:shd w:val="clear" w:color="auto" w:fill="auto"/>
            <w:noWrap/>
            <w:vAlign w:val="center"/>
            <w:hideMark/>
          </w:tcPr>
          <w:p w14:paraId="3539BE28"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w:t>
            </w:r>
          </w:p>
        </w:tc>
        <w:tc>
          <w:tcPr>
            <w:tcW w:w="1040" w:type="dxa"/>
            <w:tcBorders>
              <w:top w:val="nil"/>
              <w:left w:val="nil"/>
              <w:bottom w:val="single" w:sz="4" w:space="0" w:color="auto"/>
              <w:right w:val="nil"/>
            </w:tcBorders>
            <w:shd w:val="clear" w:color="auto" w:fill="auto"/>
            <w:noWrap/>
            <w:vAlign w:val="center"/>
            <w:hideMark/>
          </w:tcPr>
          <w:p w14:paraId="0340CB91"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All Wells</w:t>
            </w:r>
          </w:p>
        </w:tc>
        <w:tc>
          <w:tcPr>
            <w:tcW w:w="1613" w:type="dxa"/>
            <w:tcBorders>
              <w:top w:val="nil"/>
              <w:left w:val="nil"/>
              <w:bottom w:val="single" w:sz="4" w:space="0" w:color="auto"/>
              <w:right w:val="nil"/>
            </w:tcBorders>
            <w:shd w:val="clear" w:color="auto" w:fill="auto"/>
            <w:vAlign w:val="center"/>
            <w:hideMark/>
          </w:tcPr>
          <w:p w14:paraId="67CE34A4"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40mM EtOH, 20mM SO</w:t>
            </w:r>
            <w:r w:rsidRPr="00033E11">
              <w:rPr>
                <w:rFonts w:eastAsia="Times New Roman" w:cs="Times New Roman"/>
                <w:szCs w:val="24"/>
                <w:vertAlign w:val="subscript"/>
              </w:rPr>
              <w:t>4</w:t>
            </w:r>
            <w:r w:rsidRPr="00033E11">
              <w:rPr>
                <w:rFonts w:eastAsia="Times New Roman" w:cs="Times New Roman"/>
                <w:szCs w:val="24"/>
                <w:vertAlign w:val="superscript"/>
              </w:rPr>
              <w:t>2-</w:t>
            </w:r>
          </w:p>
        </w:tc>
      </w:tr>
      <w:tr w:rsidR="00F20517" w:rsidRPr="00033E11" w14:paraId="4B2EC7CD" w14:textId="77777777" w:rsidTr="0063330E">
        <w:trPr>
          <w:trHeight w:val="945"/>
          <w:jc w:val="center"/>
        </w:trPr>
        <w:tc>
          <w:tcPr>
            <w:tcW w:w="680" w:type="dxa"/>
            <w:tcBorders>
              <w:top w:val="nil"/>
              <w:left w:val="nil"/>
              <w:bottom w:val="single" w:sz="4" w:space="0" w:color="auto"/>
              <w:right w:val="nil"/>
            </w:tcBorders>
            <w:shd w:val="clear" w:color="auto" w:fill="auto"/>
            <w:noWrap/>
            <w:vAlign w:val="center"/>
            <w:hideMark/>
          </w:tcPr>
          <w:p w14:paraId="14A63F91"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3</w:t>
            </w:r>
          </w:p>
        </w:tc>
        <w:tc>
          <w:tcPr>
            <w:tcW w:w="1643" w:type="dxa"/>
            <w:tcBorders>
              <w:top w:val="nil"/>
              <w:left w:val="nil"/>
              <w:bottom w:val="single" w:sz="4" w:space="0" w:color="auto"/>
              <w:right w:val="nil"/>
            </w:tcBorders>
            <w:shd w:val="clear" w:color="auto" w:fill="auto"/>
            <w:noWrap/>
            <w:vAlign w:val="center"/>
            <w:hideMark/>
          </w:tcPr>
          <w:p w14:paraId="48E161EF"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Biostimulation</w:t>
            </w:r>
          </w:p>
        </w:tc>
        <w:tc>
          <w:tcPr>
            <w:tcW w:w="1424" w:type="dxa"/>
            <w:tcBorders>
              <w:top w:val="nil"/>
              <w:left w:val="nil"/>
              <w:bottom w:val="single" w:sz="4" w:space="0" w:color="auto"/>
              <w:right w:val="nil"/>
            </w:tcBorders>
            <w:shd w:val="clear" w:color="auto" w:fill="auto"/>
            <w:noWrap/>
            <w:vAlign w:val="center"/>
            <w:hideMark/>
          </w:tcPr>
          <w:p w14:paraId="0976F9E0"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Injection Only</w:t>
            </w:r>
          </w:p>
        </w:tc>
        <w:tc>
          <w:tcPr>
            <w:tcW w:w="1023" w:type="dxa"/>
            <w:tcBorders>
              <w:top w:val="nil"/>
              <w:left w:val="nil"/>
              <w:bottom w:val="single" w:sz="4" w:space="0" w:color="auto"/>
              <w:right w:val="nil"/>
            </w:tcBorders>
            <w:shd w:val="clear" w:color="auto" w:fill="auto"/>
            <w:noWrap/>
            <w:vAlign w:val="center"/>
            <w:hideMark/>
          </w:tcPr>
          <w:p w14:paraId="345CB701"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84</w:t>
            </w:r>
          </w:p>
        </w:tc>
        <w:tc>
          <w:tcPr>
            <w:tcW w:w="1400" w:type="dxa"/>
            <w:tcBorders>
              <w:top w:val="nil"/>
              <w:left w:val="nil"/>
              <w:bottom w:val="nil"/>
              <w:right w:val="nil"/>
            </w:tcBorders>
            <w:shd w:val="clear" w:color="auto" w:fill="auto"/>
            <w:noWrap/>
            <w:vAlign w:val="center"/>
            <w:hideMark/>
          </w:tcPr>
          <w:p w14:paraId="63E576C8"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w:t>
            </w:r>
          </w:p>
        </w:tc>
        <w:tc>
          <w:tcPr>
            <w:tcW w:w="1040" w:type="dxa"/>
            <w:tcBorders>
              <w:top w:val="nil"/>
              <w:left w:val="nil"/>
              <w:bottom w:val="single" w:sz="4" w:space="0" w:color="auto"/>
              <w:right w:val="nil"/>
            </w:tcBorders>
            <w:shd w:val="clear" w:color="auto" w:fill="auto"/>
            <w:noWrap/>
            <w:vAlign w:val="center"/>
            <w:hideMark/>
          </w:tcPr>
          <w:p w14:paraId="750AB331"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All Wells</w:t>
            </w:r>
          </w:p>
        </w:tc>
        <w:tc>
          <w:tcPr>
            <w:tcW w:w="1613" w:type="dxa"/>
            <w:tcBorders>
              <w:top w:val="nil"/>
              <w:left w:val="nil"/>
              <w:bottom w:val="single" w:sz="4" w:space="0" w:color="auto"/>
              <w:right w:val="nil"/>
            </w:tcBorders>
            <w:shd w:val="clear" w:color="auto" w:fill="auto"/>
            <w:vAlign w:val="center"/>
            <w:hideMark/>
          </w:tcPr>
          <w:p w14:paraId="36894527"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40mM EtOH, 20mM SO</w:t>
            </w:r>
            <w:r w:rsidRPr="00033E11">
              <w:rPr>
                <w:rFonts w:eastAsia="Times New Roman" w:cs="Times New Roman"/>
                <w:szCs w:val="24"/>
                <w:vertAlign w:val="subscript"/>
              </w:rPr>
              <w:t>4</w:t>
            </w:r>
            <w:r w:rsidRPr="00033E11">
              <w:rPr>
                <w:rFonts w:eastAsia="Times New Roman" w:cs="Times New Roman"/>
                <w:szCs w:val="24"/>
                <w:vertAlign w:val="superscript"/>
              </w:rPr>
              <w:t>2-</w:t>
            </w:r>
          </w:p>
        </w:tc>
      </w:tr>
      <w:tr w:rsidR="00F20517" w:rsidRPr="00033E11" w14:paraId="4F3A9BB0" w14:textId="77777777" w:rsidTr="0063330E">
        <w:trPr>
          <w:trHeight w:val="945"/>
          <w:jc w:val="center"/>
        </w:trPr>
        <w:tc>
          <w:tcPr>
            <w:tcW w:w="680" w:type="dxa"/>
            <w:tcBorders>
              <w:top w:val="nil"/>
              <w:left w:val="nil"/>
              <w:bottom w:val="single" w:sz="4" w:space="0" w:color="auto"/>
              <w:right w:val="nil"/>
            </w:tcBorders>
            <w:shd w:val="clear" w:color="auto" w:fill="auto"/>
            <w:noWrap/>
            <w:vAlign w:val="center"/>
            <w:hideMark/>
          </w:tcPr>
          <w:p w14:paraId="5CB3ED1F"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4</w:t>
            </w:r>
          </w:p>
        </w:tc>
        <w:tc>
          <w:tcPr>
            <w:tcW w:w="1643" w:type="dxa"/>
            <w:tcBorders>
              <w:top w:val="nil"/>
              <w:left w:val="nil"/>
              <w:bottom w:val="single" w:sz="4" w:space="0" w:color="auto"/>
              <w:right w:val="nil"/>
            </w:tcBorders>
            <w:shd w:val="clear" w:color="auto" w:fill="auto"/>
            <w:noWrap/>
            <w:vAlign w:val="center"/>
            <w:hideMark/>
          </w:tcPr>
          <w:p w14:paraId="7D9C9C71"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 xml:space="preserve">Reoxidation </w:t>
            </w:r>
          </w:p>
        </w:tc>
        <w:tc>
          <w:tcPr>
            <w:tcW w:w="1424" w:type="dxa"/>
            <w:tcBorders>
              <w:top w:val="nil"/>
              <w:left w:val="nil"/>
              <w:bottom w:val="single" w:sz="4" w:space="0" w:color="auto"/>
              <w:right w:val="nil"/>
            </w:tcBorders>
            <w:shd w:val="clear" w:color="auto" w:fill="auto"/>
            <w:vAlign w:val="center"/>
            <w:hideMark/>
          </w:tcPr>
          <w:p w14:paraId="7C2AA79D"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Injection &amp; Periodic Extraction</w:t>
            </w:r>
          </w:p>
        </w:tc>
        <w:tc>
          <w:tcPr>
            <w:tcW w:w="1023" w:type="dxa"/>
            <w:tcBorders>
              <w:top w:val="nil"/>
              <w:left w:val="nil"/>
              <w:bottom w:val="single" w:sz="4" w:space="0" w:color="auto"/>
              <w:right w:val="nil"/>
            </w:tcBorders>
            <w:shd w:val="clear" w:color="auto" w:fill="auto"/>
            <w:noWrap/>
            <w:vAlign w:val="center"/>
            <w:hideMark/>
          </w:tcPr>
          <w:p w14:paraId="0B6D28F3"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139-176</w:t>
            </w:r>
          </w:p>
        </w:tc>
        <w:tc>
          <w:tcPr>
            <w:tcW w:w="1400" w:type="dxa"/>
            <w:tcBorders>
              <w:top w:val="single" w:sz="4" w:space="0" w:color="auto"/>
              <w:left w:val="nil"/>
              <w:bottom w:val="single" w:sz="4" w:space="0" w:color="auto"/>
              <w:right w:val="nil"/>
            </w:tcBorders>
            <w:shd w:val="clear" w:color="auto" w:fill="auto"/>
            <w:noWrap/>
            <w:vAlign w:val="center"/>
            <w:hideMark/>
          </w:tcPr>
          <w:p w14:paraId="75C8AFF1"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Control</w:t>
            </w:r>
          </w:p>
        </w:tc>
        <w:tc>
          <w:tcPr>
            <w:tcW w:w="1040" w:type="dxa"/>
            <w:tcBorders>
              <w:top w:val="nil"/>
              <w:left w:val="nil"/>
              <w:bottom w:val="nil"/>
              <w:right w:val="nil"/>
            </w:tcBorders>
            <w:shd w:val="clear" w:color="auto" w:fill="auto"/>
            <w:noWrap/>
            <w:vAlign w:val="center"/>
            <w:hideMark/>
          </w:tcPr>
          <w:p w14:paraId="2F129D33"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FW224</w:t>
            </w:r>
          </w:p>
        </w:tc>
        <w:tc>
          <w:tcPr>
            <w:tcW w:w="1613" w:type="dxa"/>
            <w:tcBorders>
              <w:top w:val="nil"/>
              <w:left w:val="nil"/>
              <w:bottom w:val="single" w:sz="4" w:space="0" w:color="auto"/>
              <w:right w:val="nil"/>
            </w:tcBorders>
            <w:shd w:val="clear" w:color="auto" w:fill="auto"/>
            <w:vAlign w:val="center"/>
            <w:hideMark/>
          </w:tcPr>
          <w:p w14:paraId="78256FB0"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30mM EtOH, 20mM SO</w:t>
            </w:r>
            <w:r w:rsidRPr="00033E11">
              <w:rPr>
                <w:rFonts w:eastAsia="Times New Roman" w:cs="Times New Roman"/>
                <w:szCs w:val="24"/>
                <w:vertAlign w:val="subscript"/>
              </w:rPr>
              <w:t>4</w:t>
            </w:r>
            <w:r w:rsidRPr="00033E11">
              <w:rPr>
                <w:rFonts w:eastAsia="Times New Roman" w:cs="Times New Roman"/>
                <w:szCs w:val="24"/>
                <w:vertAlign w:val="superscript"/>
              </w:rPr>
              <w:t>2-</w:t>
            </w:r>
          </w:p>
        </w:tc>
      </w:tr>
      <w:tr w:rsidR="00F20517" w:rsidRPr="00033E11" w14:paraId="392A3144" w14:textId="77777777" w:rsidTr="0063330E">
        <w:trPr>
          <w:trHeight w:val="315"/>
          <w:jc w:val="center"/>
        </w:trPr>
        <w:tc>
          <w:tcPr>
            <w:tcW w:w="680" w:type="dxa"/>
            <w:vMerge w:val="restart"/>
            <w:tcBorders>
              <w:top w:val="nil"/>
              <w:left w:val="nil"/>
              <w:bottom w:val="single" w:sz="4" w:space="0" w:color="000000"/>
              <w:right w:val="nil"/>
            </w:tcBorders>
            <w:shd w:val="clear" w:color="auto" w:fill="auto"/>
            <w:noWrap/>
            <w:vAlign w:val="center"/>
            <w:hideMark/>
          </w:tcPr>
          <w:p w14:paraId="16738662"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4</w:t>
            </w:r>
          </w:p>
        </w:tc>
        <w:tc>
          <w:tcPr>
            <w:tcW w:w="1643" w:type="dxa"/>
            <w:vMerge w:val="restart"/>
            <w:tcBorders>
              <w:top w:val="nil"/>
              <w:left w:val="nil"/>
              <w:bottom w:val="single" w:sz="4" w:space="0" w:color="000000"/>
              <w:right w:val="nil"/>
            </w:tcBorders>
            <w:shd w:val="clear" w:color="auto" w:fill="auto"/>
            <w:noWrap/>
            <w:vAlign w:val="center"/>
            <w:hideMark/>
          </w:tcPr>
          <w:p w14:paraId="68F7101A"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 xml:space="preserve">Reoxidation </w:t>
            </w:r>
          </w:p>
        </w:tc>
        <w:tc>
          <w:tcPr>
            <w:tcW w:w="1424" w:type="dxa"/>
            <w:vMerge w:val="restart"/>
            <w:tcBorders>
              <w:top w:val="nil"/>
              <w:left w:val="nil"/>
              <w:bottom w:val="single" w:sz="4" w:space="0" w:color="000000"/>
              <w:right w:val="nil"/>
            </w:tcBorders>
            <w:shd w:val="clear" w:color="auto" w:fill="auto"/>
            <w:vAlign w:val="center"/>
            <w:hideMark/>
          </w:tcPr>
          <w:p w14:paraId="69319F9E"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Injection &amp; Periodic Extraction</w:t>
            </w:r>
          </w:p>
        </w:tc>
        <w:tc>
          <w:tcPr>
            <w:tcW w:w="1023" w:type="dxa"/>
            <w:vMerge w:val="restart"/>
            <w:tcBorders>
              <w:top w:val="nil"/>
              <w:left w:val="nil"/>
              <w:bottom w:val="single" w:sz="4" w:space="0" w:color="000000"/>
              <w:right w:val="nil"/>
            </w:tcBorders>
            <w:shd w:val="clear" w:color="auto" w:fill="auto"/>
            <w:noWrap/>
            <w:vAlign w:val="center"/>
            <w:hideMark/>
          </w:tcPr>
          <w:p w14:paraId="2FC55900"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139-176</w:t>
            </w:r>
          </w:p>
        </w:tc>
        <w:tc>
          <w:tcPr>
            <w:tcW w:w="1400" w:type="dxa"/>
            <w:vMerge w:val="restart"/>
            <w:tcBorders>
              <w:top w:val="nil"/>
              <w:left w:val="nil"/>
              <w:bottom w:val="single" w:sz="4" w:space="0" w:color="000000"/>
              <w:right w:val="nil"/>
            </w:tcBorders>
            <w:shd w:val="clear" w:color="auto" w:fill="auto"/>
            <w:noWrap/>
            <w:vAlign w:val="center"/>
            <w:hideMark/>
          </w:tcPr>
          <w:p w14:paraId="40F41E5B"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Cluster 1</w:t>
            </w:r>
          </w:p>
        </w:tc>
        <w:tc>
          <w:tcPr>
            <w:tcW w:w="1040" w:type="dxa"/>
            <w:tcBorders>
              <w:top w:val="single" w:sz="4" w:space="0" w:color="auto"/>
              <w:left w:val="nil"/>
              <w:bottom w:val="nil"/>
              <w:right w:val="nil"/>
            </w:tcBorders>
            <w:shd w:val="clear" w:color="auto" w:fill="auto"/>
            <w:noWrap/>
            <w:vAlign w:val="center"/>
            <w:hideMark/>
          </w:tcPr>
          <w:p w14:paraId="703D5C3A"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FW219</w:t>
            </w:r>
          </w:p>
        </w:tc>
        <w:tc>
          <w:tcPr>
            <w:tcW w:w="1613" w:type="dxa"/>
            <w:vMerge w:val="restart"/>
            <w:tcBorders>
              <w:top w:val="nil"/>
              <w:left w:val="nil"/>
              <w:bottom w:val="single" w:sz="4" w:space="0" w:color="000000"/>
              <w:right w:val="nil"/>
            </w:tcBorders>
            <w:shd w:val="clear" w:color="auto" w:fill="auto"/>
            <w:vAlign w:val="center"/>
            <w:hideMark/>
          </w:tcPr>
          <w:p w14:paraId="7D080EBC"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120mM NO</w:t>
            </w:r>
            <w:r w:rsidRPr="00033E11">
              <w:rPr>
                <w:rFonts w:eastAsia="Times New Roman" w:cs="Times New Roman"/>
                <w:szCs w:val="24"/>
                <w:vertAlign w:val="subscript"/>
              </w:rPr>
              <w:t>3</w:t>
            </w:r>
            <w:r w:rsidRPr="00033E11">
              <w:rPr>
                <w:rFonts w:eastAsia="Times New Roman" w:cs="Times New Roman"/>
                <w:szCs w:val="24"/>
                <w:vertAlign w:val="superscript"/>
              </w:rPr>
              <w:t>-</w:t>
            </w:r>
          </w:p>
        </w:tc>
      </w:tr>
      <w:tr w:rsidR="00F20517" w:rsidRPr="00033E11" w14:paraId="73018722" w14:textId="77777777" w:rsidTr="0063330E">
        <w:trPr>
          <w:trHeight w:val="315"/>
          <w:jc w:val="center"/>
        </w:trPr>
        <w:tc>
          <w:tcPr>
            <w:tcW w:w="680" w:type="dxa"/>
            <w:vMerge/>
            <w:tcBorders>
              <w:top w:val="nil"/>
              <w:left w:val="nil"/>
              <w:bottom w:val="single" w:sz="4" w:space="0" w:color="000000"/>
              <w:right w:val="nil"/>
            </w:tcBorders>
            <w:vAlign w:val="center"/>
            <w:hideMark/>
          </w:tcPr>
          <w:p w14:paraId="22B0D7FE" w14:textId="77777777" w:rsidR="00F20517" w:rsidRPr="00033E11" w:rsidRDefault="00F20517" w:rsidP="0063330E">
            <w:pPr>
              <w:spacing w:line="240" w:lineRule="auto"/>
              <w:rPr>
                <w:rFonts w:eastAsia="Times New Roman" w:cs="Times New Roman"/>
                <w:szCs w:val="24"/>
              </w:rPr>
            </w:pPr>
          </w:p>
        </w:tc>
        <w:tc>
          <w:tcPr>
            <w:tcW w:w="1643" w:type="dxa"/>
            <w:vMerge/>
            <w:tcBorders>
              <w:top w:val="nil"/>
              <w:left w:val="nil"/>
              <w:bottom w:val="single" w:sz="4" w:space="0" w:color="000000"/>
              <w:right w:val="nil"/>
            </w:tcBorders>
            <w:vAlign w:val="center"/>
            <w:hideMark/>
          </w:tcPr>
          <w:p w14:paraId="755B0064" w14:textId="77777777" w:rsidR="00F20517" w:rsidRPr="00033E11" w:rsidRDefault="00F20517" w:rsidP="0063330E">
            <w:pPr>
              <w:spacing w:line="240" w:lineRule="auto"/>
              <w:rPr>
                <w:rFonts w:eastAsia="Times New Roman" w:cs="Times New Roman"/>
                <w:szCs w:val="24"/>
              </w:rPr>
            </w:pPr>
          </w:p>
        </w:tc>
        <w:tc>
          <w:tcPr>
            <w:tcW w:w="1424" w:type="dxa"/>
            <w:vMerge/>
            <w:tcBorders>
              <w:top w:val="nil"/>
              <w:left w:val="nil"/>
              <w:bottom w:val="single" w:sz="4" w:space="0" w:color="000000"/>
              <w:right w:val="nil"/>
            </w:tcBorders>
            <w:vAlign w:val="center"/>
            <w:hideMark/>
          </w:tcPr>
          <w:p w14:paraId="3F2AE35B" w14:textId="77777777" w:rsidR="00F20517" w:rsidRPr="00033E11" w:rsidRDefault="00F20517" w:rsidP="0063330E">
            <w:pPr>
              <w:spacing w:line="240" w:lineRule="auto"/>
              <w:rPr>
                <w:rFonts w:eastAsia="Times New Roman" w:cs="Times New Roman"/>
                <w:szCs w:val="24"/>
              </w:rPr>
            </w:pPr>
          </w:p>
        </w:tc>
        <w:tc>
          <w:tcPr>
            <w:tcW w:w="1023" w:type="dxa"/>
            <w:vMerge/>
            <w:tcBorders>
              <w:top w:val="nil"/>
              <w:left w:val="nil"/>
              <w:bottom w:val="single" w:sz="4" w:space="0" w:color="000000"/>
              <w:right w:val="nil"/>
            </w:tcBorders>
            <w:vAlign w:val="center"/>
            <w:hideMark/>
          </w:tcPr>
          <w:p w14:paraId="6B60EA9B" w14:textId="77777777" w:rsidR="00F20517" w:rsidRPr="00033E11" w:rsidRDefault="00F20517" w:rsidP="0063330E">
            <w:pPr>
              <w:spacing w:line="240" w:lineRule="auto"/>
              <w:rPr>
                <w:rFonts w:eastAsia="Times New Roman" w:cs="Times New Roman"/>
                <w:szCs w:val="24"/>
              </w:rPr>
            </w:pPr>
          </w:p>
        </w:tc>
        <w:tc>
          <w:tcPr>
            <w:tcW w:w="1400" w:type="dxa"/>
            <w:vMerge/>
            <w:tcBorders>
              <w:top w:val="nil"/>
              <w:left w:val="nil"/>
              <w:bottom w:val="single" w:sz="4" w:space="0" w:color="000000"/>
              <w:right w:val="nil"/>
            </w:tcBorders>
            <w:vAlign w:val="center"/>
            <w:hideMark/>
          </w:tcPr>
          <w:p w14:paraId="00152044" w14:textId="77777777" w:rsidR="00F20517" w:rsidRPr="00033E11" w:rsidRDefault="00F20517" w:rsidP="0063330E">
            <w:pPr>
              <w:spacing w:line="240" w:lineRule="auto"/>
              <w:rPr>
                <w:rFonts w:eastAsia="Times New Roman" w:cs="Times New Roman"/>
                <w:szCs w:val="24"/>
              </w:rPr>
            </w:pPr>
          </w:p>
        </w:tc>
        <w:tc>
          <w:tcPr>
            <w:tcW w:w="1040" w:type="dxa"/>
            <w:tcBorders>
              <w:top w:val="nil"/>
              <w:left w:val="nil"/>
              <w:bottom w:val="nil"/>
              <w:right w:val="nil"/>
            </w:tcBorders>
            <w:shd w:val="clear" w:color="auto" w:fill="auto"/>
            <w:noWrap/>
            <w:vAlign w:val="center"/>
            <w:hideMark/>
          </w:tcPr>
          <w:p w14:paraId="4583902B"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FW220</w:t>
            </w:r>
          </w:p>
        </w:tc>
        <w:tc>
          <w:tcPr>
            <w:tcW w:w="1613" w:type="dxa"/>
            <w:vMerge/>
            <w:tcBorders>
              <w:top w:val="nil"/>
              <w:left w:val="nil"/>
              <w:bottom w:val="single" w:sz="4" w:space="0" w:color="000000"/>
              <w:right w:val="nil"/>
            </w:tcBorders>
            <w:vAlign w:val="center"/>
            <w:hideMark/>
          </w:tcPr>
          <w:p w14:paraId="633E95B1" w14:textId="77777777" w:rsidR="00F20517" w:rsidRPr="00033E11" w:rsidRDefault="00F20517" w:rsidP="0063330E">
            <w:pPr>
              <w:spacing w:line="240" w:lineRule="auto"/>
              <w:rPr>
                <w:rFonts w:eastAsia="Times New Roman" w:cs="Times New Roman"/>
                <w:szCs w:val="24"/>
              </w:rPr>
            </w:pPr>
          </w:p>
        </w:tc>
      </w:tr>
      <w:tr w:rsidR="00F20517" w:rsidRPr="00033E11" w14:paraId="5BA8B7BD" w14:textId="77777777" w:rsidTr="0063330E">
        <w:trPr>
          <w:trHeight w:val="315"/>
          <w:jc w:val="center"/>
        </w:trPr>
        <w:tc>
          <w:tcPr>
            <w:tcW w:w="680" w:type="dxa"/>
            <w:vMerge/>
            <w:tcBorders>
              <w:top w:val="nil"/>
              <w:left w:val="nil"/>
              <w:bottom w:val="single" w:sz="4" w:space="0" w:color="000000"/>
              <w:right w:val="nil"/>
            </w:tcBorders>
            <w:vAlign w:val="center"/>
            <w:hideMark/>
          </w:tcPr>
          <w:p w14:paraId="1CAA0968" w14:textId="77777777" w:rsidR="00F20517" w:rsidRPr="00033E11" w:rsidRDefault="00F20517" w:rsidP="0063330E">
            <w:pPr>
              <w:spacing w:line="240" w:lineRule="auto"/>
              <w:rPr>
                <w:rFonts w:eastAsia="Times New Roman" w:cs="Times New Roman"/>
                <w:szCs w:val="24"/>
              </w:rPr>
            </w:pPr>
          </w:p>
        </w:tc>
        <w:tc>
          <w:tcPr>
            <w:tcW w:w="1643" w:type="dxa"/>
            <w:vMerge/>
            <w:tcBorders>
              <w:top w:val="nil"/>
              <w:left w:val="nil"/>
              <w:bottom w:val="single" w:sz="4" w:space="0" w:color="000000"/>
              <w:right w:val="nil"/>
            </w:tcBorders>
            <w:vAlign w:val="center"/>
            <w:hideMark/>
          </w:tcPr>
          <w:p w14:paraId="42379D8B" w14:textId="77777777" w:rsidR="00F20517" w:rsidRPr="00033E11" w:rsidRDefault="00F20517" w:rsidP="0063330E">
            <w:pPr>
              <w:spacing w:line="240" w:lineRule="auto"/>
              <w:rPr>
                <w:rFonts w:eastAsia="Times New Roman" w:cs="Times New Roman"/>
                <w:szCs w:val="24"/>
              </w:rPr>
            </w:pPr>
          </w:p>
        </w:tc>
        <w:tc>
          <w:tcPr>
            <w:tcW w:w="1424" w:type="dxa"/>
            <w:vMerge/>
            <w:tcBorders>
              <w:top w:val="nil"/>
              <w:left w:val="nil"/>
              <w:bottom w:val="single" w:sz="4" w:space="0" w:color="000000"/>
              <w:right w:val="nil"/>
            </w:tcBorders>
            <w:vAlign w:val="center"/>
            <w:hideMark/>
          </w:tcPr>
          <w:p w14:paraId="6AA3B143" w14:textId="77777777" w:rsidR="00F20517" w:rsidRPr="00033E11" w:rsidRDefault="00F20517" w:rsidP="0063330E">
            <w:pPr>
              <w:spacing w:line="240" w:lineRule="auto"/>
              <w:rPr>
                <w:rFonts w:eastAsia="Times New Roman" w:cs="Times New Roman"/>
                <w:szCs w:val="24"/>
              </w:rPr>
            </w:pPr>
          </w:p>
        </w:tc>
        <w:tc>
          <w:tcPr>
            <w:tcW w:w="1023" w:type="dxa"/>
            <w:vMerge/>
            <w:tcBorders>
              <w:top w:val="nil"/>
              <w:left w:val="nil"/>
              <w:bottom w:val="single" w:sz="4" w:space="0" w:color="000000"/>
              <w:right w:val="nil"/>
            </w:tcBorders>
            <w:vAlign w:val="center"/>
            <w:hideMark/>
          </w:tcPr>
          <w:p w14:paraId="24D45A64" w14:textId="77777777" w:rsidR="00F20517" w:rsidRPr="00033E11" w:rsidRDefault="00F20517" w:rsidP="0063330E">
            <w:pPr>
              <w:spacing w:line="240" w:lineRule="auto"/>
              <w:rPr>
                <w:rFonts w:eastAsia="Times New Roman" w:cs="Times New Roman"/>
                <w:szCs w:val="24"/>
              </w:rPr>
            </w:pPr>
          </w:p>
        </w:tc>
        <w:tc>
          <w:tcPr>
            <w:tcW w:w="1400" w:type="dxa"/>
            <w:vMerge/>
            <w:tcBorders>
              <w:top w:val="nil"/>
              <w:left w:val="nil"/>
              <w:bottom w:val="single" w:sz="4" w:space="0" w:color="000000"/>
              <w:right w:val="nil"/>
            </w:tcBorders>
            <w:vAlign w:val="center"/>
            <w:hideMark/>
          </w:tcPr>
          <w:p w14:paraId="019C7C42" w14:textId="77777777" w:rsidR="00F20517" w:rsidRPr="00033E11" w:rsidRDefault="00F20517" w:rsidP="0063330E">
            <w:pPr>
              <w:spacing w:line="240" w:lineRule="auto"/>
              <w:rPr>
                <w:rFonts w:eastAsia="Times New Roman" w:cs="Times New Roman"/>
                <w:szCs w:val="24"/>
              </w:rPr>
            </w:pPr>
          </w:p>
        </w:tc>
        <w:tc>
          <w:tcPr>
            <w:tcW w:w="1040" w:type="dxa"/>
            <w:tcBorders>
              <w:top w:val="nil"/>
              <w:left w:val="nil"/>
              <w:bottom w:val="single" w:sz="4" w:space="0" w:color="auto"/>
              <w:right w:val="nil"/>
            </w:tcBorders>
            <w:shd w:val="clear" w:color="auto" w:fill="auto"/>
            <w:noWrap/>
            <w:vAlign w:val="center"/>
            <w:hideMark/>
          </w:tcPr>
          <w:p w14:paraId="6B579FDA"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FW225</w:t>
            </w:r>
          </w:p>
        </w:tc>
        <w:tc>
          <w:tcPr>
            <w:tcW w:w="1613" w:type="dxa"/>
            <w:vMerge/>
            <w:tcBorders>
              <w:top w:val="nil"/>
              <w:left w:val="nil"/>
              <w:bottom w:val="single" w:sz="4" w:space="0" w:color="000000"/>
              <w:right w:val="nil"/>
            </w:tcBorders>
            <w:vAlign w:val="center"/>
            <w:hideMark/>
          </w:tcPr>
          <w:p w14:paraId="1B9C7106" w14:textId="77777777" w:rsidR="00F20517" w:rsidRPr="00033E11" w:rsidRDefault="00F20517" w:rsidP="0063330E">
            <w:pPr>
              <w:spacing w:line="240" w:lineRule="auto"/>
              <w:rPr>
                <w:rFonts w:eastAsia="Times New Roman" w:cs="Times New Roman"/>
                <w:szCs w:val="24"/>
              </w:rPr>
            </w:pPr>
          </w:p>
        </w:tc>
      </w:tr>
      <w:tr w:rsidR="00F20517" w:rsidRPr="00033E11" w14:paraId="234440E5" w14:textId="77777777" w:rsidTr="0063330E">
        <w:trPr>
          <w:trHeight w:val="315"/>
          <w:jc w:val="center"/>
        </w:trPr>
        <w:tc>
          <w:tcPr>
            <w:tcW w:w="680" w:type="dxa"/>
            <w:vMerge w:val="restart"/>
            <w:tcBorders>
              <w:top w:val="nil"/>
              <w:left w:val="nil"/>
              <w:bottom w:val="single" w:sz="4" w:space="0" w:color="000000"/>
              <w:right w:val="nil"/>
            </w:tcBorders>
            <w:shd w:val="clear" w:color="auto" w:fill="auto"/>
            <w:noWrap/>
            <w:vAlign w:val="center"/>
            <w:hideMark/>
          </w:tcPr>
          <w:p w14:paraId="729DAF37"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4</w:t>
            </w:r>
          </w:p>
        </w:tc>
        <w:tc>
          <w:tcPr>
            <w:tcW w:w="1643" w:type="dxa"/>
            <w:vMerge w:val="restart"/>
            <w:tcBorders>
              <w:top w:val="nil"/>
              <w:left w:val="nil"/>
              <w:bottom w:val="single" w:sz="4" w:space="0" w:color="000000"/>
              <w:right w:val="nil"/>
            </w:tcBorders>
            <w:shd w:val="clear" w:color="auto" w:fill="auto"/>
            <w:noWrap/>
            <w:vAlign w:val="center"/>
            <w:hideMark/>
          </w:tcPr>
          <w:p w14:paraId="2657BDDA"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 xml:space="preserve">Reoxidation </w:t>
            </w:r>
          </w:p>
        </w:tc>
        <w:tc>
          <w:tcPr>
            <w:tcW w:w="1424" w:type="dxa"/>
            <w:vMerge w:val="restart"/>
            <w:tcBorders>
              <w:top w:val="nil"/>
              <w:left w:val="nil"/>
              <w:bottom w:val="single" w:sz="4" w:space="0" w:color="000000"/>
              <w:right w:val="nil"/>
            </w:tcBorders>
            <w:shd w:val="clear" w:color="auto" w:fill="auto"/>
            <w:vAlign w:val="center"/>
            <w:hideMark/>
          </w:tcPr>
          <w:p w14:paraId="0F1B2B31"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Injection &amp; Periodic Extraction</w:t>
            </w:r>
          </w:p>
        </w:tc>
        <w:tc>
          <w:tcPr>
            <w:tcW w:w="1023" w:type="dxa"/>
            <w:vMerge w:val="restart"/>
            <w:tcBorders>
              <w:top w:val="nil"/>
              <w:left w:val="nil"/>
              <w:bottom w:val="single" w:sz="4" w:space="0" w:color="000000"/>
              <w:right w:val="nil"/>
            </w:tcBorders>
            <w:shd w:val="clear" w:color="auto" w:fill="auto"/>
            <w:noWrap/>
            <w:vAlign w:val="center"/>
            <w:hideMark/>
          </w:tcPr>
          <w:p w14:paraId="2054A5DC"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139-176</w:t>
            </w:r>
          </w:p>
        </w:tc>
        <w:tc>
          <w:tcPr>
            <w:tcW w:w="1400" w:type="dxa"/>
            <w:vMerge w:val="restart"/>
            <w:tcBorders>
              <w:top w:val="nil"/>
              <w:left w:val="nil"/>
              <w:bottom w:val="single" w:sz="4" w:space="0" w:color="000000"/>
              <w:right w:val="nil"/>
            </w:tcBorders>
            <w:shd w:val="clear" w:color="auto" w:fill="auto"/>
            <w:noWrap/>
            <w:vAlign w:val="center"/>
            <w:hideMark/>
          </w:tcPr>
          <w:p w14:paraId="6A6B9F18"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Cluster 2</w:t>
            </w:r>
          </w:p>
        </w:tc>
        <w:tc>
          <w:tcPr>
            <w:tcW w:w="1040" w:type="dxa"/>
            <w:tcBorders>
              <w:top w:val="nil"/>
              <w:left w:val="nil"/>
              <w:bottom w:val="nil"/>
              <w:right w:val="nil"/>
            </w:tcBorders>
            <w:shd w:val="clear" w:color="auto" w:fill="auto"/>
            <w:noWrap/>
            <w:vAlign w:val="center"/>
            <w:hideMark/>
          </w:tcPr>
          <w:p w14:paraId="3DC34212"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FW218</w:t>
            </w:r>
          </w:p>
        </w:tc>
        <w:tc>
          <w:tcPr>
            <w:tcW w:w="1613" w:type="dxa"/>
            <w:vMerge w:val="restart"/>
            <w:tcBorders>
              <w:top w:val="nil"/>
              <w:left w:val="nil"/>
              <w:bottom w:val="single" w:sz="4" w:space="0" w:color="000000"/>
              <w:right w:val="nil"/>
            </w:tcBorders>
            <w:shd w:val="clear" w:color="auto" w:fill="auto"/>
            <w:vAlign w:val="center"/>
            <w:hideMark/>
          </w:tcPr>
          <w:p w14:paraId="06CA8B07"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30mM EtOH, 120mM NO</w:t>
            </w:r>
            <w:r w:rsidRPr="00033E11">
              <w:rPr>
                <w:rFonts w:eastAsia="Times New Roman" w:cs="Times New Roman"/>
                <w:szCs w:val="24"/>
                <w:vertAlign w:val="subscript"/>
              </w:rPr>
              <w:t>3</w:t>
            </w:r>
            <w:r w:rsidRPr="00033E11">
              <w:rPr>
                <w:rFonts w:eastAsia="Times New Roman" w:cs="Times New Roman"/>
                <w:szCs w:val="24"/>
                <w:vertAlign w:val="superscript"/>
              </w:rPr>
              <w:t>-</w:t>
            </w:r>
          </w:p>
        </w:tc>
      </w:tr>
      <w:tr w:rsidR="00F20517" w:rsidRPr="00033E11" w14:paraId="15F20F84" w14:textId="77777777" w:rsidTr="0063330E">
        <w:trPr>
          <w:trHeight w:val="315"/>
          <w:jc w:val="center"/>
        </w:trPr>
        <w:tc>
          <w:tcPr>
            <w:tcW w:w="680" w:type="dxa"/>
            <w:vMerge/>
            <w:tcBorders>
              <w:top w:val="nil"/>
              <w:left w:val="nil"/>
              <w:bottom w:val="single" w:sz="4" w:space="0" w:color="000000"/>
              <w:right w:val="nil"/>
            </w:tcBorders>
            <w:vAlign w:val="center"/>
            <w:hideMark/>
          </w:tcPr>
          <w:p w14:paraId="0C7A5142" w14:textId="77777777" w:rsidR="00F20517" w:rsidRPr="00033E11" w:rsidRDefault="00F20517" w:rsidP="0063330E">
            <w:pPr>
              <w:spacing w:line="240" w:lineRule="auto"/>
              <w:rPr>
                <w:rFonts w:eastAsia="Times New Roman" w:cs="Times New Roman"/>
                <w:szCs w:val="24"/>
              </w:rPr>
            </w:pPr>
          </w:p>
        </w:tc>
        <w:tc>
          <w:tcPr>
            <w:tcW w:w="1643" w:type="dxa"/>
            <w:vMerge/>
            <w:tcBorders>
              <w:top w:val="nil"/>
              <w:left w:val="nil"/>
              <w:bottom w:val="single" w:sz="4" w:space="0" w:color="000000"/>
              <w:right w:val="nil"/>
            </w:tcBorders>
            <w:vAlign w:val="center"/>
            <w:hideMark/>
          </w:tcPr>
          <w:p w14:paraId="4B8C1011" w14:textId="77777777" w:rsidR="00F20517" w:rsidRPr="00033E11" w:rsidRDefault="00F20517" w:rsidP="0063330E">
            <w:pPr>
              <w:spacing w:line="240" w:lineRule="auto"/>
              <w:rPr>
                <w:rFonts w:eastAsia="Times New Roman" w:cs="Times New Roman"/>
                <w:szCs w:val="24"/>
              </w:rPr>
            </w:pPr>
          </w:p>
        </w:tc>
        <w:tc>
          <w:tcPr>
            <w:tcW w:w="1424" w:type="dxa"/>
            <w:vMerge/>
            <w:tcBorders>
              <w:top w:val="nil"/>
              <w:left w:val="nil"/>
              <w:bottom w:val="single" w:sz="4" w:space="0" w:color="000000"/>
              <w:right w:val="nil"/>
            </w:tcBorders>
            <w:vAlign w:val="center"/>
            <w:hideMark/>
          </w:tcPr>
          <w:p w14:paraId="575133C4" w14:textId="77777777" w:rsidR="00F20517" w:rsidRPr="00033E11" w:rsidRDefault="00F20517" w:rsidP="0063330E">
            <w:pPr>
              <w:spacing w:line="240" w:lineRule="auto"/>
              <w:rPr>
                <w:rFonts w:eastAsia="Times New Roman" w:cs="Times New Roman"/>
                <w:szCs w:val="24"/>
              </w:rPr>
            </w:pPr>
          </w:p>
        </w:tc>
        <w:tc>
          <w:tcPr>
            <w:tcW w:w="1023" w:type="dxa"/>
            <w:vMerge/>
            <w:tcBorders>
              <w:top w:val="nil"/>
              <w:left w:val="nil"/>
              <w:bottom w:val="single" w:sz="4" w:space="0" w:color="000000"/>
              <w:right w:val="nil"/>
            </w:tcBorders>
            <w:vAlign w:val="center"/>
            <w:hideMark/>
          </w:tcPr>
          <w:p w14:paraId="613BCD01" w14:textId="77777777" w:rsidR="00F20517" w:rsidRPr="00033E11" w:rsidRDefault="00F20517" w:rsidP="0063330E">
            <w:pPr>
              <w:spacing w:line="240" w:lineRule="auto"/>
              <w:rPr>
                <w:rFonts w:eastAsia="Times New Roman" w:cs="Times New Roman"/>
                <w:szCs w:val="24"/>
              </w:rPr>
            </w:pPr>
          </w:p>
        </w:tc>
        <w:tc>
          <w:tcPr>
            <w:tcW w:w="1400" w:type="dxa"/>
            <w:vMerge/>
            <w:tcBorders>
              <w:top w:val="nil"/>
              <w:left w:val="nil"/>
              <w:bottom w:val="single" w:sz="4" w:space="0" w:color="000000"/>
              <w:right w:val="nil"/>
            </w:tcBorders>
            <w:vAlign w:val="center"/>
            <w:hideMark/>
          </w:tcPr>
          <w:p w14:paraId="4E34814B" w14:textId="77777777" w:rsidR="00F20517" w:rsidRPr="00033E11" w:rsidRDefault="00F20517" w:rsidP="0063330E">
            <w:pPr>
              <w:spacing w:line="240" w:lineRule="auto"/>
              <w:rPr>
                <w:rFonts w:eastAsia="Times New Roman" w:cs="Times New Roman"/>
                <w:szCs w:val="24"/>
              </w:rPr>
            </w:pPr>
          </w:p>
        </w:tc>
        <w:tc>
          <w:tcPr>
            <w:tcW w:w="1040" w:type="dxa"/>
            <w:tcBorders>
              <w:top w:val="nil"/>
              <w:left w:val="nil"/>
              <w:bottom w:val="nil"/>
              <w:right w:val="nil"/>
            </w:tcBorders>
            <w:shd w:val="clear" w:color="auto" w:fill="auto"/>
            <w:noWrap/>
            <w:vAlign w:val="center"/>
            <w:hideMark/>
          </w:tcPr>
          <w:p w14:paraId="4F510398"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FW226</w:t>
            </w:r>
          </w:p>
        </w:tc>
        <w:tc>
          <w:tcPr>
            <w:tcW w:w="1613" w:type="dxa"/>
            <w:vMerge/>
            <w:tcBorders>
              <w:top w:val="nil"/>
              <w:left w:val="nil"/>
              <w:bottom w:val="single" w:sz="4" w:space="0" w:color="000000"/>
              <w:right w:val="nil"/>
            </w:tcBorders>
            <w:vAlign w:val="center"/>
            <w:hideMark/>
          </w:tcPr>
          <w:p w14:paraId="7203C6E4" w14:textId="77777777" w:rsidR="00F20517" w:rsidRPr="00033E11" w:rsidRDefault="00F20517" w:rsidP="0063330E">
            <w:pPr>
              <w:spacing w:line="240" w:lineRule="auto"/>
              <w:rPr>
                <w:rFonts w:eastAsia="Times New Roman" w:cs="Times New Roman"/>
                <w:szCs w:val="24"/>
              </w:rPr>
            </w:pPr>
          </w:p>
        </w:tc>
      </w:tr>
      <w:tr w:rsidR="00F20517" w:rsidRPr="00033E11" w14:paraId="08FF886B" w14:textId="77777777" w:rsidTr="0063330E">
        <w:trPr>
          <w:trHeight w:val="315"/>
          <w:jc w:val="center"/>
        </w:trPr>
        <w:tc>
          <w:tcPr>
            <w:tcW w:w="680" w:type="dxa"/>
            <w:vMerge/>
            <w:tcBorders>
              <w:top w:val="nil"/>
              <w:left w:val="nil"/>
              <w:bottom w:val="single" w:sz="4" w:space="0" w:color="000000"/>
              <w:right w:val="nil"/>
            </w:tcBorders>
            <w:vAlign w:val="center"/>
            <w:hideMark/>
          </w:tcPr>
          <w:p w14:paraId="024A0A02" w14:textId="77777777" w:rsidR="00F20517" w:rsidRPr="00033E11" w:rsidRDefault="00F20517" w:rsidP="0063330E">
            <w:pPr>
              <w:spacing w:line="240" w:lineRule="auto"/>
              <w:rPr>
                <w:rFonts w:eastAsia="Times New Roman" w:cs="Times New Roman"/>
                <w:szCs w:val="24"/>
              </w:rPr>
            </w:pPr>
          </w:p>
        </w:tc>
        <w:tc>
          <w:tcPr>
            <w:tcW w:w="1643" w:type="dxa"/>
            <w:vMerge/>
            <w:tcBorders>
              <w:top w:val="nil"/>
              <w:left w:val="nil"/>
              <w:bottom w:val="single" w:sz="4" w:space="0" w:color="000000"/>
              <w:right w:val="nil"/>
            </w:tcBorders>
            <w:vAlign w:val="center"/>
            <w:hideMark/>
          </w:tcPr>
          <w:p w14:paraId="6D6E940A" w14:textId="77777777" w:rsidR="00F20517" w:rsidRPr="00033E11" w:rsidRDefault="00F20517" w:rsidP="0063330E">
            <w:pPr>
              <w:spacing w:line="240" w:lineRule="auto"/>
              <w:rPr>
                <w:rFonts w:eastAsia="Times New Roman" w:cs="Times New Roman"/>
                <w:szCs w:val="24"/>
              </w:rPr>
            </w:pPr>
          </w:p>
        </w:tc>
        <w:tc>
          <w:tcPr>
            <w:tcW w:w="1424" w:type="dxa"/>
            <w:vMerge/>
            <w:tcBorders>
              <w:top w:val="nil"/>
              <w:left w:val="nil"/>
              <w:bottom w:val="single" w:sz="4" w:space="0" w:color="000000"/>
              <w:right w:val="nil"/>
            </w:tcBorders>
            <w:vAlign w:val="center"/>
            <w:hideMark/>
          </w:tcPr>
          <w:p w14:paraId="46322F02" w14:textId="77777777" w:rsidR="00F20517" w:rsidRPr="00033E11" w:rsidRDefault="00F20517" w:rsidP="0063330E">
            <w:pPr>
              <w:spacing w:line="240" w:lineRule="auto"/>
              <w:rPr>
                <w:rFonts w:eastAsia="Times New Roman" w:cs="Times New Roman"/>
                <w:szCs w:val="24"/>
              </w:rPr>
            </w:pPr>
          </w:p>
        </w:tc>
        <w:tc>
          <w:tcPr>
            <w:tcW w:w="1023" w:type="dxa"/>
            <w:vMerge/>
            <w:tcBorders>
              <w:top w:val="nil"/>
              <w:left w:val="nil"/>
              <w:bottom w:val="single" w:sz="4" w:space="0" w:color="000000"/>
              <w:right w:val="nil"/>
            </w:tcBorders>
            <w:vAlign w:val="center"/>
            <w:hideMark/>
          </w:tcPr>
          <w:p w14:paraId="0E42355F" w14:textId="77777777" w:rsidR="00F20517" w:rsidRPr="00033E11" w:rsidRDefault="00F20517" w:rsidP="0063330E">
            <w:pPr>
              <w:spacing w:line="240" w:lineRule="auto"/>
              <w:rPr>
                <w:rFonts w:eastAsia="Times New Roman" w:cs="Times New Roman"/>
                <w:szCs w:val="24"/>
              </w:rPr>
            </w:pPr>
          </w:p>
        </w:tc>
        <w:tc>
          <w:tcPr>
            <w:tcW w:w="1400" w:type="dxa"/>
            <w:vMerge/>
            <w:tcBorders>
              <w:top w:val="nil"/>
              <w:left w:val="nil"/>
              <w:bottom w:val="single" w:sz="4" w:space="0" w:color="000000"/>
              <w:right w:val="nil"/>
            </w:tcBorders>
            <w:vAlign w:val="center"/>
            <w:hideMark/>
          </w:tcPr>
          <w:p w14:paraId="1D064898" w14:textId="77777777" w:rsidR="00F20517" w:rsidRPr="00033E11" w:rsidRDefault="00F20517" w:rsidP="0063330E">
            <w:pPr>
              <w:spacing w:line="240" w:lineRule="auto"/>
              <w:rPr>
                <w:rFonts w:eastAsia="Times New Roman" w:cs="Times New Roman"/>
                <w:szCs w:val="24"/>
              </w:rPr>
            </w:pPr>
          </w:p>
        </w:tc>
        <w:tc>
          <w:tcPr>
            <w:tcW w:w="1040" w:type="dxa"/>
            <w:tcBorders>
              <w:top w:val="nil"/>
              <w:left w:val="nil"/>
              <w:bottom w:val="single" w:sz="4" w:space="0" w:color="auto"/>
              <w:right w:val="nil"/>
            </w:tcBorders>
            <w:shd w:val="clear" w:color="auto" w:fill="auto"/>
            <w:noWrap/>
            <w:vAlign w:val="center"/>
            <w:hideMark/>
          </w:tcPr>
          <w:p w14:paraId="151BA2D9"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FW227</w:t>
            </w:r>
          </w:p>
        </w:tc>
        <w:tc>
          <w:tcPr>
            <w:tcW w:w="1613" w:type="dxa"/>
            <w:vMerge/>
            <w:tcBorders>
              <w:top w:val="nil"/>
              <w:left w:val="nil"/>
              <w:bottom w:val="single" w:sz="4" w:space="0" w:color="000000"/>
              <w:right w:val="nil"/>
            </w:tcBorders>
            <w:vAlign w:val="center"/>
            <w:hideMark/>
          </w:tcPr>
          <w:p w14:paraId="60431813" w14:textId="77777777" w:rsidR="00F20517" w:rsidRPr="00033E11" w:rsidRDefault="00F20517" w:rsidP="0063330E">
            <w:pPr>
              <w:spacing w:line="240" w:lineRule="auto"/>
              <w:rPr>
                <w:rFonts w:eastAsia="Times New Roman" w:cs="Times New Roman"/>
                <w:szCs w:val="24"/>
              </w:rPr>
            </w:pPr>
          </w:p>
        </w:tc>
      </w:tr>
      <w:tr w:rsidR="00F20517" w:rsidRPr="00033E11" w14:paraId="667EADDB" w14:textId="77777777" w:rsidTr="0063330E">
        <w:trPr>
          <w:trHeight w:val="315"/>
          <w:jc w:val="center"/>
        </w:trPr>
        <w:tc>
          <w:tcPr>
            <w:tcW w:w="680" w:type="dxa"/>
            <w:vMerge w:val="restart"/>
            <w:tcBorders>
              <w:top w:val="nil"/>
              <w:left w:val="nil"/>
              <w:bottom w:val="single" w:sz="4" w:space="0" w:color="000000"/>
              <w:right w:val="nil"/>
            </w:tcBorders>
            <w:shd w:val="clear" w:color="auto" w:fill="auto"/>
            <w:noWrap/>
            <w:vAlign w:val="center"/>
            <w:hideMark/>
          </w:tcPr>
          <w:p w14:paraId="4E21197B"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4</w:t>
            </w:r>
          </w:p>
        </w:tc>
        <w:tc>
          <w:tcPr>
            <w:tcW w:w="1643" w:type="dxa"/>
            <w:vMerge w:val="restart"/>
            <w:tcBorders>
              <w:top w:val="nil"/>
              <w:left w:val="nil"/>
              <w:bottom w:val="single" w:sz="4" w:space="0" w:color="000000"/>
              <w:right w:val="nil"/>
            </w:tcBorders>
            <w:shd w:val="clear" w:color="auto" w:fill="auto"/>
            <w:noWrap/>
            <w:vAlign w:val="center"/>
            <w:hideMark/>
          </w:tcPr>
          <w:p w14:paraId="66DB6EC1"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 xml:space="preserve">Reoxidation </w:t>
            </w:r>
          </w:p>
        </w:tc>
        <w:tc>
          <w:tcPr>
            <w:tcW w:w="1424" w:type="dxa"/>
            <w:vMerge w:val="restart"/>
            <w:tcBorders>
              <w:top w:val="nil"/>
              <w:left w:val="nil"/>
              <w:bottom w:val="single" w:sz="4" w:space="0" w:color="000000"/>
              <w:right w:val="nil"/>
            </w:tcBorders>
            <w:shd w:val="clear" w:color="auto" w:fill="auto"/>
            <w:vAlign w:val="center"/>
            <w:hideMark/>
          </w:tcPr>
          <w:p w14:paraId="0B34D19C"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Injection &amp; Periodic Extraction</w:t>
            </w:r>
          </w:p>
        </w:tc>
        <w:tc>
          <w:tcPr>
            <w:tcW w:w="1023" w:type="dxa"/>
            <w:vMerge w:val="restart"/>
            <w:tcBorders>
              <w:top w:val="nil"/>
              <w:left w:val="nil"/>
              <w:bottom w:val="single" w:sz="4" w:space="0" w:color="000000"/>
              <w:right w:val="nil"/>
            </w:tcBorders>
            <w:shd w:val="clear" w:color="auto" w:fill="auto"/>
            <w:noWrap/>
            <w:vAlign w:val="center"/>
            <w:hideMark/>
          </w:tcPr>
          <w:p w14:paraId="045A0BF1"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139-176</w:t>
            </w:r>
          </w:p>
        </w:tc>
        <w:tc>
          <w:tcPr>
            <w:tcW w:w="1400" w:type="dxa"/>
            <w:vMerge w:val="restart"/>
            <w:tcBorders>
              <w:top w:val="nil"/>
              <w:left w:val="nil"/>
              <w:bottom w:val="single" w:sz="4" w:space="0" w:color="000000"/>
              <w:right w:val="nil"/>
            </w:tcBorders>
            <w:shd w:val="clear" w:color="auto" w:fill="auto"/>
            <w:noWrap/>
            <w:vAlign w:val="center"/>
            <w:hideMark/>
          </w:tcPr>
          <w:p w14:paraId="0D88CDDB"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Cluster 3</w:t>
            </w:r>
          </w:p>
        </w:tc>
        <w:tc>
          <w:tcPr>
            <w:tcW w:w="1040" w:type="dxa"/>
            <w:tcBorders>
              <w:top w:val="nil"/>
              <w:left w:val="nil"/>
              <w:bottom w:val="nil"/>
              <w:right w:val="nil"/>
            </w:tcBorders>
            <w:shd w:val="clear" w:color="auto" w:fill="auto"/>
            <w:noWrap/>
            <w:vAlign w:val="center"/>
            <w:hideMark/>
          </w:tcPr>
          <w:p w14:paraId="544E11F7"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FW221</w:t>
            </w:r>
          </w:p>
        </w:tc>
        <w:tc>
          <w:tcPr>
            <w:tcW w:w="1613" w:type="dxa"/>
            <w:vMerge w:val="restart"/>
            <w:tcBorders>
              <w:top w:val="nil"/>
              <w:left w:val="nil"/>
              <w:bottom w:val="single" w:sz="4" w:space="0" w:color="000000"/>
              <w:right w:val="nil"/>
            </w:tcBorders>
            <w:shd w:val="clear" w:color="auto" w:fill="auto"/>
            <w:vAlign w:val="center"/>
            <w:hideMark/>
          </w:tcPr>
          <w:p w14:paraId="52140E8A"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30mM EtOH, 2mM NO</w:t>
            </w:r>
            <w:r w:rsidRPr="00033E11">
              <w:rPr>
                <w:rFonts w:eastAsia="Times New Roman" w:cs="Times New Roman"/>
                <w:szCs w:val="24"/>
                <w:vertAlign w:val="subscript"/>
              </w:rPr>
              <w:t>3</w:t>
            </w:r>
            <w:r w:rsidRPr="00033E11">
              <w:rPr>
                <w:rFonts w:eastAsia="Times New Roman" w:cs="Times New Roman"/>
                <w:szCs w:val="24"/>
                <w:vertAlign w:val="superscript"/>
              </w:rPr>
              <w:t>-</w:t>
            </w:r>
          </w:p>
        </w:tc>
      </w:tr>
      <w:tr w:rsidR="00F20517" w:rsidRPr="00033E11" w14:paraId="78758329" w14:textId="77777777" w:rsidTr="0063330E">
        <w:trPr>
          <w:trHeight w:val="315"/>
          <w:jc w:val="center"/>
        </w:trPr>
        <w:tc>
          <w:tcPr>
            <w:tcW w:w="680" w:type="dxa"/>
            <w:vMerge/>
            <w:tcBorders>
              <w:top w:val="nil"/>
              <w:left w:val="nil"/>
              <w:bottom w:val="single" w:sz="4" w:space="0" w:color="000000"/>
              <w:right w:val="nil"/>
            </w:tcBorders>
            <w:vAlign w:val="center"/>
            <w:hideMark/>
          </w:tcPr>
          <w:p w14:paraId="24E08FB7" w14:textId="77777777" w:rsidR="00F20517" w:rsidRPr="00033E11" w:rsidRDefault="00F20517" w:rsidP="0063330E">
            <w:pPr>
              <w:spacing w:line="240" w:lineRule="auto"/>
              <w:rPr>
                <w:rFonts w:eastAsia="Times New Roman" w:cs="Times New Roman"/>
                <w:szCs w:val="24"/>
              </w:rPr>
            </w:pPr>
          </w:p>
        </w:tc>
        <w:tc>
          <w:tcPr>
            <w:tcW w:w="1643" w:type="dxa"/>
            <w:vMerge/>
            <w:tcBorders>
              <w:top w:val="nil"/>
              <w:left w:val="nil"/>
              <w:bottom w:val="single" w:sz="4" w:space="0" w:color="000000"/>
              <w:right w:val="nil"/>
            </w:tcBorders>
            <w:vAlign w:val="center"/>
            <w:hideMark/>
          </w:tcPr>
          <w:p w14:paraId="55F61B33" w14:textId="77777777" w:rsidR="00F20517" w:rsidRPr="00033E11" w:rsidRDefault="00F20517" w:rsidP="0063330E">
            <w:pPr>
              <w:spacing w:line="240" w:lineRule="auto"/>
              <w:rPr>
                <w:rFonts w:eastAsia="Times New Roman" w:cs="Times New Roman"/>
                <w:szCs w:val="24"/>
              </w:rPr>
            </w:pPr>
          </w:p>
        </w:tc>
        <w:tc>
          <w:tcPr>
            <w:tcW w:w="1424" w:type="dxa"/>
            <w:vMerge/>
            <w:tcBorders>
              <w:top w:val="nil"/>
              <w:left w:val="nil"/>
              <w:bottom w:val="single" w:sz="4" w:space="0" w:color="000000"/>
              <w:right w:val="nil"/>
            </w:tcBorders>
            <w:vAlign w:val="center"/>
            <w:hideMark/>
          </w:tcPr>
          <w:p w14:paraId="5D7E4473" w14:textId="77777777" w:rsidR="00F20517" w:rsidRPr="00033E11" w:rsidRDefault="00F20517" w:rsidP="0063330E">
            <w:pPr>
              <w:spacing w:line="240" w:lineRule="auto"/>
              <w:rPr>
                <w:rFonts w:eastAsia="Times New Roman" w:cs="Times New Roman"/>
                <w:szCs w:val="24"/>
              </w:rPr>
            </w:pPr>
          </w:p>
        </w:tc>
        <w:tc>
          <w:tcPr>
            <w:tcW w:w="1023" w:type="dxa"/>
            <w:vMerge/>
            <w:tcBorders>
              <w:top w:val="nil"/>
              <w:left w:val="nil"/>
              <w:bottom w:val="single" w:sz="4" w:space="0" w:color="000000"/>
              <w:right w:val="nil"/>
            </w:tcBorders>
            <w:vAlign w:val="center"/>
            <w:hideMark/>
          </w:tcPr>
          <w:p w14:paraId="5014D036" w14:textId="77777777" w:rsidR="00F20517" w:rsidRPr="00033E11" w:rsidRDefault="00F20517" w:rsidP="0063330E">
            <w:pPr>
              <w:spacing w:line="240" w:lineRule="auto"/>
              <w:rPr>
                <w:rFonts w:eastAsia="Times New Roman" w:cs="Times New Roman"/>
                <w:szCs w:val="24"/>
              </w:rPr>
            </w:pPr>
          </w:p>
        </w:tc>
        <w:tc>
          <w:tcPr>
            <w:tcW w:w="1400" w:type="dxa"/>
            <w:vMerge/>
            <w:tcBorders>
              <w:top w:val="nil"/>
              <w:left w:val="nil"/>
              <w:bottom w:val="single" w:sz="4" w:space="0" w:color="000000"/>
              <w:right w:val="nil"/>
            </w:tcBorders>
            <w:vAlign w:val="center"/>
            <w:hideMark/>
          </w:tcPr>
          <w:p w14:paraId="498478B0" w14:textId="77777777" w:rsidR="00F20517" w:rsidRPr="00033E11" w:rsidRDefault="00F20517" w:rsidP="0063330E">
            <w:pPr>
              <w:spacing w:line="240" w:lineRule="auto"/>
              <w:rPr>
                <w:rFonts w:eastAsia="Times New Roman" w:cs="Times New Roman"/>
                <w:szCs w:val="24"/>
              </w:rPr>
            </w:pPr>
          </w:p>
        </w:tc>
        <w:tc>
          <w:tcPr>
            <w:tcW w:w="1040" w:type="dxa"/>
            <w:tcBorders>
              <w:top w:val="nil"/>
              <w:left w:val="nil"/>
              <w:bottom w:val="nil"/>
              <w:right w:val="nil"/>
            </w:tcBorders>
            <w:shd w:val="clear" w:color="auto" w:fill="auto"/>
            <w:noWrap/>
            <w:vAlign w:val="center"/>
            <w:hideMark/>
          </w:tcPr>
          <w:p w14:paraId="7A16E64E"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FW222</w:t>
            </w:r>
          </w:p>
        </w:tc>
        <w:tc>
          <w:tcPr>
            <w:tcW w:w="1613" w:type="dxa"/>
            <w:vMerge/>
            <w:tcBorders>
              <w:top w:val="nil"/>
              <w:left w:val="nil"/>
              <w:bottom w:val="single" w:sz="4" w:space="0" w:color="000000"/>
              <w:right w:val="nil"/>
            </w:tcBorders>
            <w:vAlign w:val="center"/>
            <w:hideMark/>
          </w:tcPr>
          <w:p w14:paraId="5B8E2D87" w14:textId="77777777" w:rsidR="00F20517" w:rsidRPr="00033E11" w:rsidRDefault="00F20517" w:rsidP="0063330E">
            <w:pPr>
              <w:spacing w:line="240" w:lineRule="auto"/>
              <w:rPr>
                <w:rFonts w:eastAsia="Times New Roman" w:cs="Times New Roman"/>
                <w:szCs w:val="24"/>
              </w:rPr>
            </w:pPr>
          </w:p>
        </w:tc>
      </w:tr>
      <w:tr w:rsidR="00F20517" w:rsidRPr="00033E11" w14:paraId="5365FE73" w14:textId="77777777" w:rsidTr="0063330E">
        <w:trPr>
          <w:trHeight w:val="315"/>
          <w:jc w:val="center"/>
        </w:trPr>
        <w:tc>
          <w:tcPr>
            <w:tcW w:w="680" w:type="dxa"/>
            <w:vMerge/>
            <w:tcBorders>
              <w:top w:val="nil"/>
              <w:left w:val="nil"/>
              <w:bottom w:val="single" w:sz="4" w:space="0" w:color="000000"/>
              <w:right w:val="nil"/>
            </w:tcBorders>
            <w:vAlign w:val="center"/>
            <w:hideMark/>
          </w:tcPr>
          <w:p w14:paraId="4F35A40B" w14:textId="77777777" w:rsidR="00F20517" w:rsidRPr="00033E11" w:rsidRDefault="00F20517" w:rsidP="0063330E">
            <w:pPr>
              <w:spacing w:line="240" w:lineRule="auto"/>
              <w:rPr>
                <w:rFonts w:eastAsia="Times New Roman" w:cs="Times New Roman"/>
                <w:szCs w:val="24"/>
              </w:rPr>
            </w:pPr>
          </w:p>
        </w:tc>
        <w:tc>
          <w:tcPr>
            <w:tcW w:w="1643" w:type="dxa"/>
            <w:vMerge/>
            <w:tcBorders>
              <w:top w:val="nil"/>
              <w:left w:val="nil"/>
              <w:bottom w:val="single" w:sz="4" w:space="0" w:color="000000"/>
              <w:right w:val="nil"/>
            </w:tcBorders>
            <w:vAlign w:val="center"/>
            <w:hideMark/>
          </w:tcPr>
          <w:p w14:paraId="57E3266B" w14:textId="77777777" w:rsidR="00F20517" w:rsidRPr="00033E11" w:rsidRDefault="00F20517" w:rsidP="0063330E">
            <w:pPr>
              <w:spacing w:line="240" w:lineRule="auto"/>
              <w:rPr>
                <w:rFonts w:eastAsia="Times New Roman" w:cs="Times New Roman"/>
                <w:szCs w:val="24"/>
              </w:rPr>
            </w:pPr>
          </w:p>
        </w:tc>
        <w:tc>
          <w:tcPr>
            <w:tcW w:w="1424" w:type="dxa"/>
            <w:vMerge/>
            <w:tcBorders>
              <w:top w:val="nil"/>
              <w:left w:val="nil"/>
              <w:bottom w:val="single" w:sz="4" w:space="0" w:color="000000"/>
              <w:right w:val="nil"/>
            </w:tcBorders>
            <w:vAlign w:val="center"/>
            <w:hideMark/>
          </w:tcPr>
          <w:p w14:paraId="4045AA57" w14:textId="77777777" w:rsidR="00F20517" w:rsidRPr="00033E11" w:rsidRDefault="00F20517" w:rsidP="0063330E">
            <w:pPr>
              <w:spacing w:line="240" w:lineRule="auto"/>
              <w:rPr>
                <w:rFonts w:eastAsia="Times New Roman" w:cs="Times New Roman"/>
                <w:szCs w:val="24"/>
              </w:rPr>
            </w:pPr>
          </w:p>
        </w:tc>
        <w:tc>
          <w:tcPr>
            <w:tcW w:w="1023" w:type="dxa"/>
            <w:vMerge/>
            <w:tcBorders>
              <w:top w:val="nil"/>
              <w:left w:val="nil"/>
              <w:bottom w:val="single" w:sz="4" w:space="0" w:color="000000"/>
              <w:right w:val="nil"/>
            </w:tcBorders>
            <w:vAlign w:val="center"/>
            <w:hideMark/>
          </w:tcPr>
          <w:p w14:paraId="4BA4B2C8" w14:textId="77777777" w:rsidR="00F20517" w:rsidRPr="00033E11" w:rsidRDefault="00F20517" w:rsidP="0063330E">
            <w:pPr>
              <w:spacing w:line="240" w:lineRule="auto"/>
              <w:rPr>
                <w:rFonts w:eastAsia="Times New Roman" w:cs="Times New Roman"/>
                <w:szCs w:val="24"/>
              </w:rPr>
            </w:pPr>
          </w:p>
        </w:tc>
        <w:tc>
          <w:tcPr>
            <w:tcW w:w="1400" w:type="dxa"/>
            <w:vMerge/>
            <w:tcBorders>
              <w:top w:val="nil"/>
              <w:left w:val="nil"/>
              <w:bottom w:val="single" w:sz="4" w:space="0" w:color="000000"/>
              <w:right w:val="nil"/>
            </w:tcBorders>
            <w:vAlign w:val="center"/>
            <w:hideMark/>
          </w:tcPr>
          <w:p w14:paraId="086B8112" w14:textId="77777777" w:rsidR="00F20517" w:rsidRPr="00033E11" w:rsidRDefault="00F20517" w:rsidP="0063330E">
            <w:pPr>
              <w:spacing w:line="240" w:lineRule="auto"/>
              <w:rPr>
                <w:rFonts w:eastAsia="Times New Roman" w:cs="Times New Roman"/>
                <w:szCs w:val="24"/>
              </w:rPr>
            </w:pPr>
          </w:p>
        </w:tc>
        <w:tc>
          <w:tcPr>
            <w:tcW w:w="1040" w:type="dxa"/>
            <w:tcBorders>
              <w:top w:val="nil"/>
              <w:left w:val="nil"/>
              <w:bottom w:val="single" w:sz="4" w:space="0" w:color="auto"/>
              <w:right w:val="nil"/>
            </w:tcBorders>
            <w:shd w:val="clear" w:color="auto" w:fill="auto"/>
            <w:noWrap/>
            <w:vAlign w:val="center"/>
            <w:hideMark/>
          </w:tcPr>
          <w:p w14:paraId="1F433DEC"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FW223</w:t>
            </w:r>
          </w:p>
        </w:tc>
        <w:tc>
          <w:tcPr>
            <w:tcW w:w="1613" w:type="dxa"/>
            <w:vMerge/>
            <w:tcBorders>
              <w:top w:val="nil"/>
              <w:left w:val="nil"/>
              <w:bottom w:val="single" w:sz="4" w:space="0" w:color="000000"/>
              <w:right w:val="nil"/>
            </w:tcBorders>
            <w:vAlign w:val="center"/>
            <w:hideMark/>
          </w:tcPr>
          <w:p w14:paraId="71AB4AEB" w14:textId="77777777" w:rsidR="00F20517" w:rsidRPr="00033E11" w:rsidRDefault="00F20517" w:rsidP="0063330E">
            <w:pPr>
              <w:spacing w:line="240" w:lineRule="auto"/>
              <w:rPr>
                <w:rFonts w:eastAsia="Times New Roman" w:cs="Times New Roman"/>
                <w:szCs w:val="24"/>
              </w:rPr>
            </w:pPr>
          </w:p>
        </w:tc>
      </w:tr>
    </w:tbl>
    <w:p w14:paraId="0ADF5CF8" w14:textId="77777777" w:rsidR="00F20517" w:rsidRPr="00033E11" w:rsidRDefault="00F20517" w:rsidP="00F20517">
      <w:pPr>
        <w:pStyle w:val="NoSpacing"/>
      </w:pPr>
    </w:p>
    <w:p w14:paraId="35FE4BBE" w14:textId="77777777" w:rsidR="0033569C" w:rsidRDefault="0033569C" w:rsidP="00CC5639">
      <w:pPr>
        <w:ind w:firstLine="720"/>
      </w:pPr>
    </w:p>
    <w:p w14:paraId="77AC93F5" w14:textId="77777777" w:rsidR="0033569C" w:rsidRDefault="0033569C" w:rsidP="00CC5639">
      <w:pPr>
        <w:ind w:firstLine="720"/>
      </w:pPr>
    </w:p>
    <w:p w14:paraId="32B51956" w14:textId="77777777" w:rsidR="0033569C" w:rsidRDefault="0033569C" w:rsidP="00CC5639">
      <w:pPr>
        <w:ind w:firstLine="720"/>
      </w:pPr>
    </w:p>
    <w:p w14:paraId="6899D17B" w14:textId="77777777" w:rsidR="0033569C" w:rsidRDefault="0033569C" w:rsidP="00CC5639">
      <w:pPr>
        <w:ind w:firstLine="720"/>
      </w:pPr>
    </w:p>
    <w:p w14:paraId="70064255" w14:textId="77777777" w:rsidR="0033569C" w:rsidRDefault="0033569C" w:rsidP="00CC5639">
      <w:pPr>
        <w:ind w:firstLine="720"/>
      </w:pPr>
    </w:p>
    <w:p w14:paraId="3B2BB13D" w14:textId="77777777" w:rsidR="0033569C" w:rsidRDefault="0033569C" w:rsidP="00CC5639">
      <w:pPr>
        <w:ind w:firstLine="720"/>
      </w:pPr>
    </w:p>
    <w:p w14:paraId="163B3C77" w14:textId="77777777" w:rsidR="0033569C" w:rsidRDefault="0033569C" w:rsidP="00CC5639">
      <w:pPr>
        <w:ind w:firstLine="720"/>
      </w:pPr>
    </w:p>
    <w:p w14:paraId="798B69C2" w14:textId="77777777" w:rsidR="0033569C" w:rsidRDefault="0033569C" w:rsidP="00CC5639">
      <w:pPr>
        <w:ind w:firstLine="720"/>
      </w:pPr>
    </w:p>
    <w:p w14:paraId="74653115" w14:textId="77777777" w:rsidR="0033569C" w:rsidRDefault="0033569C" w:rsidP="00CC5639">
      <w:pPr>
        <w:ind w:firstLine="720"/>
      </w:pPr>
    </w:p>
    <w:p w14:paraId="6918EB56" w14:textId="77777777" w:rsidR="00F73AD6" w:rsidRDefault="00F73AD6" w:rsidP="00F73AD6">
      <w:r w:rsidRPr="00033E11">
        <w:lastRenderedPageBreak/>
        <w:t>mM), and a circumneutral pH (6.5) (</w:t>
      </w:r>
      <w:r w:rsidR="00B56797">
        <w:fldChar w:fldCharType="begin"/>
      </w:r>
      <w:r w:rsidR="00B56797">
        <w:instrText xml:space="preserve"> REF _Ref485276726 \h </w:instrText>
      </w:r>
      <w:r w:rsidR="00B56797">
        <w:fldChar w:fldCharType="separate"/>
      </w:r>
      <w:r w:rsidR="001175BB">
        <w:t xml:space="preserve">Table </w:t>
      </w:r>
      <w:r w:rsidR="001175BB">
        <w:rPr>
          <w:noProof/>
        </w:rPr>
        <w:t>2</w:t>
      </w:r>
      <w:r w:rsidR="001175BB">
        <w:t>.</w:t>
      </w:r>
      <w:r w:rsidR="001175BB">
        <w:rPr>
          <w:noProof/>
        </w:rPr>
        <w:t>2</w:t>
      </w:r>
      <w:r w:rsidR="00B56797">
        <w:fldChar w:fldCharType="end"/>
      </w:r>
      <w:r w:rsidRPr="00033E11">
        <w:t>). The test wells contained roughly similar pre-test concentrations of nitrate (0.1 to 12.9 mM), U(VI) (0.1 to 3.9 μM) and sulfate (0.1 to 1.9 mM) and a circumneutral pH (6.6 to 8.0) (</w:t>
      </w:r>
      <w:r w:rsidR="00B56797">
        <w:fldChar w:fldCharType="begin"/>
      </w:r>
      <w:r w:rsidR="00B56797">
        <w:instrText xml:space="preserve"> REF _Ref485276726 \h </w:instrText>
      </w:r>
      <w:r w:rsidR="00B56797">
        <w:fldChar w:fldCharType="separate"/>
      </w:r>
      <w:r w:rsidR="001175BB">
        <w:t xml:space="preserve">Table </w:t>
      </w:r>
      <w:r w:rsidR="001175BB">
        <w:rPr>
          <w:noProof/>
        </w:rPr>
        <w:t>2</w:t>
      </w:r>
      <w:r w:rsidR="001175BB">
        <w:t>.</w:t>
      </w:r>
      <w:r w:rsidR="001175BB">
        <w:rPr>
          <w:noProof/>
        </w:rPr>
        <w:t>2</w:t>
      </w:r>
      <w:r w:rsidR="00B56797">
        <w:fldChar w:fldCharType="end"/>
      </w:r>
      <w:r w:rsidRPr="00033E11">
        <w:t>). Pre-test concentrations of ethanol were below the method detection limit from injectate well GW835 and test wells FW218 through FW227 (data not shown).</w:t>
      </w:r>
    </w:p>
    <w:p w14:paraId="7C09340E" w14:textId="5FD9BFDE" w:rsidR="0082797A" w:rsidRDefault="00F20517" w:rsidP="00CC5639">
      <w:pPr>
        <w:ind w:firstLine="720"/>
      </w:pPr>
      <w:r w:rsidRPr="00033E11">
        <w:t>The biostimulation tests were conducted by injecting 200 liters of ethanol- and sulfate-amended injectate in all ten wells (</w:t>
      </w:r>
      <w:r w:rsidR="00646EA6">
        <w:fldChar w:fldCharType="begin"/>
      </w:r>
      <w:r w:rsidR="00646EA6">
        <w:instrText xml:space="preserve"> REF _Ref485276658 \h </w:instrText>
      </w:r>
      <w:r w:rsidR="00646EA6">
        <w:fldChar w:fldCharType="separate"/>
      </w:r>
      <w:r w:rsidR="001175BB">
        <w:t xml:space="preserve">Table </w:t>
      </w:r>
      <w:r w:rsidR="001175BB">
        <w:rPr>
          <w:noProof/>
        </w:rPr>
        <w:t>2</w:t>
      </w:r>
      <w:r w:rsidR="001175BB">
        <w:t>.</w:t>
      </w:r>
      <w:r w:rsidR="001175BB">
        <w:rPr>
          <w:noProof/>
        </w:rPr>
        <w:t>1</w:t>
      </w:r>
      <w:r w:rsidR="00646EA6">
        <w:fldChar w:fldCharType="end"/>
      </w:r>
      <w:r w:rsidRPr="00033E11">
        <w:t>). Immediately prior to injection, the injectate was amended with 40 mM ethanol (C</w:t>
      </w:r>
      <w:r w:rsidRPr="00033E11">
        <w:rPr>
          <w:vertAlign w:val="subscript"/>
        </w:rPr>
        <w:t>2</w:t>
      </w:r>
      <w:r w:rsidRPr="00033E11">
        <w:t>H</w:t>
      </w:r>
      <w:r w:rsidRPr="00033E11">
        <w:rPr>
          <w:vertAlign w:val="subscript"/>
        </w:rPr>
        <w:t>6</w:t>
      </w:r>
      <w:r w:rsidRPr="00033E11">
        <w:t>O) and 20 mM sulfate (Na</w:t>
      </w:r>
      <w:r w:rsidRPr="00033E11">
        <w:rPr>
          <w:vertAlign w:val="subscript"/>
        </w:rPr>
        <w:t>2</w:t>
      </w:r>
      <w:r w:rsidRPr="00033E11">
        <w:t>SO</w:t>
      </w:r>
      <w:r w:rsidRPr="00033E11">
        <w:rPr>
          <w:vertAlign w:val="subscript"/>
        </w:rPr>
        <w:t>4</w:t>
      </w:r>
      <w:r w:rsidRPr="00033E11">
        <w:t>) and then mixed with compressed 80%N</w:t>
      </w:r>
      <w:r w:rsidRPr="00033E11">
        <w:rPr>
          <w:vertAlign w:val="subscript"/>
        </w:rPr>
        <w:t>2</w:t>
      </w:r>
      <w:r w:rsidRPr="00033E11">
        <w:t>:20%CO</w:t>
      </w:r>
      <w:r w:rsidRPr="00033E11">
        <w:rPr>
          <w:vertAlign w:val="subscript"/>
        </w:rPr>
        <w:t xml:space="preserve">2 </w:t>
      </w:r>
      <w:r w:rsidRPr="00033E11">
        <w:t xml:space="preserve">gas. The injectate was then injected into each well using a siphon and was completed within a 24-hour time frame. Five samples of the injectate were collected during injection for analysis of amended ethanol and sulfate (data not shown) and were </w:t>
      </w:r>
      <w:proofErr w:type="gramStart"/>
      <w:r w:rsidRPr="00033E11">
        <w:t>similar to</w:t>
      </w:r>
      <w:proofErr w:type="gramEnd"/>
      <w:r w:rsidRPr="00033E11">
        <w:t xml:space="preserve"> the target concentrations (</w:t>
      </w:r>
      <w:r w:rsidR="00646EA6">
        <w:fldChar w:fldCharType="begin"/>
      </w:r>
      <w:r w:rsidR="00646EA6">
        <w:instrText xml:space="preserve"> REF _Ref485276658 \h </w:instrText>
      </w:r>
      <w:r w:rsidR="00646EA6">
        <w:fldChar w:fldCharType="separate"/>
      </w:r>
      <w:r w:rsidR="001175BB">
        <w:t xml:space="preserve">Table </w:t>
      </w:r>
      <w:r w:rsidR="001175BB">
        <w:rPr>
          <w:noProof/>
        </w:rPr>
        <w:t>2</w:t>
      </w:r>
      <w:r w:rsidR="001175BB">
        <w:t>.</w:t>
      </w:r>
      <w:r w:rsidR="001175BB">
        <w:rPr>
          <w:noProof/>
        </w:rPr>
        <w:t>1</w:t>
      </w:r>
      <w:r w:rsidR="00646EA6">
        <w:fldChar w:fldCharType="end"/>
      </w:r>
      <w:r w:rsidRPr="00033E11">
        <w:t xml:space="preserve">). Groundwater concentrations of ethanol and sulfate in test wells immediately prior to subsequent biostimulation tests (data not shown) were </w:t>
      </w:r>
      <w:proofErr w:type="gramStart"/>
      <w:r w:rsidRPr="00033E11">
        <w:t>similar to</w:t>
      </w:r>
      <w:proofErr w:type="gramEnd"/>
      <w:r w:rsidRPr="00033E11">
        <w:t xml:space="preserve"> pre-test concentrations (</w:t>
      </w:r>
      <w:r w:rsidR="00646EA6">
        <w:fldChar w:fldCharType="begin"/>
      </w:r>
      <w:r w:rsidR="00646EA6">
        <w:instrText xml:space="preserve"> REF _Ref485276726 \h </w:instrText>
      </w:r>
      <w:r w:rsidR="00646EA6">
        <w:fldChar w:fldCharType="separate"/>
      </w:r>
      <w:r w:rsidR="001175BB">
        <w:t xml:space="preserve">Table </w:t>
      </w:r>
      <w:r w:rsidR="001175BB">
        <w:rPr>
          <w:noProof/>
        </w:rPr>
        <w:t>2</w:t>
      </w:r>
      <w:r w:rsidR="001175BB">
        <w:t>.</w:t>
      </w:r>
      <w:r w:rsidR="001175BB">
        <w:rPr>
          <w:noProof/>
        </w:rPr>
        <w:t>2</w:t>
      </w:r>
      <w:r w:rsidR="00646EA6">
        <w:fldChar w:fldCharType="end"/>
      </w:r>
      <w:r w:rsidRPr="00033E11">
        <w:t>)</w:t>
      </w:r>
      <w:r w:rsidR="000A5750">
        <w:t xml:space="preserve">. </w:t>
      </w:r>
    </w:p>
    <w:p w14:paraId="081EF9EC" w14:textId="77777777" w:rsidR="00F73AD6" w:rsidRPr="00033E11" w:rsidRDefault="00F73AD6" w:rsidP="00F73AD6">
      <w:pPr>
        <w:ind w:firstLine="720"/>
      </w:pPr>
      <w:r w:rsidRPr="00033E11">
        <w:t xml:space="preserve">The reoxidation test was conducted using the single-well push-pull test method according to the methodology of Istok et al. </w:t>
      </w:r>
      <w:r w:rsidRPr="00033E11">
        <w:fldChar w:fldCharType="begin">
          <w:fldData xml:space="preserve">PEVuZE5vdGU+PENpdGUgRXhjbHVkZUF1dGg9IjEiPjxBdXRob3I+SXN0b2s8L0F1dGhvcj48WWVh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</w:fldData>
        </w:fldChar>
      </w:r>
      <w:r w:rsidRPr="00033E11">
        <w:instrText xml:space="preserve"> ADDIN EN.CITE </w:instrText>
      </w:r>
      <w:r w:rsidRPr="00033E11">
        <w:fldChar w:fldCharType="begin">
          <w:fldData xml:space="preserve">PEVuZE5vdGU+PENpdGUgRXhjbHVkZUF1dGg9IjEiPjxBdXRob3I+SXN0b2s8L0F1dGhvcj48WWVh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</w:fldData>
        </w:fldChar>
      </w:r>
      <w:r w:rsidRPr="00033E11">
        <w:instrText xml:space="preserve"> ADDIN EN.CITE.DATA </w:instrText>
      </w:r>
      <w:r w:rsidRPr="00033E11">
        <w:fldChar w:fldCharType="end"/>
      </w:r>
      <w:r w:rsidRPr="00033E11">
        <w:fldChar w:fldCharType="separate"/>
      </w:r>
      <w:r w:rsidRPr="00033E11">
        <w:rPr>
          <w:noProof/>
        </w:rPr>
        <w:t>(2004)</w:t>
      </w:r>
      <w:r w:rsidRPr="00033E11">
        <w:fldChar w:fldCharType="end"/>
      </w:r>
      <w:r w:rsidRPr="00033E11">
        <w:t>. The reoxidation test was conducted under three different conditions in triplicate well clusters: 1) high nitrate (cluster 1), 2) high nitrate with ethanol (cluster 2), and 3) low nitrate with ethanol (cluster 3) (</w:t>
      </w:r>
      <w:r w:rsidR="006A6120">
        <w:fldChar w:fldCharType="begin"/>
      </w:r>
      <w:r w:rsidR="006A6120">
        <w:instrText xml:space="preserve"> REF _Ref485276658 \h </w:instrText>
      </w:r>
      <w:r w:rsidR="006A6120">
        <w:fldChar w:fldCharType="separate"/>
      </w:r>
      <w:r w:rsidR="001175BB">
        <w:t xml:space="preserve">Table </w:t>
      </w:r>
      <w:r w:rsidR="001175BB">
        <w:rPr>
          <w:noProof/>
        </w:rPr>
        <w:t>2</w:t>
      </w:r>
      <w:r w:rsidR="001175BB">
        <w:t>.</w:t>
      </w:r>
      <w:r w:rsidR="001175BB">
        <w:rPr>
          <w:noProof/>
        </w:rPr>
        <w:t>1</w:t>
      </w:r>
      <w:r w:rsidR="006A6120">
        <w:fldChar w:fldCharType="end"/>
      </w:r>
      <w:r w:rsidRPr="00033E11">
        <w:t>). A push-pull test was conducted in a single well (FW224) under similar ethanol- and sulfate-amended conditions of the biostimulation tests to serve as a control (</w:t>
      </w:r>
      <w:r w:rsidR="005927F7">
        <w:fldChar w:fldCharType="begin"/>
      </w:r>
      <w:r w:rsidR="005927F7">
        <w:instrText xml:space="preserve"> REF _Ref485276658 \h </w:instrText>
      </w:r>
      <w:r w:rsidR="005927F7">
        <w:fldChar w:fldCharType="separate"/>
      </w:r>
      <w:r w:rsidR="001175BB">
        <w:t xml:space="preserve">Table </w:t>
      </w:r>
      <w:r w:rsidR="001175BB">
        <w:rPr>
          <w:noProof/>
        </w:rPr>
        <w:t>2</w:t>
      </w:r>
      <w:r w:rsidR="001175BB">
        <w:t>.</w:t>
      </w:r>
      <w:r w:rsidR="001175BB">
        <w:rPr>
          <w:noProof/>
        </w:rPr>
        <w:t>1</w:t>
      </w:r>
      <w:r w:rsidR="005927F7">
        <w:fldChar w:fldCharType="end"/>
      </w:r>
      <w:r w:rsidRPr="00033E11">
        <w:t>). Immediately prior to injection, the injectate was amended with 10 mM sodium bicarbonate (NaHCO</w:t>
      </w:r>
      <w:r w:rsidRPr="00033E11">
        <w:rPr>
          <w:vertAlign w:val="subscript"/>
        </w:rPr>
        <w:t>3</w:t>
      </w:r>
      <w:r w:rsidRPr="00033E11">
        <w:t>) buffer, 1.3 mM bromide tracer (KBr), and ethanol (C</w:t>
      </w:r>
      <w:r w:rsidRPr="00033E11">
        <w:rPr>
          <w:vertAlign w:val="subscript"/>
        </w:rPr>
        <w:t>2</w:t>
      </w:r>
      <w:r w:rsidRPr="00033E11">
        <w:t>H</w:t>
      </w:r>
      <w:r w:rsidRPr="00033E11">
        <w:rPr>
          <w:vertAlign w:val="subscript"/>
        </w:rPr>
        <w:t>6</w:t>
      </w:r>
      <w:r w:rsidRPr="00033E11">
        <w:t>O), sulfate (Na</w:t>
      </w:r>
      <w:r w:rsidRPr="00033E11">
        <w:rPr>
          <w:vertAlign w:val="subscript"/>
        </w:rPr>
        <w:t>2</w:t>
      </w:r>
      <w:r w:rsidRPr="00033E11">
        <w:t>SO</w:t>
      </w:r>
      <w:r w:rsidRPr="00033E11">
        <w:rPr>
          <w:vertAlign w:val="subscript"/>
        </w:rPr>
        <w:t>4</w:t>
      </w:r>
      <w:r w:rsidRPr="00033E11">
        <w:t>) or nitrate (KNO</w:t>
      </w:r>
      <w:r w:rsidRPr="00033E11">
        <w:rPr>
          <w:vertAlign w:val="subscript"/>
        </w:rPr>
        <w:t>3</w:t>
      </w:r>
      <w:r w:rsidRPr="00033E11">
        <w:t>), depending on the test condition (</w:t>
      </w:r>
      <w:r w:rsidR="00593440">
        <w:fldChar w:fldCharType="begin"/>
      </w:r>
      <w:r w:rsidR="00593440">
        <w:instrText xml:space="preserve"> REF _Ref485276658 \h </w:instrText>
      </w:r>
      <w:r w:rsidR="00593440">
        <w:fldChar w:fldCharType="separate"/>
      </w:r>
      <w:r w:rsidR="001175BB">
        <w:t xml:space="preserve">Table </w:t>
      </w:r>
      <w:r w:rsidR="001175BB">
        <w:rPr>
          <w:noProof/>
        </w:rPr>
        <w:t>2</w:t>
      </w:r>
      <w:r w:rsidR="001175BB">
        <w:t>.</w:t>
      </w:r>
      <w:r w:rsidR="001175BB">
        <w:rPr>
          <w:noProof/>
        </w:rPr>
        <w:t>1</w:t>
      </w:r>
      <w:r w:rsidR="00593440">
        <w:fldChar w:fldCharType="end"/>
      </w:r>
      <w:r w:rsidRPr="00033E11">
        <w:t xml:space="preserve">). The reoxidation test injectate volume, mixing and injection methodology, and injection time </w:t>
      </w:r>
    </w:p>
    <w:p w14:paraId="27667787" w14:textId="77777777" w:rsidR="001709AC" w:rsidRPr="000A3930" w:rsidRDefault="002D1B51" w:rsidP="002D1B51">
      <w:pPr>
        <w:pStyle w:val="Caption"/>
        <w:rPr>
          <w:b w:val="0"/>
        </w:rPr>
      </w:pPr>
      <w:bookmarkStart w:id="40" w:name="_Ref485276726"/>
      <w:bookmarkStart w:id="41" w:name="_Toc498504880"/>
      <w:r>
        <w:lastRenderedPageBreak/>
        <w:t xml:space="preserve">Table </w:t>
      </w:r>
      <w:r w:rsidR="00CA2C3C">
        <w:fldChar w:fldCharType="begin"/>
      </w:r>
      <w:r w:rsidR="00CA2C3C">
        <w:instrText xml:space="preserve"> STYLEREF 1 \s </w:instrText>
      </w:r>
      <w:r w:rsidR="00CA2C3C">
        <w:fldChar w:fldCharType="separate"/>
      </w:r>
      <w:r w:rsidR="002105EE">
        <w:rPr>
          <w:noProof/>
        </w:rPr>
        <w:t>2</w:t>
      </w:r>
      <w:r w:rsidR="00CA2C3C">
        <w:rPr>
          <w:noProof/>
        </w:rPr>
        <w:fldChar w:fldCharType="end"/>
      </w:r>
      <w:r w:rsidR="002105EE">
        <w:t>.</w:t>
      </w:r>
      <w:r w:rsidR="00CA2C3C">
        <w:fldChar w:fldCharType="begin"/>
      </w:r>
      <w:r w:rsidR="00CA2C3C">
        <w:instrText xml:space="preserve"> SEQ Table \* ARABIC \s 1 </w:instrText>
      </w:r>
      <w:r w:rsidR="00CA2C3C">
        <w:fldChar w:fldCharType="separate"/>
      </w:r>
      <w:r w:rsidR="002105EE">
        <w:rPr>
          <w:noProof/>
        </w:rPr>
        <w:t>2</w:t>
      </w:r>
      <w:r w:rsidR="00CA2C3C">
        <w:rPr>
          <w:noProof/>
        </w:rPr>
        <w:fldChar w:fldCharType="end"/>
      </w:r>
      <w:bookmarkEnd w:id="40"/>
      <w:r>
        <w:t xml:space="preserve"> </w:t>
      </w:r>
      <w:r w:rsidR="001709AC" w:rsidRPr="005774C8">
        <w:rPr>
          <w:b w:val="0"/>
        </w:rPr>
        <w:t>Pre-test nitrate, U(VI), and sulfate concentrations and pH in source well (GW835) used for test injectate and in wells used for push-pull tests (FW218 through FW227</w:t>
      </w:r>
      <w:bookmarkEnd w:id="41"/>
    </w:p>
    <w:tbl>
      <w:tblPr>
        <w:tblW w:w="9360" w:type="dxa"/>
        <w:tblLook w:val="04A0" w:firstRow="1" w:lastRow="0" w:firstColumn="1" w:lastColumn="0" w:noHBand="0" w:noVBand="1"/>
      </w:tblPr>
      <w:tblGrid>
        <w:gridCol w:w="1872"/>
        <w:gridCol w:w="1872"/>
        <w:gridCol w:w="1872"/>
        <w:gridCol w:w="1872"/>
        <w:gridCol w:w="1872"/>
      </w:tblGrid>
      <w:tr w:rsidR="00F20517" w:rsidRPr="00033E11" w14:paraId="580CE53F" w14:textId="77777777" w:rsidTr="0063330E">
        <w:trPr>
          <w:trHeight w:val="405"/>
        </w:trPr>
        <w:tc>
          <w:tcPr>
            <w:tcW w:w="1280" w:type="dxa"/>
            <w:vMerge w:val="restart"/>
            <w:tcBorders>
              <w:top w:val="single" w:sz="4" w:space="0" w:color="auto"/>
              <w:left w:val="nil"/>
              <w:bottom w:val="single" w:sz="4" w:space="0" w:color="000000"/>
              <w:right w:val="nil"/>
            </w:tcBorders>
            <w:shd w:val="clear" w:color="auto" w:fill="auto"/>
            <w:noWrap/>
            <w:vAlign w:val="center"/>
            <w:hideMark/>
          </w:tcPr>
          <w:p w14:paraId="210430A4"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Well</w:t>
            </w:r>
          </w:p>
        </w:tc>
        <w:tc>
          <w:tcPr>
            <w:tcW w:w="1280" w:type="dxa"/>
            <w:tcBorders>
              <w:top w:val="single" w:sz="4" w:space="0" w:color="auto"/>
              <w:left w:val="nil"/>
              <w:bottom w:val="nil"/>
              <w:right w:val="nil"/>
            </w:tcBorders>
            <w:shd w:val="clear" w:color="auto" w:fill="auto"/>
            <w:noWrap/>
            <w:vAlign w:val="bottom"/>
            <w:hideMark/>
          </w:tcPr>
          <w:p w14:paraId="38CAB8B4"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NO</w:t>
            </w:r>
            <w:r w:rsidRPr="00033E11">
              <w:rPr>
                <w:rFonts w:eastAsia="Times New Roman" w:cs="Times New Roman"/>
                <w:szCs w:val="24"/>
                <w:vertAlign w:val="subscript"/>
              </w:rPr>
              <w:t>3</w:t>
            </w:r>
            <w:r w:rsidRPr="00033E11">
              <w:rPr>
                <w:rFonts w:eastAsia="Times New Roman" w:cs="Times New Roman"/>
                <w:szCs w:val="24"/>
                <w:vertAlign w:val="superscript"/>
              </w:rPr>
              <w:t>-</w:t>
            </w:r>
          </w:p>
        </w:tc>
        <w:tc>
          <w:tcPr>
            <w:tcW w:w="1280" w:type="dxa"/>
            <w:tcBorders>
              <w:top w:val="single" w:sz="4" w:space="0" w:color="auto"/>
              <w:left w:val="nil"/>
              <w:bottom w:val="nil"/>
              <w:right w:val="nil"/>
            </w:tcBorders>
            <w:shd w:val="clear" w:color="auto" w:fill="auto"/>
            <w:noWrap/>
            <w:vAlign w:val="bottom"/>
            <w:hideMark/>
          </w:tcPr>
          <w:p w14:paraId="541CA2E9"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U(VI)</w:t>
            </w:r>
          </w:p>
        </w:tc>
        <w:tc>
          <w:tcPr>
            <w:tcW w:w="1280" w:type="dxa"/>
            <w:tcBorders>
              <w:top w:val="single" w:sz="4" w:space="0" w:color="auto"/>
              <w:left w:val="nil"/>
              <w:bottom w:val="nil"/>
              <w:right w:val="nil"/>
            </w:tcBorders>
            <w:shd w:val="clear" w:color="auto" w:fill="auto"/>
            <w:noWrap/>
            <w:vAlign w:val="bottom"/>
            <w:hideMark/>
          </w:tcPr>
          <w:p w14:paraId="69A2B675"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SO</w:t>
            </w:r>
            <w:r w:rsidRPr="00033E11">
              <w:rPr>
                <w:rFonts w:eastAsia="Times New Roman" w:cs="Times New Roman"/>
                <w:szCs w:val="24"/>
                <w:vertAlign w:val="subscript"/>
              </w:rPr>
              <w:t>4</w:t>
            </w:r>
            <w:r w:rsidRPr="00033E11">
              <w:rPr>
                <w:rFonts w:eastAsia="Times New Roman" w:cs="Times New Roman"/>
                <w:szCs w:val="24"/>
                <w:vertAlign w:val="superscript"/>
              </w:rPr>
              <w:t>2-</w:t>
            </w:r>
          </w:p>
        </w:tc>
        <w:tc>
          <w:tcPr>
            <w:tcW w:w="1280" w:type="dxa"/>
            <w:vMerge w:val="restart"/>
            <w:tcBorders>
              <w:top w:val="single" w:sz="4" w:space="0" w:color="auto"/>
              <w:left w:val="nil"/>
              <w:bottom w:val="single" w:sz="4" w:space="0" w:color="000000"/>
              <w:right w:val="nil"/>
            </w:tcBorders>
            <w:shd w:val="clear" w:color="auto" w:fill="auto"/>
            <w:noWrap/>
            <w:vAlign w:val="center"/>
            <w:hideMark/>
          </w:tcPr>
          <w:p w14:paraId="223EA356"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pH</w:t>
            </w:r>
          </w:p>
        </w:tc>
      </w:tr>
      <w:tr w:rsidR="00F20517" w:rsidRPr="00033E11" w14:paraId="62B54C25" w14:textId="77777777" w:rsidTr="0063330E">
        <w:trPr>
          <w:trHeight w:val="315"/>
        </w:trPr>
        <w:tc>
          <w:tcPr>
            <w:tcW w:w="1280" w:type="dxa"/>
            <w:vMerge/>
            <w:tcBorders>
              <w:top w:val="single" w:sz="4" w:space="0" w:color="auto"/>
              <w:left w:val="nil"/>
              <w:bottom w:val="single" w:sz="4" w:space="0" w:color="000000"/>
              <w:right w:val="nil"/>
            </w:tcBorders>
            <w:vAlign w:val="center"/>
            <w:hideMark/>
          </w:tcPr>
          <w:p w14:paraId="01C374E9" w14:textId="77777777" w:rsidR="00F20517" w:rsidRPr="00033E11" w:rsidRDefault="00F20517" w:rsidP="0063330E">
            <w:pPr>
              <w:spacing w:line="240" w:lineRule="auto"/>
              <w:rPr>
                <w:rFonts w:eastAsia="Times New Roman" w:cs="Times New Roman"/>
                <w:szCs w:val="24"/>
              </w:rPr>
            </w:pPr>
          </w:p>
        </w:tc>
        <w:tc>
          <w:tcPr>
            <w:tcW w:w="1280" w:type="dxa"/>
            <w:tcBorders>
              <w:top w:val="nil"/>
              <w:left w:val="nil"/>
              <w:bottom w:val="single" w:sz="4" w:space="0" w:color="auto"/>
              <w:right w:val="nil"/>
            </w:tcBorders>
            <w:shd w:val="clear" w:color="auto" w:fill="auto"/>
            <w:noWrap/>
            <w:vAlign w:val="bottom"/>
            <w:hideMark/>
          </w:tcPr>
          <w:p w14:paraId="4268CC03"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(mM)</w:t>
            </w:r>
          </w:p>
        </w:tc>
        <w:tc>
          <w:tcPr>
            <w:tcW w:w="1280" w:type="dxa"/>
            <w:tcBorders>
              <w:top w:val="nil"/>
              <w:left w:val="nil"/>
              <w:bottom w:val="single" w:sz="4" w:space="0" w:color="auto"/>
              <w:right w:val="nil"/>
            </w:tcBorders>
            <w:shd w:val="clear" w:color="auto" w:fill="auto"/>
            <w:noWrap/>
            <w:vAlign w:val="bottom"/>
            <w:hideMark/>
          </w:tcPr>
          <w:p w14:paraId="49675FDD"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(μM)</w:t>
            </w:r>
          </w:p>
        </w:tc>
        <w:tc>
          <w:tcPr>
            <w:tcW w:w="1280" w:type="dxa"/>
            <w:tcBorders>
              <w:top w:val="nil"/>
              <w:left w:val="nil"/>
              <w:bottom w:val="single" w:sz="4" w:space="0" w:color="auto"/>
              <w:right w:val="nil"/>
            </w:tcBorders>
            <w:shd w:val="clear" w:color="auto" w:fill="auto"/>
            <w:noWrap/>
            <w:vAlign w:val="bottom"/>
            <w:hideMark/>
          </w:tcPr>
          <w:p w14:paraId="1DD58AC9"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(mM)</w:t>
            </w:r>
          </w:p>
        </w:tc>
        <w:tc>
          <w:tcPr>
            <w:tcW w:w="1280" w:type="dxa"/>
            <w:vMerge/>
            <w:tcBorders>
              <w:top w:val="single" w:sz="4" w:space="0" w:color="auto"/>
              <w:left w:val="nil"/>
              <w:bottom w:val="single" w:sz="4" w:space="0" w:color="000000"/>
              <w:right w:val="nil"/>
            </w:tcBorders>
            <w:vAlign w:val="center"/>
            <w:hideMark/>
          </w:tcPr>
          <w:p w14:paraId="243A1145" w14:textId="77777777" w:rsidR="00F20517" w:rsidRPr="00033E11" w:rsidRDefault="00F20517" w:rsidP="0063330E">
            <w:pPr>
              <w:spacing w:line="240" w:lineRule="auto"/>
              <w:rPr>
                <w:rFonts w:eastAsia="Times New Roman" w:cs="Times New Roman"/>
                <w:szCs w:val="24"/>
              </w:rPr>
            </w:pPr>
          </w:p>
        </w:tc>
      </w:tr>
      <w:tr w:rsidR="00F20517" w:rsidRPr="00033E11" w14:paraId="6327CF5E" w14:textId="77777777" w:rsidTr="00236286">
        <w:trPr>
          <w:trHeight w:val="576"/>
        </w:trPr>
        <w:tc>
          <w:tcPr>
            <w:tcW w:w="1280" w:type="dxa"/>
            <w:tcBorders>
              <w:top w:val="nil"/>
              <w:left w:val="nil"/>
              <w:bottom w:val="nil"/>
              <w:right w:val="nil"/>
            </w:tcBorders>
            <w:shd w:val="clear" w:color="auto" w:fill="auto"/>
            <w:noWrap/>
            <w:vAlign w:val="center"/>
            <w:hideMark/>
          </w:tcPr>
          <w:p w14:paraId="60371D9A"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GW835</w:t>
            </w:r>
          </w:p>
        </w:tc>
        <w:tc>
          <w:tcPr>
            <w:tcW w:w="1280" w:type="dxa"/>
            <w:tcBorders>
              <w:top w:val="nil"/>
              <w:left w:val="nil"/>
              <w:bottom w:val="nil"/>
              <w:right w:val="nil"/>
            </w:tcBorders>
            <w:shd w:val="clear" w:color="auto" w:fill="auto"/>
            <w:noWrap/>
            <w:vAlign w:val="center"/>
            <w:hideMark/>
          </w:tcPr>
          <w:p w14:paraId="3D7787F2"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1.0</w:t>
            </w:r>
          </w:p>
        </w:tc>
        <w:tc>
          <w:tcPr>
            <w:tcW w:w="1280" w:type="dxa"/>
            <w:tcBorders>
              <w:top w:val="nil"/>
              <w:left w:val="nil"/>
              <w:bottom w:val="nil"/>
              <w:right w:val="nil"/>
            </w:tcBorders>
            <w:shd w:val="clear" w:color="auto" w:fill="auto"/>
            <w:noWrap/>
            <w:vAlign w:val="center"/>
            <w:hideMark/>
          </w:tcPr>
          <w:p w14:paraId="2DA71114"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5.0</w:t>
            </w:r>
          </w:p>
        </w:tc>
        <w:tc>
          <w:tcPr>
            <w:tcW w:w="1280" w:type="dxa"/>
            <w:tcBorders>
              <w:top w:val="nil"/>
              <w:left w:val="nil"/>
              <w:bottom w:val="nil"/>
              <w:right w:val="nil"/>
            </w:tcBorders>
            <w:shd w:val="clear" w:color="auto" w:fill="auto"/>
            <w:noWrap/>
            <w:vAlign w:val="center"/>
            <w:hideMark/>
          </w:tcPr>
          <w:p w14:paraId="7D46EEA6"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1.0</w:t>
            </w:r>
          </w:p>
        </w:tc>
        <w:tc>
          <w:tcPr>
            <w:tcW w:w="1280" w:type="dxa"/>
            <w:tcBorders>
              <w:top w:val="nil"/>
              <w:left w:val="nil"/>
              <w:bottom w:val="nil"/>
              <w:right w:val="nil"/>
            </w:tcBorders>
            <w:shd w:val="clear" w:color="auto" w:fill="auto"/>
            <w:noWrap/>
            <w:vAlign w:val="center"/>
            <w:hideMark/>
          </w:tcPr>
          <w:p w14:paraId="253E53F6"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6.5</w:t>
            </w:r>
          </w:p>
        </w:tc>
      </w:tr>
      <w:tr w:rsidR="00F20517" w:rsidRPr="00033E11" w14:paraId="3ABF3B3A" w14:textId="77777777" w:rsidTr="00236286">
        <w:trPr>
          <w:trHeight w:val="576"/>
        </w:trPr>
        <w:tc>
          <w:tcPr>
            <w:tcW w:w="1280" w:type="dxa"/>
            <w:tcBorders>
              <w:top w:val="nil"/>
              <w:left w:val="nil"/>
              <w:bottom w:val="nil"/>
              <w:right w:val="nil"/>
            </w:tcBorders>
            <w:shd w:val="clear" w:color="auto" w:fill="auto"/>
            <w:noWrap/>
            <w:vAlign w:val="center"/>
            <w:hideMark/>
          </w:tcPr>
          <w:p w14:paraId="094B4289"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FW218</w:t>
            </w:r>
          </w:p>
        </w:tc>
        <w:tc>
          <w:tcPr>
            <w:tcW w:w="1280" w:type="dxa"/>
            <w:tcBorders>
              <w:top w:val="nil"/>
              <w:left w:val="nil"/>
              <w:bottom w:val="nil"/>
              <w:right w:val="nil"/>
            </w:tcBorders>
            <w:shd w:val="clear" w:color="auto" w:fill="auto"/>
            <w:noWrap/>
            <w:vAlign w:val="center"/>
            <w:hideMark/>
          </w:tcPr>
          <w:p w14:paraId="27443F23"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12.9</w:t>
            </w:r>
          </w:p>
        </w:tc>
        <w:tc>
          <w:tcPr>
            <w:tcW w:w="1280" w:type="dxa"/>
            <w:tcBorders>
              <w:top w:val="nil"/>
              <w:left w:val="nil"/>
              <w:bottom w:val="nil"/>
              <w:right w:val="nil"/>
            </w:tcBorders>
            <w:shd w:val="clear" w:color="auto" w:fill="auto"/>
            <w:noWrap/>
            <w:vAlign w:val="center"/>
            <w:hideMark/>
          </w:tcPr>
          <w:p w14:paraId="0036F27E"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0.1</w:t>
            </w:r>
          </w:p>
        </w:tc>
        <w:tc>
          <w:tcPr>
            <w:tcW w:w="1280" w:type="dxa"/>
            <w:tcBorders>
              <w:top w:val="nil"/>
              <w:left w:val="nil"/>
              <w:bottom w:val="nil"/>
              <w:right w:val="nil"/>
            </w:tcBorders>
            <w:shd w:val="clear" w:color="auto" w:fill="auto"/>
            <w:noWrap/>
            <w:vAlign w:val="center"/>
            <w:hideMark/>
          </w:tcPr>
          <w:p w14:paraId="570177E8"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0.4</w:t>
            </w:r>
          </w:p>
        </w:tc>
        <w:tc>
          <w:tcPr>
            <w:tcW w:w="1280" w:type="dxa"/>
            <w:tcBorders>
              <w:top w:val="nil"/>
              <w:left w:val="nil"/>
              <w:bottom w:val="nil"/>
              <w:right w:val="nil"/>
            </w:tcBorders>
            <w:shd w:val="clear" w:color="auto" w:fill="auto"/>
            <w:noWrap/>
            <w:vAlign w:val="center"/>
            <w:hideMark/>
          </w:tcPr>
          <w:p w14:paraId="6E61D898"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7.0</w:t>
            </w:r>
          </w:p>
        </w:tc>
      </w:tr>
      <w:tr w:rsidR="00F20517" w:rsidRPr="00033E11" w14:paraId="19497DD0" w14:textId="77777777" w:rsidTr="00236286">
        <w:trPr>
          <w:trHeight w:val="576"/>
        </w:trPr>
        <w:tc>
          <w:tcPr>
            <w:tcW w:w="1280" w:type="dxa"/>
            <w:tcBorders>
              <w:top w:val="nil"/>
              <w:left w:val="nil"/>
              <w:bottom w:val="nil"/>
              <w:right w:val="nil"/>
            </w:tcBorders>
            <w:shd w:val="clear" w:color="auto" w:fill="auto"/>
            <w:noWrap/>
            <w:vAlign w:val="center"/>
            <w:hideMark/>
          </w:tcPr>
          <w:p w14:paraId="554FEB39"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FW219</w:t>
            </w:r>
          </w:p>
        </w:tc>
        <w:tc>
          <w:tcPr>
            <w:tcW w:w="1280" w:type="dxa"/>
            <w:tcBorders>
              <w:top w:val="nil"/>
              <w:left w:val="nil"/>
              <w:bottom w:val="nil"/>
              <w:right w:val="nil"/>
            </w:tcBorders>
            <w:shd w:val="clear" w:color="auto" w:fill="auto"/>
            <w:noWrap/>
            <w:vAlign w:val="center"/>
            <w:hideMark/>
          </w:tcPr>
          <w:p w14:paraId="75FFCAA9"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0.4</w:t>
            </w:r>
          </w:p>
        </w:tc>
        <w:tc>
          <w:tcPr>
            <w:tcW w:w="1280" w:type="dxa"/>
            <w:tcBorders>
              <w:top w:val="nil"/>
              <w:left w:val="nil"/>
              <w:bottom w:val="nil"/>
              <w:right w:val="nil"/>
            </w:tcBorders>
            <w:shd w:val="clear" w:color="auto" w:fill="auto"/>
            <w:noWrap/>
            <w:vAlign w:val="center"/>
            <w:hideMark/>
          </w:tcPr>
          <w:p w14:paraId="710EB73E"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3.9</w:t>
            </w:r>
          </w:p>
        </w:tc>
        <w:tc>
          <w:tcPr>
            <w:tcW w:w="1280" w:type="dxa"/>
            <w:tcBorders>
              <w:top w:val="nil"/>
              <w:left w:val="nil"/>
              <w:bottom w:val="nil"/>
              <w:right w:val="nil"/>
            </w:tcBorders>
            <w:shd w:val="clear" w:color="auto" w:fill="auto"/>
            <w:noWrap/>
            <w:vAlign w:val="center"/>
            <w:hideMark/>
          </w:tcPr>
          <w:p w14:paraId="5C98BD7B"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0.6</w:t>
            </w:r>
          </w:p>
        </w:tc>
        <w:tc>
          <w:tcPr>
            <w:tcW w:w="1280" w:type="dxa"/>
            <w:tcBorders>
              <w:top w:val="nil"/>
              <w:left w:val="nil"/>
              <w:bottom w:val="nil"/>
              <w:right w:val="nil"/>
            </w:tcBorders>
            <w:shd w:val="clear" w:color="auto" w:fill="auto"/>
            <w:noWrap/>
            <w:vAlign w:val="center"/>
            <w:hideMark/>
          </w:tcPr>
          <w:p w14:paraId="6AAA108A"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7.4</w:t>
            </w:r>
          </w:p>
        </w:tc>
      </w:tr>
      <w:tr w:rsidR="00F20517" w:rsidRPr="00033E11" w14:paraId="27C2FD91" w14:textId="77777777" w:rsidTr="00236286">
        <w:trPr>
          <w:trHeight w:val="576"/>
        </w:trPr>
        <w:tc>
          <w:tcPr>
            <w:tcW w:w="1280" w:type="dxa"/>
            <w:tcBorders>
              <w:top w:val="nil"/>
              <w:left w:val="nil"/>
              <w:bottom w:val="nil"/>
              <w:right w:val="nil"/>
            </w:tcBorders>
            <w:shd w:val="clear" w:color="auto" w:fill="auto"/>
            <w:noWrap/>
            <w:vAlign w:val="center"/>
            <w:hideMark/>
          </w:tcPr>
          <w:p w14:paraId="336C5BD2"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FW220</w:t>
            </w:r>
          </w:p>
        </w:tc>
        <w:tc>
          <w:tcPr>
            <w:tcW w:w="1280" w:type="dxa"/>
            <w:tcBorders>
              <w:top w:val="nil"/>
              <w:left w:val="nil"/>
              <w:bottom w:val="nil"/>
              <w:right w:val="nil"/>
            </w:tcBorders>
            <w:shd w:val="clear" w:color="auto" w:fill="auto"/>
            <w:noWrap/>
            <w:vAlign w:val="center"/>
            <w:hideMark/>
          </w:tcPr>
          <w:p w14:paraId="5F0B5729"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0.2</w:t>
            </w:r>
          </w:p>
        </w:tc>
        <w:tc>
          <w:tcPr>
            <w:tcW w:w="1280" w:type="dxa"/>
            <w:tcBorders>
              <w:top w:val="nil"/>
              <w:left w:val="nil"/>
              <w:bottom w:val="nil"/>
              <w:right w:val="nil"/>
            </w:tcBorders>
            <w:shd w:val="clear" w:color="auto" w:fill="auto"/>
            <w:noWrap/>
            <w:vAlign w:val="center"/>
            <w:hideMark/>
          </w:tcPr>
          <w:p w14:paraId="511BB1DC"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0.1</w:t>
            </w:r>
          </w:p>
        </w:tc>
        <w:tc>
          <w:tcPr>
            <w:tcW w:w="1280" w:type="dxa"/>
            <w:tcBorders>
              <w:top w:val="nil"/>
              <w:left w:val="nil"/>
              <w:bottom w:val="nil"/>
              <w:right w:val="nil"/>
            </w:tcBorders>
            <w:shd w:val="clear" w:color="auto" w:fill="auto"/>
            <w:noWrap/>
            <w:vAlign w:val="center"/>
            <w:hideMark/>
          </w:tcPr>
          <w:p w14:paraId="2E832954"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0.1</w:t>
            </w:r>
          </w:p>
        </w:tc>
        <w:tc>
          <w:tcPr>
            <w:tcW w:w="1280" w:type="dxa"/>
            <w:tcBorders>
              <w:top w:val="nil"/>
              <w:left w:val="nil"/>
              <w:bottom w:val="nil"/>
              <w:right w:val="nil"/>
            </w:tcBorders>
            <w:shd w:val="clear" w:color="auto" w:fill="auto"/>
            <w:noWrap/>
            <w:vAlign w:val="center"/>
            <w:hideMark/>
          </w:tcPr>
          <w:p w14:paraId="78D53E46"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7.7</w:t>
            </w:r>
          </w:p>
        </w:tc>
      </w:tr>
      <w:tr w:rsidR="00F20517" w:rsidRPr="00033E11" w14:paraId="2542D512" w14:textId="77777777" w:rsidTr="00236286">
        <w:trPr>
          <w:trHeight w:val="576"/>
        </w:trPr>
        <w:tc>
          <w:tcPr>
            <w:tcW w:w="1280" w:type="dxa"/>
            <w:tcBorders>
              <w:top w:val="nil"/>
              <w:left w:val="nil"/>
              <w:bottom w:val="nil"/>
              <w:right w:val="nil"/>
            </w:tcBorders>
            <w:shd w:val="clear" w:color="auto" w:fill="auto"/>
            <w:noWrap/>
            <w:vAlign w:val="center"/>
            <w:hideMark/>
          </w:tcPr>
          <w:p w14:paraId="7E865A25"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FW221</w:t>
            </w:r>
          </w:p>
        </w:tc>
        <w:tc>
          <w:tcPr>
            <w:tcW w:w="1280" w:type="dxa"/>
            <w:tcBorders>
              <w:top w:val="nil"/>
              <w:left w:val="nil"/>
              <w:bottom w:val="nil"/>
              <w:right w:val="nil"/>
            </w:tcBorders>
            <w:shd w:val="clear" w:color="auto" w:fill="auto"/>
            <w:noWrap/>
            <w:vAlign w:val="center"/>
            <w:hideMark/>
          </w:tcPr>
          <w:p w14:paraId="033D3FAC"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1.2</w:t>
            </w:r>
          </w:p>
        </w:tc>
        <w:tc>
          <w:tcPr>
            <w:tcW w:w="1280" w:type="dxa"/>
            <w:tcBorders>
              <w:top w:val="nil"/>
              <w:left w:val="nil"/>
              <w:bottom w:val="nil"/>
              <w:right w:val="nil"/>
            </w:tcBorders>
            <w:shd w:val="clear" w:color="auto" w:fill="auto"/>
            <w:noWrap/>
            <w:vAlign w:val="center"/>
            <w:hideMark/>
          </w:tcPr>
          <w:p w14:paraId="5FC05145"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0.1</w:t>
            </w:r>
          </w:p>
        </w:tc>
        <w:tc>
          <w:tcPr>
            <w:tcW w:w="1280" w:type="dxa"/>
            <w:tcBorders>
              <w:top w:val="nil"/>
              <w:left w:val="nil"/>
              <w:bottom w:val="nil"/>
              <w:right w:val="nil"/>
            </w:tcBorders>
            <w:shd w:val="clear" w:color="auto" w:fill="auto"/>
            <w:noWrap/>
            <w:vAlign w:val="center"/>
            <w:hideMark/>
          </w:tcPr>
          <w:p w14:paraId="6FFAAF37"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0.2</w:t>
            </w:r>
          </w:p>
        </w:tc>
        <w:tc>
          <w:tcPr>
            <w:tcW w:w="1280" w:type="dxa"/>
            <w:tcBorders>
              <w:top w:val="nil"/>
              <w:left w:val="nil"/>
              <w:bottom w:val="nil"/>
              <w:right w:val="nil"/>
            </w:tcBorders>
            <w:shd w:val="clear" w:color="auto" w:fill="auto"/>
            <w:noWrap/>
            <w:vAlign w:val="center"/>
            <w:hideMark/>
          </w:tcPr>
          <w:p w14:paraId="7F20B814"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7.5</w:t>
            </w:r>
          </w:p>
        </w:tc>
      </w:tr>
      <w:tr w:rsidR="00F20517" w:rsidRPr="00033E11" w14:paraId="1591D0EE" w14:textId="77777777" w:rsidTr="00236286">
        <w:trPr>
          <w:trHeight w:val="576"/>
        </w:trPr>
        <w:tc>
          <w:tcPr>
            <w:tcW w:w="1280" w:type="dxa"/>
            <w:tcBorders>
              <w:top w:val="nil"/>
              <w:left w:val="nil"/>
              <w:bottom w:val="nil"/>
              <w:right w:val="nil"/>
            </w:tcBorders>
            <w:shd w:val="clear" w:color="auto" w:fill="auto"/>
            <w:noWrap/>
            <w:vAlign w:val="center"/>
            <w:hideMark/>
          </w:tcPr>
          <w:p w14:paraId="0FF4EC7B"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FW222</w:t>
            </w:r>
          </w:p>
        </w:tc>
        <w:tc>
          <w:tcPr>
            <w:tcW w:w="1280" w:type="dxa"/>
            <w:tcBorders>
              <w:top w:val="nil"/>
              <w:left w:val="nil"/>
              <w:bottom w:val="nil"/>
              <w:right w:val="nil"/>
            </w:tcBorders>
            <w:shd w:val="clear" w:color="auto" w:fill="auto"/>
            <w:noWrap/>
            <w:vAlign w:val="center"/>
            <w:hideMark/>
          </w:tcPr>
          <w:p w14:paraId="4220F576"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0.1</w:t>
            </w:r>
          </w:p>
        </w:tc>
        <w:tc>
          <w:tcPr>
            <w:tcW w:w="1280" w:type="dxa"/>
            <w:tcBorders>
              <w:top w:val="nil"/>
              <w:left w:val="nil"/>
              <w:bottom w:val="nil"/>
              <w:right w:val="nil"/>
            </w:tcBorders>
            <w:shd w:val="clear" w:color="auto" w:fill="auto"/>
            <w:noWrap/>
            <w:vAlign w:val="center"/>
            <w:hideMark/>
          </w:tcPr>
          <w:p w14:paraId="0575945A"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0.1</w:t>
            </w:r>
          </w:p>
        </w:tc>
        <w:tc>
          <w:tcPr>
            <w:tcW w:w="1280" w:type="dxa"/>
            <w:tcBorders>
              <w:top w:val="nil"/>
              <w:left w:val="nil"/>
              <w:bottom w:val="nil"/>
              <w:right w:val="nil"/>
            </w:tcBorders>
            <w:shd w:val="clear" w:color="auto" w:fill="auto"/>
            <w:noWrap/>
            <w:vAlign w:val="center"/>
            <w:hideMark/>
          </w:tcPr>
          <w:p w14:paraId="0AC8E411"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0.1</w:t>
            </w:r>
          </w:p>
        </w:tc>
        <w:tc>
          <w:tcPr>
            <w:tcW w:w="1280" w:type="dxa"/>
            <w:tcBorders>
              <w:top w:val="nil"/>
              <w:left w:val="nil"/>
              <w:bottom w:val="nil"/>
              <w:right w:val="nil"/>
            </w:tcBorders>
            <w:shd w:val="clear" w:color="auto" w:fill="auto"/>
            <w:noWrap/>
            <w:vAlign w:val="center"/>
            <w:hideMark/>
          </w:tcPr>
          <w:p w14:paraId="57E20976"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7.8</w:t>
            </w:r>
          </w:p>
        </w:tc>
      </w:tr>
      <w:tr w:rsidR="00F20517" w:rsidRPr="00033E11" w14:paraId="73FEDF73" w14:textId="77777777" w:rsidTr="00236286">
        <w:trPr>
          <w:trHeight w:val="576"/>
        </w:trPr>
        <w:tc>
          <w:tcPr>
            <w:tcW w:w="1280" w:type="dxa"/>
            <w:tcBorders>
              <w:top w:val="nil"/>
              <w:left w:val="nil"/>
              <w:bottom w:val="nil"/>
              <w:right w:val="nil"/>
            </w:tcBorders>
            <w:shd w:val="clear" w:color="auto" w:fill="auto"/>
            <w:noWrap/>
            <w:vAlign w:val="center"/>
            <w:hideMark/>
          </w:tcPr>
          <w:p w14:paraId="160904DE"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FW223</w:t>
            </w:r>
          </w:p>
        </w:tc>
        <w:tc>
          <w:tcPr>
            <w:tcW w:w="1280" w:type="dxa"/>
            <w:tcBorders>
              <w:top w:val="nil"/>
              <w:left w:val="nil"/>
              <w:bottom w:val="nil"/>
              <w:right w:val="nil"/>
            </w:tcBorders>
            <w:shd w:val="clear" w:color="auto" w:fill="auto"/>
            <w:noWrap/>
            <w:vAlign w:val="center"/>
            <w:hideMark/>
          </w:tcPr>
          <w:p w14:paraId="730C7A48"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0.1</w:t>
            </w:r>
          </w:p>
        </w:tc>
        <w:tc>
          <w:tcPr>
            <w:tcW w:w="1280" w:type="dxa"/>
            <w:tcBorders>
              <w:top w:val="nil"/>
              <w:left w:val="nil"/>
              <w:bottom w:val="nil"/>
              <w:right w:val="nil"/>
            </w:tcBorders>
            <w:shd w:val="clear" w:color="auto" w:fill="auto"/>
            <w:noWrap/>
            <w:vAlign w:val="center"/>
            <w:hideMark/>
          </w:tcPr>
          <w:p w14:paraId="40BC20DB"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0.1</w:t>
            </w:r>
          </w:p>
        </w:tc>
        <w:tc>
          <w:tcPr>
            <w:tcW w:w="1280" w:type="dxa"/>
            <w:tcBorders>
              <w:top w:val="nil"/>
              <w:left w:val="nil"/>
              <w:bottom w:val="nil"/>
              <w:right w:val="nil"/>
            </w:tcBorders>
            <w:shd w:val="clear" w:color="auto" w:fill="auto"/>
            <w:noWrap/>
            <w:vAlign w:val="center"/>
            <w:hideMark/>
          </w:tcPr>
          <w:p w14:paraId="0C453F6A"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0.1</w:t>
            </w:r>
          </w:p>
        </w:tc>
        <w:tc>
          <w:tcPr>
            <w:tcW w:w="1280" w:type="dxa"/>
            <w:tcBorders>
              <w:top w:val="nil"/>
              <w:left w:val="nil"/>
              <w:bottom w:val="nil"/>
              <w:right w:val="nil"/>
            </w:tcBorders>
            <w:shd w:val="clear" w:color="auto" w:fill="auto"/>
            <w:noWrap/>
            <w:vAlign w:val="center"/>
            <w:hideMark/>
          </w:tcPr>
          <w:p w14:paraId="579E6E6B"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8.0</w:t>
            </w:r>
          </w:p>
        </w:tc>
      </w:tr>
      <w:tr w:rsidR="00F20517" w:rsidRPr="00033E11" w14:paraId="73A3B6EC" w14:textId="77777777" w:rsidTr="00236286">
        <w:trPr>
          <w:trHeight w:val="576"/>
        </w:trPr>
        <w:tc>
          <w:tcPr>
            <w:tcW w:w="1280" w:type="dxa"/>
            <w:tcBorders>
              <w:top w:val="nil"/>
              <w:left w:val="nil"/>
              <w:bottom w:val="nil"/>
              <w:right w:val="nil"/>
            </w:tcBorders>
            <w:shd w:val="clear" w:color="auto" w:fill="auto"/>
            <w:noWrap/>
            <w:vAlign w:val="center"/>
            <w:hideMark/>
          </w:tcPr>
          <w:p w14:paraId="13CF4427"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FW224</w:t>
            </w:r>
          </w:p>
        </w:tc>
        <w:tc>
          <w:tcPr>
            <w:tcW w:w="1280" w:type="dxa"/>
            <w:tcBorders>
              <w:top w:val="nil"/>
              <w:left w:val="nil"/>
              <w:bottom w:val="nil"/>
              <w:right w:val="nil"/>
            </w:tcBorders>
            <w:shd w:val="clear" w:color="auto" w:fill="auto"/>
            <w:noWrap/>
            <w:vAlign w:val="center"/>
            <w:hideMark/>
          </w:tcPr>
          <w:p w14:paraId="11764BEF"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0.1</w:t>
            </w:r>
          </w:p>
        </w:tc>
        <w:tc>
          <w:tcPr>
            <w:tcW w:w="1280" w:type="dxa"/>
            <w:tcBorders>
              <w:top w:val="nil"/>
              <w:left w:val="nil"/>
              <w:bottom w:val="nil"/>
              <w:right w:val="nil"/>
            </w:tcBorders>
            <w:shd w:val="clear" w:color="auto" w:fill="auto"/>
            <w:noWrap/>
            <w:vAlign w:val="center"/>
            <w:hideMark/>
          </w:tcPr>
          <w:p w14:paraId="024BD968"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0.1</w:t>
            </w:r>
          </w:p>
        </w:tc>
        <w:tc>
          <w:tcPr>
            <w:tcW w:w="1280" w:type="dxa"/>
            <w:tcBorders>
              <w:top w:val="nil"/>
              <w:left w:val="nil"/>
              <w:bottom w:val="nil"/>
              <w:right w:val="nil"/>
            </w:tcBorders>
            <w:shd w:val="clear" w:color="auto" w:fill="auto"/>
            <w:noWrap/>
            <w:vAlign w:val="center"/>
            <w:hideMark/>
          </w:tcPr>
          <w:p w14:paraId="32E02C7F"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0.1</w:t>
            </w:r>
          </w:p>
        </w:tc>
        <w:tc>
          <w:tcPr>
            <w:tcW w:w="1280" w:type="dxa"/>
            <w:tcBorders>
              <w:top w:val="nil"/>
              <w:left w:val="nil"/>
              <w:bottom w:val="nil"/>
              <w:right w:val="nil"/>
            </w:tcBorders>
            <w:shd w:val="clear" w:color="auto" w:fill="auto"/>
            <w:noWrap/>
            <w:vAlign w:val="center"/>
            <w:hideMark/>
          </w:tcPr>
          <w:p w14:paraId="5D17C314"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7.7</w:t>
            </w:r>
          </w:p>
        </w:tc>
      </w:tr>
      <w:tr w:rsidR="00F20517" w:rsidRPr="00033E11" w14:paraId="3EED504F" w14:textId="77777777" w:rsidTr="00236286">
        <w:trPr>
          <w:trHeight w:val="576"/>
        </w:trPr>
        <w:tc>
          <w:tcPr>
            <w:tcW w:w="1280" w:type="dxa"/>
            <w:tcBorders>
              <w:top w:val="nil"/>
              <w:left w:val="nil"/>
              <w:bottom w:val="nil"/>
              <w:right w:val="nil"/>
            </w:tcBorders>
            <w:shd w:val="clear" w:color="auto" w:fill="auto"/>
            <w:noWrap/>
            <w:vAlign w:val="center"/>
            <w:hideMark/>
          </w:tcPr>
          <w:p w14:paraId="6AAD61B6"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FW225</w:t>
            </w:r>
          </w:p>
        </w:tc>
        <w:tc>
          <w:tcPr>
            <w:tcW w:w="1280" w:type="dxa"/>
            <w:tcBorders>
              <w:top w:val="nil"/>
              <w:left w:val="nil"/>
              <w:bottom w:val="nil"/>
              <w:right w:val="nil"/>
            </w:tcBorders>
            <w:shd w:val="clear" w:color="auto" w:fill="auto"/>
            <w:noWrap/>
            <w:vAlign w:val="center"/>
            <w:hideMark/>
          </w:tcPr>
          <w:p w14:paraId="188A6533"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0.7</w:t>
            </w:r>
          </w:p>
        </w:tc>
        <w:tc>
          <w:tcPr>
            <w:tcW w:w="1280" w:type="dxa"/>
            <w:tcBorders>
              <w:top w:val="nil"/>
              <w:left w:val="nil"/>
              <w:bottom w:val="nil"/>
              <w:right w:val="nil"/>
            </w:tcBorders>
            <w:shd w:val="clear" w:color="auto" w:fill="auto"/>
            <w:noWrap/>
            <w:vAlign w:val="center"/>
            <w:hideMark/>
          </w:tcPr>
          <w:p w14:paraId="10592674"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0.2</w:t>
            </w:r>
          </w:p>
        </w:tc>
        <w:tc>
          <w:tcPr>
            <w:tcW w:w="1280" w:type="dxa"/>
            <w:tcBorders>
              <w:top w:val="nil"/>
              <w:left w:val="nil"/>
              <w:bottom w:val="nil"/>
              <w:right w:val="nil"/>
            </w:tcBorders>
            <w:shd w:val="clear" w:color="auto" w:fill="auto"/>
            <w:noWrap/>
            <w:vAlign w:val="center"/>
            <w:hideMark/>
          </w:tcPr>
          <w:p w14:paraId="4724EA36"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0.1</w:t>
            </w:r>
          </w:p>
        </w:tc>
        <w:tc>
          <w:tcPr>
            <w:tcW w:w="1280" w:type="dxa"/>
            <w:tcBorders>
              <w:top w:val="nil"/>
              <w:left w:val="nil"/>
              <w:bottom w:val="nil"/>
              <w:right w:val="nil"/>
            </w:tcBorders>
            <w:shd w:val="clear" w:color="auto" w:fill="auto"/>
            <w:noWrap/>
            <w:vAlign w:val="center"/>
            <w:hideMark/>
          </w:tcPr>
          <w:p w14:paraId="6E39EAB0"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7.5</w:t>
            </w:r>
          </w:p>
        </w:tc>
      </w:tr>
      <w:tr w:rsidR="00F20517" w:rsidRPr="00033E11" w14:paraId="38943BA6" w14:textId="77777777" w:rsidTr="00236286">
        <w:trPr>
          <w:trHeight w:val="576"/>
        </w:trPr>
        <w:tc>
          <w:tcPr>
            <w:tcW w:w="1280" w:type="dxa"/>
            <w:tcBorders>
              <w:top w:val="nil"/>
              <w:left w:val="nil"/>
              <w:bottom w:val="nil"/>
              <w:right w:val="nil"/>
            </w:tcBorders>
            <w:shd w:val="clear" w:color="auto" w:fill="auto"/>
            <w:noWrap/>
            <w:vAlign w:val="center"/>
            <w:hideMark/>
          </w:tcPr>
          <w:p w14:paraId="312EAF9B"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FW226</w:t>
            </w:r>
          </w:p>
        </w:tc>
        <w:tc>
          <w:tcPr>
            <w:tcW w:w="1280" w:type="dxa"/>
            <w:tcBorders>
              <w:top w:val="nil"/>
              <w:left w:val="nil"/>
              <w:bottom w:val="nil"/>
              <w:right w:val="nil"/>
            </w:tcBorders>
            <w:shd w:val="clear" w:color="auto" w:fill="auto"/>
            <w:noWrap/>
            <w:vAlign w:val="center"/>
            <w:hideMark/>
          </w:tcPr>
          <w:p w14:paraId="67139D08"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1.2</w:t>
            </w:r>
          </w:p>
        </w:tc>
        <w:tc>
          <w:tcPr>
            <w:tcW w:w="1280" w:type="dxa"/>
            <w:tcBorders>
              <w:top w:val="nil"/>
              <w:left w:val="nil"/>
              <w:bottom w:val="nil"/>
              <w:right w:val="nil"/>
            </w:tcBorders>
            <w:shd w:val="clear" w:color="auto" w:fill="auto"/>
            <w:noWrap/>
            <w:vAlign w:val="center"/>
            <w:hideMark/>
          </w:tcPr>
          <w:p w14:paraId="767C1FEF"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0.2</w:t>
            </w:r>
          </w:p>
        </w:tc>
        <w:tc>
          <w:tcPr>
            <w:tcW w:w="1280" w:type="dxa"/>
            <w:tcBorders>
              <w:top w:val="nil"/>
              <w:left w:val="nil"/>
              <w:bottom w:val="nil"/>
              <w:right w:val="nil"/>
            </w:tcBorders>
            <w:shd w:val="clear" w:color="auto" w:fill="auto"/>
            <w:noWrap/>
            <w:vAlign w:val="center"/>
            <w:hideMark/>
          </w:tcPr>
          <w:p w14:paraId="12E20079"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1.9</w:t>
            </w:r>
          </w:p>
        </w:tc>
        <w:tc>
          <w:tcPr>
            <w:tcW w:w="1280" w:type="dxa"/>
            <w:tcBorders>
              <w:top w:val="nil"/>
              <w:left w:val="nil"/>
              <w:bottom w:val="nil"/>
              <w:right w:val="nil"/>
            </w:tcBorders>
            <w:shd w:val="clear" w:color="auto" w:fill="auto"/>
            <w:noWrap/>
            <w:vAlign w:val="center"/>
            <w:hideMark/>
          </w:tcPr>
          <w:p w14:paraId="0338E41F"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7.2</w:t>
            </w:r>
          </w:p>
        </w:tc>
      </w:tr>
      <w:tr w:rsidR="00F20517" w:rsidRPr="00033E11" w14:paraId="6D666F81" w14:textId="77777777" w:rsidTr="00236286">
        <w:trPr>
          <w:trHeight w:val="576"/>
        </w:trPr>
        <w:tc>
          <w:tcPr>
            <w:tcW w:w="1280" w:type="dxa"/>
            <w:tcBorders>
              <w:top w:val="nil"/>
              <w:left w:val="nil"/>
              <w:bottom w:val="single" w:sz="4" w:space="0" w:color="auto"/>
              <w:right w:val="nil"/>
            </w:tcBorders>
            <w:shd w:val="clear" w:color="auto" w:fill="auto"/>
            <w:noWrap/>
            <w:vAlign w:val="center"/>
            <w:hideMark/>
          </w:tcPr>
          <w:p w14:paraId="29C1269A"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FW227</w:t>
            </w:r>
          </w:p>
        </w:tc>
        <w:tc>
          <w:tcPr>
            <w:tcW w:w="1280" w:type="dxa"/>
            <w:tcBorders>
              <w:top w:val="nil"/>
              <w:left w:val="nil"/>
              <w:bottom w:val="single" w:sz="4" w:space="0" w:color="auto"/>
              <w:right w:val="nil"/>
            </w:tcBorders>
            <w:shd w:val="clear" w:color="auto" w:fill="auto"/>
            <w:noWrap/>
            <w:vAlign w:val="center"/>
            <w:hideMark/>
          </w:tcPr>
          <w:p w14:paraId="71F29D83"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0.3</w:t>
            </w:r>
          </w:p>
        </w:tc>
        <w:tc>
          <w:tcPr>
            <w:tcW w:w="1280" w:type="dxa"/>
            <w:tcBorders>
              <w:top w:val="nil"/>
              <w:left w:val="nil"/>
              <w:bottom w:val="single" w:sz="4" w:space="0" w:color="auto"/>
              <w:right w:val="nil"/>
            </w:tcBorders>
            <w:shd w:val="clear" w:color="auto" w:fill="auto"/>
            <w:noWrap/>
            <w:vAlign w:val="center"/>
            <w:hideMark/>
          </w:tcPr>
          <w:p w14:paraId="039193F1"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0.1</w:t>
            </w:r>
          </w:p>
        </w:tc>
        <w:tc>
          <w:tcPr>
            <w:tcW w:w="1280" w:type="dxa"/>
            <w:tcBorders>
              <w:top w:val="nil"/>
              <w:left w:val="nil"/>
              <w:bottom w:val="single" w:sz="4" w:space="0" w:color="auto"/>
              <w:right w:val="nil"/>
            </w:tcBorders>
            <w:shd w:val="clear" w:color="auto" w:fill="auto"/>
            <w:noWrap/>
            <w:vAlign w:val="center"/>
            <w:hideMark/>
          </w:tcPr>
          <w:p w14:paraId="02E54704"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0.5</w:t>
            </w:r>
          </w:p>
        </w:tc>
        <w:tc>
          <w:tcPr>
            <w:tcW w:w="1280" w:type="dxa"/>
            <w:tcBorders>
              <w:top w:val="nil"/>
              <w:left w:val="nil"/>
              <w:bottom w:val="single" w:sz="4" w:space="0" w:color="auto"/>
              <w:right w:val="nil"/>
            </w:tcBorders>
            <w:shd w:val="clear" w:color="auto" w:fill="auto"/>
            <w:noWrap/>
            <w:vAlign w:val="center"/>
            <w:hideMark/>
          </w:tcPr>
          <w:p w14:paraId="30E21C5A"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6.6</w:t>
            </w:r>
          </w:p>
        </w:tc>
      </w:tr>
    </w:tbl>
    <w:p w14:paraId="0DD08B4C" w14:textId="77777777" w:rsidR="00F20517" w:rsidRDefault="00F20517" w:rsidP="00F20517">
      <w:pPr>
        <w:pStyle w:val="NoSpacing"/>
      </w:pPr>
    </w:p>
    <w:p w14:paraId="147C9796" w14:textId="77777777" w:rsidR="00F73AD6" w:rsidRDefault="00F73AD6" w:rsidP="00F20517">
      <w:pPr>
        <w:pStyle w:val="NoSpacing"/>
      </w:pPr>
    </w:p>
    <w:p w14:paraId="0AD01915" w14:textId="77777777" w:rsidR="00F73AD6" w:rsidRDefault="00F73AD6" w:rsidP="00F20517">
      <w:pPr>
        <w:pStyle w:val="NoSpacing"/>
      </w:pPr>
    </w:p>
    <w:p w14:paraId="6C5EE7F5" w14:textId="77777777" w:rsidR="00F73AD6" w:rsidRDefault="00F73AD6" w:rsidP="00F20517">
      <w:pPr>
        <w:pStyle w:val="NoSpacing"/>
      </w:pPr>
    </w:p>
    <w:p w14:paraId="0FF59E17" w14:textId="77777777" w:rsidR="00F73AD6" w:rsidRDefault="00F73AD6" w:rsidP="00F20517">
      <w:pPr>
        <w:pStyle w:val="NoSpacing"/>
      </w:pPr>
    </w:p>
    <w:p w14:paraId="5CBE840A" w14:textId="77777777" w:rsidR="00F73AD6" w:rsidRDefault="00F73AD6" w:rsidP="00F20517">
      <w:pPr>
        <w:pStyle w:val="NoSpacing"/>
      </w:pPr>
    </w:p>
    <w:p w14:paraId="13DC4981" w14:textId="77777777" w:rsidR="00F73AD6" w:rsidRDefault="00F73AD6" w:rsidP="00F20517">
      <w:pPr>
        <w:pStyle w:val="NoSpacing"/>
      </w:pPr>
    </w:p>
    <w:p w14:paraId="04FC937D" w14:textId="77777777" w:rsidR="00F73AD6" w:rsidRDefault="00F73AD6" w:rsidP="00F20517">
      <w:pPr>
        <w:pStyle w:val="NoSpacing"/>
      </w:pPr>
    </w:p>
    <w:p w14:paraId="68B2C9AC" w14:textId="77777777" w:rsidR="00F73AD6" w:rsidRDefault="00F73AD6" w:rsidP="00F20517">
      <w:pPr>
        <w:pStyle w:val="NoSpacing"/>
      </w:pPr>
    </w:p>
    <w:p w14:paraId="2DEFAC38" w14:textId="77777777" w:rsidR="00F73AD6" w:rsidRDefault="00F73AD6" w:rsidP="00F20517">
      <w:pPr>
        <w:pStyle w:val="NoSpacing"/>
      </w:pPr>
    </w:p>
    <w:p w14:paraId="5EAEA6ED" w14:textId="77777777" w:rsidR="00F73AD6" w:rsidRDefault="00F73AD6" w:rsidP="00F20517">
      <w:pPr>
        <w:pStyle w:val="NoSpacing"/>
      </w:pPr>
    </w:p>
    <w:p w14:paraId="6D46AFFB" w14:textId="77777777" w:rsidR="00F73AD6" w:rsidRDefault="00F73AD6" w:rsidP="00F20517">
      <w:pPr>
        <w:pStyle w:val="NoSpacing"/>
      </w:pPr>
    </w:p>
    <w:p w14:paraId="4BDA20E0" w14:textId="77777777" w:rsidR="00F73AD6" w:rsidRDefault="00F73AD6" w:rsidP="00F20517">
      <w:pPr>
        <w:pStyle w:val="NoSpacing"/>
      </w:pPr>
    </w:p>
    <w:p w14:paraId="0A2C1269" w14:textId="77777777" w:rsidR="005774C8" w:rsidRDefault="005774C8" w:rsidP="00F20517">
      <w:pPr>
        <w:pStyle w:val="NoSpacing"/>
      </w:pPr>
    </w:p>
    <w:p w14:paraId="57CB023C" w14:textId="77777777" w:rsidR="00F73AD6" w:rsidRDefault="00F73AD6" w:rsidP="00F20517">
      <w:pPr>
        <w:pStyle w:val="NoSpacing"/>
      </w:pPr>
    </w:p>
    <w:p w14:paraId="2221AB90" w14:textId="77777777" w:rsidR="00F73AD6" w:rsidRPr="00033E11" w:rsidRDefault="00F73AD6" w:rsidP="006024A7">
      <w:r w:rsidRPr="00033E11">
        <w:lastRenderedPageBreak/>
        <w:t xml:space="preserve">frame </w:t>
      </w:r>
      <w:proofErr w:type="gramStart"/>
      <w:r w:rsidRPr="00033E11">
        <w:t>were</w:t>
      </w:r>
      <w:proofErr w:type="gramEnd"/>
      <w:r w:rsidRPr="00033E11">
        <w:t xml:space="preserve"> identical to the biostimulation tests. Five samples of the injectate were collected during the injection phase. Post-injection groundwater samples were collected by periodic extraction of the test wells for 36 days and analyzed for bromide, ethanol, nitrate, nitrite, U(VI), and sulfate.</w:t>
      </w:r>
    </w:p>
    <w:p w14:paraId="00BF7F25" w14:textId="77777777" w:rsidR="00F20517" w:rsidRPr="00033E11" w:rsidRDefault="00603CC9" w:rsidP="004407DB">
      <w:pPr>
        <w:pStyle w:val="Heading3"/>
      </w:pPr>
      <w:bookmarkStart w:id="42" w:name="_Toc475171395"/>
      <w:bookmarkStart w:id="43" w:name="_Toc475172172"/>
      <w:bookmarkStart w:id="44" w:name="_Toc475172675"/>
      <w:bookmarkStart w:id="45" w:name="_Toc475172752"/>
      <w:bookmarkStart w:id="46" w:name="_Toc498505025"/>
      <w:r>
        <w:t>2.3.3.</w:t>
      </w:r>
      <w:r>
        <w:tab/>
      </w:r>
      <w:r w:rsidR="00F20517" w:rsidRPr="00033E11">
        <w:t>Laboratory analysis</w:t>
      </w:r>
      <w:bookmarkEnd w:id="42"/>
      <w:bookmarkEnd w:id="43"/>
      <w:bookmarkEnd w:id="44"/>
      <w:bookmarkEnd w:id="45"/>
      <w:bookmarkEnd w:id="46"/>
    </w:p>
    <w:p w14:paraId="4D7D5B06" w14:textId="77777777" w:rsidR="00F20517" w:rsidRPr="00033E11" w:rsidRDefault="00F20517" w:rsidP="00F20517">
      <w:pPr>
        <w:ind w:firstLine="720"/>
      </w:pPr>
      <w:r w:rsidRPr="00033E11">
        <w:t>Bromide, nitrate, nitrite, and sulfate were measured by ion chromatography (</w:t>
      </w:r>
      <w:proofErr w:type="spellStart"/>
      <w:r w:rsidRPr="00033E11">
        <w:t>Dionex</w:t>
      </w:r>
      <w:proofErr w:type="spellEnd"/>
      <w:r w:rsidRPr="00033E11">
        <w:t>, model DX-120). U(VI) was measured by a kinetic phosphorescence</w:t>
      </w:r>
      <w:r w:rsidRPr="00033E11">
        <w:rPr>
          <w:sz w:val="11"/>
          <w:szCs w:val="11"/>
        </w:rPr>
        <w:t xml:space="preserve"> </w:t>
      </w:r>
      <w:r w:rsidRPr="00033E11">
        <w:t>analyzer (</w:t>
      </w:r>
      <w:proofErr w:type="spellStart"/>
      <w:r w:rsidRPr="00033E11">
        <w:t>Chemcheck</w:t>
      </w:r>
      <w:proofErr w:type="spellEnd"/>
      <w:r w:rsidRPr="00033E11">
        <w:t>, KPA-11). pH was measured by glass</w:t>
      </w:r>
      <w:r w:rsidRPr="00033E11">
        <w:rPr>
          <w:sz w:val="11"/>
          <w:szCs w:val="11"/>
        </w:rPr>
        <w:t xml:space="preserve"> </w:t>
      </w:r>
      <w:r w:rsidRPr="00033E11">
        <w:t>electrode (</w:t>
      </w:r>
      <w:proofErr w:type="spellStart"/>
      <w:r w:rsidRPr="00033E11">
        <w:t>Accumet</w:t>
      </w:r>
      <w:proofErr w:type="spellEnd"/>
      <w:r w:rsidRPr="00033E11">
        <w:t>, model 25). Ethanol was measured by gas chromatography</w:t>
      </w:r>
      <w:r w:rsidRPr="00033E11">
        <w:rPr>
          <w:sz w:val="11"/>
          <w:szCs w:val="11"/>
        </w:rPr>
        <w:t xml:space="preserve"> </w:t>
      </w:r>
      <w:r w:rsidRPr="00033E11">
        <w:t>(Hewlett-Packard, model 5880) with flame ionization</w:t>
      </w:r>
      <w:r w:rsidRPr="00033E11">
        <w:rPr>
          <w:sz w:val="11"/>
          <w:szCs w:val="11"/>
        </w:rPr>
        <w:t xml:space="preserve"> </w:t>
      </w:r>
      <w:r w:rsidRPr="00033E11">
        <w:t xml:space="preserve">detection. </w:t>
      </w:r>
    </w:p>
    <w:p w14:paraId="5D19D1F1" w14:textId="77777777" w:rsidR="00F20517" w:rsidRPr="00033E11" w:rsidRDefault="00603CC9" w:rsidP="004407DB">
      <w:pPr>
        <w:pStyle w:val="Heading3"/>
      </w:pPr>
      <w:bookmarkStart w:id="47" w:name="_Toc475171396"/>
      <w:bookmarkStart w:id="48" w:name="_Toc475172173"/>
      <w:bookmarkStart w:id="49" w:name="_Toc475172676"/>
      <w:bookmarkStart w:id="50" w:name="_Toc475172753"/>
      <w:bookmarkStart w:id="51" w:name="_Toc498505026"/>
      <w:r>
        <w:t>2.3.4.</w:t>
      </w:r>
      <w:r>
        <w:tab/>
      </w:r>
      <w:r w:rsidR="00F20517" w:rsidRPr="00033E11">
        <w:t>Data analysis</w:t>
      </w:r>
      <w:bookmarkEnd w:id="47"/>
      <w:bookmarkEnd w:id="48"/>
      <w:bookmarkEnd w:id="49"/>
      <w:bookmarkEnd w:id="50"/>
      <w:bookmarkEnd w:id="51"/>
    </w:p>
    <w:p w14:paraId="4297EAE9" w14:textId="3F867938" w:rsidR="003C26CE" w:rsidRPr="00033E11" w:rsidRDefault="00F20517" w:rsidP="00F20517">
      <w:r w:rsidRPr="00033E11">
        <w:tab/>
        <w:t xml:space="preserve">Dilution-adjusted concentrations were computed by dividing the measured concentration of the reactive tracer (ethanol, nitrate, nitrite, U(VI), and sulfate) by the relative concentration of the non-reactive tracer (bromide) </w:t>
      </w:r>
      <w:r w:rsidRPr="00033E11">
        <w:fldChar w:fldCharType="begin"/>
      </w:r>
      <w:r w:rsidR="00EC7321">
        <w:instrText xml:space="preserve"> ADDIN EN.CITE &lt;EndNote&gt;&lt;Cite&gt;&lt;Author&gt;Istok&lt;/Author&gt;&lt;Year&gt;2013&lt;/Year&gt;&lt;RecNum&gt;7670&lt;/RecNum&gt;&lt;DisplayText&gt;(Istok 2013)&lt;/DisplayText&gt;&lt;record&gt;&lt;rec-number&gt;7670&lt;/rec-number&gt;&lt;foreign-keys&gt;&lt;key app="EN" db-id="x9eet5pfuadszae0v03p9afexee5x9rpvsts"&gt;7670&lt;/key&gt;&lt;/foreign-keys&gt;&lt;ref-type name="Book"&gt;6&lt;/ref-type&gt;&lt;contributors&gt;&lt;authors&gt;&lt;author&gt;Istok, Jonathan David&lt;/author&gt;&lt;/authors&gt;&lt;/contributors&gt;&lt;titles&gt;&lt;title&gt;Push-Pull Tests for Site Characterization&lt;/title&gt;&lt;secondary-title&gt;Lecture Notes in Earth System Sciences &lt;/secondary-title&gt;&lt;/titles&gt;&lt;pages&gt;86&lt;/pages&gt;&lt;volume&gt;144&lt;/volume&gt;&lt;dates&gt;&lt;year&gt;2013&lt;/year&gt;&lt;/dates&gt;&lt;publisher&gt;Springer-Verlag Berlin Heidelberg&lt;/publisher&gt;&lt;isbn&gt;978-3-642-13919-2&lt;/isbn&gt;&lt;urls&gt;&lt;/urls&gt;&lt;electronic-resource-num&gt;10.1007/978-3-642-13920-8&lt;/electronic-resource-num&gt;&lt;/record&gt;&lt;/Cite&gt;&lt;/EndNote&gt;</w:instrText>
      </w:r>
      <w:r w:rsidRPr="00033E11">
        <w:fldChar w:fldCharType="separate"/>
      </w:r>
      <w:r w:rsidR="00EC7321">
        <w:rPr>
          <w:noProof/>
        </w:rPr>
        <w:t>(</w:t>
      </w:r>
      <w:r w:rsidR="00E45E00">
        <w:rPr>
          <w:noProof/>
        </w:rPr>
        <w:t>Istok 2013</w:t>
      </w:r>
      <w:r w:rsidR="00EC7321">
        <w:rPr>
          <w:noProof/>
        </w:rPr>
        <w:t>)</w:t>
      </w:r>
      <w:r w:rsidRPr="00033E11">
        <w:fldChar w:fldCharType="end"/>
      </w:r>
      <w:r w:rsidRPr="00033E11">
        <w:t xml:space="preserve">. Recovery factors of reactive tracers were computed by dividing the mass extracted from the well by the mass injected into the well which was then divided by the corresponding recovery factor of bromide </w:t>
      </w:r>
      <w:r w:rsidRPr="00033E11">
        <w:fldChar w:fldCharType="begin"/>
      </w:r>
      <w:r w:rsidRPr="00033E11">
        <w:instrText xml:space="preserve"> ADDIN EN.CITE &lt;EndNote&gt;&lt;Cite&gt;&lt;Author&gt;Senko&lt;/Author&gt;&lt;Year&gt;2002&lt;/Year&gt;&lt;RecNum&gt;7687&lt;/RecNum&gt;&lt;DisplayText&gt;(Senko et al. 2002)&lt;/DisplayText&gt;&lt;record&gt;&lt;rec-number&gt;7687&lt;/rec-number&gt;&lt;foreign-keys&gt;&lt;key app="EN" db-id="x9eet5pfuadszae0v03p9afexee5x9rpvsts" timestamp="1417710509"&gt;7687&lt;/key&gt;&lt;/foreign-keys&gt;&lt;ref-type name="Journal Article"&gt;17&lt;/ref-type&gt;&lt;contributors&gt;&lt;authors&gt;&lt;author&gt;Senko, J. M.&lt;/author&gt;&lt;author&gt;Istok, J. D.&lt;/author&gt;&lt;author&gt;Suflita, J. M.&lt;/author&gt;&lt;author&gt;Krumholz, L. R.&lt;/author&gt;&lt;/authors&gt;&lt;/contributors&gt;&lt;auth-address&gt;Univ Oklahoma, Dept Bot &amp;amp; Microbiol, Norman, OK 73019 USA. Univ Oklahoma, Inst Energy &amp;amp; Environm, Norman, OK 73019 USA. Oregon State Univ, Dept Civil Engn, Corvallis, OR 97331 USA.&amp;#xD;Krumholz, LR (reprint author), Univ Oklahoma, Dept Bot &amp;amp; Microbiol, 770 Van Vleet Oval, Norman, OK 73019 USA.&lt;/auth-address&gt;&lt;titles&gt;&lt;title&gt;In-situ evidence for uranium immobilization and remobilization&lt;/title&gt;&lt;secondary-title&gt;Environmental Science &amp;amp; Technology&lt;/secondary-title&gt;&lt;alt-title&gt;Environ. Sci. Technol.&lt;/alt-title&gt;&lt;/titles&gt;&lt;periodical&gt;&lt;full-title&gt;Environmental Science &amp;amp; Technology&lt;/full-title&gt;&lt;abbr-1&gt;Environ Sci Technol&lt;/abbr-1&gt;&lt;/periodical&gt;&lt;pages&gt;1491-1496&lt;/pages&gt;&lt;volume&gt;36&lt;/volume&gt;&lt;number&gt;7&lt;/number&gt;&lt;keywords&gt;&lt;keyword&gt;SULFATE-REDUCING BACTERIA&lt;/keyword&gt;&lt;keyword&gt;FERROUS IRON&lt;/keyword&gt;&lt;keyword&gt;DESULFOVIBRIO-DESULFURICANS&lt;/keyword&gt;&lt;keyword&gt;ELECTRON-ACCEPTORS&lt;/keyword&gt;&lt;keyword&gt;MARINE-SEDIMENTS&lt;/keyword&gt;&lt;keyword&gt;NITROUS-OXIDE&lt;/keyword&gt;&lt;keyword&gt;REDUCTION&lt;/keyword&gt;&lt;keyword&gt;NITRATE&lt;/keyword&gt;&lt;keyword&gt;DENITRIFICATION&lt;/keyword&gt;&lt;keyword&gt;U(VI)&lt;/keyword&gt;&lt;/keywords&gt;&lt;dates&gt;&lt;year&gt;2002&lt;/year&gt;&lt;pub-dates&gt;&lt;date&gt;Apr&lt;/date&gt;&lt;/pub-dates&gt;&lt;/dates&gt;&lt;isbn&gt;0013-936X&lt;/isbn&gt;&lt;accession-num&gt;WOS:000174789200032&lt;/accession-num&gt;&lt;work-type&gt;Article&lt;/work-type&gt;&lt;urls&gt;&lt;related-urls&gt;&lt;url&gt;&amp;lt;Go to ISI&amp;gt;://WOS:000174789200032&lt;/url&gt;&lt;url&gt;http://pubs.acs.org/doi/pdfplus/10.1021/es011240x&lt;/url&gt;&lt;/related-urls&gt;&lt;/urls&gt;&lt;electronic-resource-num&gt;10.1021/es011240x&lt;/electronic-resource-num&gt;&lt;language&gt;English&lt;/language&gt;&lt;/record&gt;&lt;/Cite&gt;&lt;/EndNote&gt;</w:instrText>
      </w:r>
      <w:r w:rsidRPr="00033E11">
        <w:fldChar w:fldCharType="separate"/>
      </w:r>
      <w:r w:rsidRPr="00033E11">
        <w:rPr>
          <w:noProof/>
        </w:rPr>
        <w:t>(</w:t>
      </w:r>
      <w:r w:rsidR="00E45E00" w:rsidRPr="00033E11">
        <w:rPr>
          <w:noProof/>
        </w:rPr>
        <w:t>Senko et al. 2002</w:t>
      </w:r>
      <w:r w:rsidRPr="00033E11">
        <w:rPr>
          <w:noProof/>
        </w:rPr>
        <w:t>)</w:t>
      </w:r>
      <w:r w:rsidRPr="00033E11">
        <w:fldChar w:fldCharType="end"/>
      </w:r>
      <w:r w:rsidRPr="00033E11">
        <w:t xml:space="preserve">. </w:t>
      </w:r>
      <w:r w:rsidRPr="00033E11">
        <w:rPr>
          <w:rFonts w:cs="Times New Roman"/>
          <w:szCs w:val="24"/>
        </w:rPr>
        <w:t xml:space="preserve">Recovery factors greater than one indicated that more reactive tracer was recovered </w:t>
      </w:r>
      <w:r w:rsidRPr="00033E11">
        <w:t xml:space="preserve">relative to bromide. </w:t>
      </w:r>
      <w:r w:rsidRPr="00033E11">
        <w:rPr>
          <w:rFonts w:cs="Times New Roman"/>
          <w:szCs w:val="24"/>
        </w:rPr>
        <w:t xml:space="preserve">Recovery factors less than one indicated that less reactive tracer was recovered </w:t>
      </w:r>
      <w:r w:rsidRPr="00033E11">
        <w:t>relative to bromide</w:t>
      </w:r>
      <w:r w:rsidR="000A5750">
        <w:t xml:space="preserve">. </w:t>
      </w:r>
    </w:p>
    <w:p w14:paraId="591BB6BF" w14:textId="77777777" w:rsidR="00F20517" w:rsidRPr="00033E11" w:rsidRDefault="00603CC9" w:rsidP="004407DB">
      <w:pPr>
        <w:pStyle w:val="Heading2"/>
      </w:pPr>
      <w:bookmarkStart w:id="52" w:name="_Toc475171397"/>
      <w:bookmarkStart w:id="53" w:name="_Toc475172174"/>
      <w:bookmarkStart w:id="54" w:name="_Toc475172677"/>
      <w:bookmarkStart w:id="55" w:name="_Toc475172754"/>
      <w:bookmarkStart w:id="56" w:name="_Toc498505027"/>
      <w:r>
        <w:t>2.4.</w:t>
      </w:r>
      <w:r>
        <w:tab/>
      </w:r>
      <w:r w:rsidR="00F20517" w:rsidRPr="00033E11">
        <w:t>Results and discussion</w:t>
      </w:r>
      <w:bookmarkEnd w:id="52"/>
      <w:bookmarkEnd w:id="53"/>
      <w:bookmarkEnd w:id="54"/>
      <w:bookmarkEnd w:id="55"/>
      <w:bookmarkEnd w:id="56"/>
    </w:p>
    <w:p w14:paraId="173EAFE1" w14:textId="77777777" w:rsidR="00F20517" w:rsidRPr="00033E11" w:rsidRDefault="00603CC9" w:rsidP="007164AC">
      <w:pPr>
        <w:pStyle w:val="Heading3"/>
      </w:pPr>
      <w:bookmarkStart w:id="57" w:name="_Toc475171398"/>
      <w:bookmarkStart w:id="58" w:name="_Toc475172175"/>
      <w:bookmarkStart w:id="59" w:name="_Toc475172678"/>
      <w:bookmarkStart w:id="60" w:name="_Toc475172755"/>
      <w:bookmarkStart w:id="61" w:name="_Toc498505028"/>
      <w:r>
        <w:t>2.4.1.</w:t>
      </w:r>
      <w:r>
        <w:tab/>
      </w:r>
      <w:r w:rsidR="00F20517" w:rsidRPr="00033E11">
        <w:t>Push-pull tests: Uranium and sulfate reduction in control well</w:t>
      </w:r>
      <w:bookmarkEnd w:id="57"/>
      <w:bookmarkEnd w:id="58"/>
      <w:bookmarkEnd w:id="59"/>
      <w:bookmarkEnd w:id="60"/>
      <w:bookmarkEnd w:id="61"/>
    </w:p>
    <w:p w14:paraId="5AEE1331" w14:textId="1A16D2BC" w:rsidR="006E1592" w:rsidRDefault="00F20517" w:rsidP="00F20517">
      <w:pPr>
        <w:ind w:firstLine="720"/>
      </w:pPr>
      <w:r w:rsidRPr="00033E11">
        <w:t>Complete removal of ethanol occurred within 24 hours after injection and ethanol concentrations remained below the method detection limit for the duration of the 36-day test (</w:t>
      </w:r>
      <w:r w:rsidR="002F16E6">
        <w:fldChar w:fldCharType="begin"/>
      </w:r>
      <w:r w:rsidR="002F16E6">
        <w:instrText xml:space="preserve"> REF _Ref485276961 \h </w:instrText>
      </w:r>
      <w:r w:rsidR="002F16E6">
        <w:fldChar w:fldCharType="separate"/>
      </w:r>
      <w:r w:rsidR="001175BB">
        <w:t xml:space="preserve">Figure </w:t>
      </w:r>
      <w:r w:rsidR="001175BB">
        <w:rPr>
          <w:noProof/>
        </w:rPr>
        <w:t>2</w:t>
      </w:r>
      <w:r w:rsidR="001175BB">
        <w:t>.</w:t>
      </w:r>
      <w:r w:rsidR="001175BB">
        <w:rPr>
          <w:noProof/>
        </w:rPr>
        <w:t>1</w:t>
      </w:r>
      <w:r w:rsidR="002F16E6">
        <w:fldChar w:fldCharType="end"/>
      </w:r>
      <w:r w:rsidRPr="00033E11">
        <w:t xml:space="preserve">). U(VI) concentrations remained below injection levels (5 </w:t>
      </w:r>
      <w:r w:rsidRPr="00033E11">
        <w:rPr>
          <w:rFonts w:cs="Times New Roman"/>
        </w:rPr>
        <w:t>μ</w:t>
      </w:r>
      <w:r w:rsidRPr="00033E11">
        <w:t xml:space="preserve">M) for the first 13 days </w:t>
      </w:r>
      <w:r w:rsidRPr="00033E11">
        <w:lastRenderedPageBreak/>
        <w:t>of the test (</w:t>
      </w:r>
      <w:r w:rsidR="002F16E6">
        <w:fldChar w:fldCharType="begin"/>
      </w:r>
      <w:r w:rsidR="002F16E6">
        <w:instrText xml:space="preserve"> REF _Ref485276961 \h </w:instrText>
      </w:r>
      <w:r w:rsidR="002F16E6">
        <w:fldChar w:fldCharType="separate"/>
      </w:r>
      <w:r w:rsidR="001175BB">
        <w:t xml:space="preserve">Figure </w:t>
      </w:r>
      <w:r w:rsidR="001175BB">
        <w:rPr>
          <w:noProof/>
        </w:rPr>
        <w:t>2</w:t>
      </w:r>
      <w:r w:rsidR="001175BB">
        <w:t>.</w:t>
      </w:r>
      <w:r w:rsidR="001175BB">
        <w:rPr>
          <w:noProof/>
        </w:rPr>
        <w:t>1</w:t>
      </w:r>
      <w:r w:rsidR="002F16E6">
        <w:fldChar w:fldCharType="end"/>
      </w:r>
      <w:r w:rsidRPr="00033E11">
        <w:t>). Complete removal of sulfate occurred within 3 days after injection and sulfate concentrations remained below pre-test levels (0.1 mM) for the first 15 days of the test (</w:t>
      </w:r>
      <w:r w:rsidR="002F16E6">
        <w:fldChar w:fldCharType="begin"/>
      </w:r>
      <w:r w:rsidR="002F16E6">
        <w:instrText xml:space="preserve"> REF _Ref485276961 \h </w:instrText>
      </w:r>
      <w:r w:rsidR="002F16E6">
        <w:fldChar w:fldCharType="separate"/>
      </w:r>
      <w:r w:rsidR="001175BB">
        <w:t xml:space="preserve">Figure </w:t>
      </w:r>
      <w:r w:rsidR="001175BB">
        <w:rPr>
          <w:noProof/>
        </w:rPr>
        <w:t>2</w:t>
      </w:r>
      <w:r w:rsidR="001175BB">
        <w:t>.</w:t>
      </w:r>
      <w:r w:rsidR="001175BB">
        <w:rPr>
          <w:noProof/>
        </w:rPr>
        <w:t>1</w:t>
      </w:r>
      <w:r w:rsidR="002F16E6">
        <w:fldChar w:fldCharType="end"/>
      </w:r>
      <w:r w:rsidRPr="00033E11">
        <w:t xml:space="preserve">). Nitrate and nitrite concentrations and pH remained at pre-test levels for the duration of the 36-day test (data not shown). The observed removal of ethanol and sequential removal of U(VI) and sulfate suggested that microbial-mediated U(VI) and sulfate reduction occurred in the control well for the first 15 days of the test. Although ferrous iron was not measured, it is likely that ferric-iron reduction also occurred based on previous studies in Area 2 where the classic sequence of TEAs were observed in ethanol-amended tests </w:t>
      </w:r>
      <w:r w:rsidRPr="00033E11">
        <w:rPr>
          <w:bCs/>
        </w:rPr>
        <w:t xml:space="preserve">with nitrate reduction, ferric-iron reduction, sulfate reduction, and methanogenesis proceeding in sequence </w:t>
      </w:r>
      <w:r w:rsidRPr="00033E11">
        <w:rPr>
          <w:bCs/>
        </w:rPr>
        <w:fldChar w:fldCharType="begin"/>
      </w:r>
      <w:r w:rsidR="0063330E">
        <w:rPr>
          <w:bCs/>
        </w:rPr>
        <w:instrText xml:space="preserve"> ADDIN EN.CITE &lt;EndNote&gt;&lt;Cite&gt;&lt;Author&gt;Mohanty&lt;/Author&gt;&lt;Year&gt;2008&lt;/Year&gt;&lt;RecNum&gt;7658&lt;/RecNum&gt;&lt;DisplayText&gt;(Fang et al. 2006; Mohanty et al. 2008)&lt;/DisplayText&gt;&lt;record&gt;&lt;rec-number&gt;7658&lt;/rec-number&gt;&lt;foreign-keys&gt;&lt;key app="EN" db-id="x9eet5pfuadszae0v03p9afexee5x9rpvsts"&gt;7658&lt;/key&gt;&lt;/foreign-keys&gt;&lt;ref-type name="Journal Article"&gt;17&lt;/ref-type&gt;&lt;contributors&gt;&lt;authors&gt;&lt;author&gt;Mohanty, Santosh R.&lt;/author&gt;&lt;author&gt;Kollah, Bharati&lt;/author&gt;&lt;author&gt;Hedrick, David B.&lt;/author&gt;&lt;author&gt;Peacock, Aaron D.&lt;/author&gt;&lt;author&gt;Kukkadapu, Ravi K.&lt;/author&gt;&lt;author&gt;Roden, Eric E.&lt;/author&gt;&lt;/authors&gt;&lt;/contributors&gt;&lt;titles&gt;&lt;title&gt;Biogeochemical processes in ethanol stimulated uranium-contaminated subsurface sediments&lt;/title&gt;&lt;secondary-title&gt;Environmental Science &amp;amp; Technology&lt;/secondary-title&gt;&lt;/titles&gt;&lt;periodical&gt;&lt;full-title&gt;Environmental Science &amp;amp; Technology&lt;/full-title&gt;&lt;abbr-1&gt;Environ Sci Technol&lt;/abbr-1&gt;&lt;/periodical&gt;&lt;pages&gt;4384-4390&lt;/pages&gt;&lt;volume&gt;42&lt;/volume&gt;&lt;number&gt;12&lt;/number&gt;&lt;dates&gt;&lt;year&gt;2008&lt;/year&gt;&lt;pub-dates&gt;&lt;date&gt;Jun 15&lt;/date&gt;&lt;/pub-dates&gt;&lt;/dates&gt;&lt;isbn&gt;0013-936X&lt;/isbn&gt;&lt;accession-num&gt;WOS:000256705600026&lt;/accession-num&gt;&lt;urls&gt;&lt;related-urls&gt;&lt;url&gt;&amp;lt;Go to ISI&amp;gt;://WOS:000256705600026&lt;/url&gt;&lt;/related-urls&gt;&lt;/urls&gt;&lt;electronic-resource-num&gt;10.1021/es703082v&lt;/electronic-resource-num&gt;&lt;/record&gt;&lt;/Cite&gt;&lt;Cite&gt;&lt;Author&gt;Fang&lt;/Author&gt;&lt;Year&gt;2006&lt;/Year&gt;&lt;RecNum&gt;7669&lt;/RecNum&gt;&lt;record&gt;&lt;rec-number&gt;7669&lt;/rec-number&gt;&lt;foreign-keys&gt;&lt;key app="EN" db-id="x9eet5pfuadszae0v03p9afexee5x9rpvsts"&gt;7669&lt;/key&gt;&lt;/foreign-keys&gt;&lt;ref-type name="Conference Proceedings"&gt;10&lt;/ref-type&gt;&lt;contributors&gt;&lt;authors&gt;&lt;author&gt;Fang, Y.&lt;/author&gt;&lt;author&gt;Scheibe, T. D.&lt;/author&gt;&lt;author&gt;Roden, E. E.&lt;/author&gt;&lt;author&gt;Kamolpornwijit, W.&lt;/author&gt;&lt;author&gt;Brooks, S. C. &lt;/author&gt;&lt;/authors&gt;&lt;/contributors&gt;&lt;titles&gt;&lt;title&gt;3D Field-Scale Reactive Transport Modeling of in Situ Immobilization of Uranium in Structured Porous Media via Biostimulation&lt;/title&gt;&lt;secondary-title&gt;CMWR-XVI &lt;/secondary-title&gt;&lt;/titles&gt;&lt;dates&gt;&lt;year&gt;2006&lt;/year&gt;&lt;/dates&gt;&lt;pub-location&gt;Copenhagen, Denmark&lt;/pub-location&gt;&lt;urls&gt;&lt;/urls&gt;&lt;/record&gt;&lt;/Cite&gt;&lt;/EndNote&gt;</w:instrText>
      </w:r>
      <w:r w:rsidRPr="00033E11">
        <w:rPr>
          <w:bCs/>
        </w:rPr>
        <w:fldChar w:fldCharType="separate"/>
      </w:r>
      <w:r w:rsidR="0063330E">
        <w:rPr>
          <w:bCs/>
          <w:noProof/>
        </w:rPr>
        <w:t>(</w:t>
      </w:r>
      <w:r w:rsidR="00E45E00">
        <w:rPr>
          <w:bCs/>
          <w:noProof/>
        </w:rPr>
        <w:t>Fang et al. 2006</w:t>
      </w:r>
      <w:r w:rsidR="0063330E">
        <w:rPr>
          <w:bCs/>
          <w:noProof/>
        </w:rPr>
        <w:t xml:space="preserve">; </w:t>
      </w:r>
      <w:r w:rsidR="00E45E00">
        <w:rPr>
          <w:bCs/>
          <w:noProof/>
        </w:rPr>
        <w:t>Mohanty et al. 2008</w:t>
      </w:r>
      <w:r w:rsidR="0063330E">
        <w:rPr>
          <w:bCs/>
          <w:noProof/>
        </w:rPr>
        <w:t>)</w:t>
      </w:r>
      <w:r w:rsidRPr="00033E11">
        <w:rPr>
          <w:bCs/>
        </w:rPr>
        <w:fldChar w:fldCharType="end"/>
      </w:r>
      <w:r w:rsidRPr="00033E11">
        <w:rPr>
          <w:bCs/>
        </w:rPr>
        <w:t xml:space="preserve">. </w:t>
      </w:r>
      <w:r w:rsidRPr="00033E11">
        <w:t>These results suggested that groundwater conditions conducive to U(VI) reduction/immobilization and precipitation of reduced sulfur-bearing species were likely established in the first three biostimulation tests (</w:t>
      </w:r>
      <w:r w:rsidR="002F16E6">
        <w:fldChar w:fldCharType="begin"/>
      </w:r>
      <w:r w:rsidR="002F16E6">
        <w:instrText xml:space="preserve"> REF _Ref485276726 \h </w:instrText>
      </w:r>
      <w:r w:rsidR="002F16E6">
        <w:fldChar w:fldCharType="separate"/>
      </w:r>
      <w:r w:rsidR="001175BB">
        <w:t xml:space="preserve">Table </w:t>
      </w:r>
      <w:r w:rsidR="001175BB">
        <w:rPr>
          <w:noProof/>
        </w:rPr>
        <w:t>2</w:t>
      </w:r>
      <w:r w:rsidR="001175BB">
        <w:t>.</w:t>
      </w:r>
      <w:r w:rsidR="001175BB">
        <w:rPr>
          <w:noProof/>
        </w:rPr>
        <w:t>2</w:t>
      </w:r>
      <w:r w:rsidR="002F16E6">
        <w:fldChar w:fldCharType="end"/>
      </w:r>
      <w:r w:rsidRPr="00033E11">
        <w:t>). Although the valence state and chemical speciation of uranium and sulfur in sediments was not determined, it is likely that U(VI) was reduced to U(IV) in the form of uraninite and/or as U(IV) adsorbed to Fe/Mn minerals and that sulfate was reduced to S</w:t>
      </w:r>
      <w:r w:rsidRPr="00033E11">
        <w:rPr>
          <w:vertAlign w:val="superscript"/>
        </w:rPr>
        <w:t>2-</w:t>
      </w:r>
      <w:r w:rsidRPr="00033E11">
        <w:t xml:space="preserve"> in the form of ferrous sulfide (FeS), based on previous ethanol-amended tests at the OR-IFRC site </w:t>
      </w:r>
      <w:r w:rsidRPr="00033E11">
        <w:fldChar w:fldCharType="begin">
          <w:fldData xml:space="preserve">PEVuZE5vdGU+PENpdGU+PEF1dGhvcj5LZWxseTwvQXV0aG9yPjxZZWFyPjIwMDg8L1llYXI+PFJl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==
</w:fldData>
        </w:fldChar>
      </w:r>
      <w:r w:rsidRPr="00033E11">
        <w:instrText xml:space="preserve"> ADDIN EN.CITE </w:instrText>
      </w:r>
      <w:r w:rsidRPr="00033E11">
        <w:fldChar w:fldCharType="begin">
          <w:fldData xml:space="preserve">PEVuZE5vdGU+PENpdGU+PEF1dGhvcj5LZWxseTwvQXV0aG9yPjxZZWFyPjIwMDg8L1llYXI+PFJl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==
</w:fldData>
        </w:fldChar>
      </w:r>
      <w:r w:rsidRPr="00033E11">
        <w:instrText xml:space="preserve"> ADDIN EN.CITE.DATA </w:instrText>
      </w:r>
      <w:r w:rsidRPr="00033E11">
        <w:fldChar w:fldCharType="end"/>
      </w:r>
      <w:r w:rsidRPr="00033E11">
        <w:fldChar w:fldCharType="separate"/>
      </w:r>
      <w:r w:rsidRPr="00033E11">
        <w:rPr>
          <w:noProof/>
        </w:rPr>
        <w:t>(</w:t>
      </w:r>
      <w:r w:rsidR="00E45E00" w:rsidRPr="00033E11">
        <w:rPr>
          <w:noProof/>
        </w:rPr>
        <w:t>Kelly et al. 2008</w:t>
      </w:r>
      <w:r w:rsidRPr="00033E11">
        <w:rPr>
          <w:noProof/>
        </w:rPr>
        <w:t xml:space="preserve">; </w:t>
      </w:r>
      <w:r w:rsidR="00E45E00" w:rsidRPr="00033E11">
        <w:rPr>
          <w:noProof/>
        </w:rPr>
        <w:t>Kelly et al. 2010</w:t>
      </w:r>
      <w:r w:rsidRPr="00033E11">
        <w:rPr>
          <w:noProof/>
        </w:rPr>
        <w:t>)</w:t>
      </w:r>
      <w:r w:rsidRPr="00033E11">
        <w:fldChar w:fldCharType="end"/>
      </w:r>
      <w:r w:rsidR="000A5750">
        <w:t xml:space="preserve">. </w:t>
      </w:r>
    </w:p>
    <w:p w14:paraId="7A633170" w14:textId="77777777" w:rsidR="00F20517" w:rsidRPr="00033E11" w:rsidRDefault="006E1592" w:rsidP="00792D91">
      <w:pPr>
        <w:ind w:firstLine="720"/>
      </w:pPr>
      <w:r w:rsidRPr="00033E11">
        <w:rPr>
          <w:bCs/>
        </w:rPr>
        <w:t xml:space="preserve">Sulfate and U(VI) concentrations increased steadily after 15 days and approached or slightly exceeded injection levels of 20 mM and 5 </w:t>
      </w:r>
      <w:r w:rsidRPr="00033E11">
        <w:rPr>
          <w:rFonts w:cs="Times New Roman"/>
          <w:bCs/>
        </w:rPr>
        <w:t>μ</w:t>
      </w:r>
      <w:r w:rsidRPr="00033E11">
        <w:rPr>
          <w:bCs/>
        </w:rPr>
        <w:t>M, respectively, by the end of the 36-day test (</w:t>
      </w:r>
      <w:r w:rsidR="002F16E6">
        <w:rPr>
          <w:bCs/>
        </w:rPr>
        <w:fldChar w:fldCharType="begin"/>
      </w:r>
      <w:r w:rsidR="002F16E6">
        <w:rPr>
          <w:bCs/>
        </w:rPr>
        <w:instrText xml:space="preserve"> REF _Ref485276961 \h </w:instrText>
      </w:r>
      <w:r w:rsidR="002F16E6">
        <w:rPr>
          <w:bCs/>
        </w:rPr>
      </w:r>
      <w:r w:rsidR="002F16E6">
        <w:rPr>
          <w:bCs/>
        </w:rPr>
        <w:fldChar w:fldCharType="separate"/>
      </w:r>
      <w:r w:rsidR="001175BB">
        <w:t xml:space="preserve">Figure </w:t>
      </w:r>
      <w:r w:rsidR="001175BB">
        <w:rPr>
          <w:noProof/>
        </w:rPr>
        <w:t>2</w:t>
      </w:r>
      <w:r w:rsidR="001175BB">
        <w:t>.</w:t>
      </w:r>
      <w:r w:rsidR="001175BB">
        <w:rPr>
          <w:noProof/>
        </w:rPr>
        <w:t>1</w:t>
      </w:r>
      <w:r w:rsidR="002F16E6">
        <w:rPr>
          <w:bCs/>
        </w:rPr>
        <w:fldChar w:fldCharType="end"/>
      </w:r>
      <w:r w:rsidRPr="00033E11">
        <w:rPr>
          <w:bCs/>
        </w:rPr>
        <w:t xml:space="preserve">). The increase of sulfate and U(VI) levels suggested that reoxidation of reduced sulfur-bearing species and U(IV) and/or desorption of sulfate and U(VI) may have occurred. Although sulfate-reducing conditions were clearly established during the first 15 days of the test and nitrate and nitrite concentrations remained at pre-test levels, it is possible that </w:t>
      </w:r>
      <w:r w:rsidRPr="00033E11">
        <w:t>solid-phase</w:t>
      </w:r>
      <w:r w:rsidR="00792D91">
        <w:t xml:space="preserve"> </w:t>
      </w:r>
      <w:r w:rsidR="00792D91" w:rsidRPr="00033E11">
        <w:t>oxidants such as Fe(III)-oxides and/or Mn(IV)-oxides were present due to incomplete reduction</w:t>
      </w:r>
      <w:r w:rsidR="00792D91">
        <w:t xml:space="preserve"> </w:t>
      </w:r>
      <w:r w:rsidRPr="00033E11">
        <w:t xml:space="preserve"> </w:t>
      </w:r>
    </w:p>
    <w:p w14:paraId="4A6C9271" w14:textId="77777777" w:rsidR="0067362C" w:rsidRDefault="00F20517" w:rsidP="003B57C3">
      <w:r w:rsidRPr="00033E11">
        <w:rPr>
          <w:noProof/>
          <w:lang w:eastAsia="zh-CN" w:bidi="ar-SA"/>
        </w:rPr>
        <w:lastRenderedPageBreak/>
        <w:drawing>
          <wp:inline distT="0" distB="0" distL="0" distR="0" wp14:anchorId="2287D635" wp14:editId="5031729D">
            <wp:extent cx="5943600" cy="217627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b="18080"/>
                    <a:stretch/>
                  </pic:blipFill>
                  <pic:spPr bwMode="auto">
                    <a:xfrm>
                      <a:off x="0" y="0"/>
                      <a:ext cx="5943600" cy="2176272"/>
                    </a:xfrm>
                    <a:prstGeom prst="rect">
                      <a:avLst/>
                    </a:prstGeom>
                    <a:noFill/>
                    <a:ln>
                      <a:noFill/>
                    </a:ln>
                    <a:extLst>
                      <a:ext uri="{53640926-AAD7-44d8-BBD7-CCE9431645EC}">
                        <a14:shadowObscured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423AE386" w14:textId="77777777" w:rsidR="0026391F" w:rsidRPr="00705698" w:rsidRDefault="002D1B51" w:rsidP="002D1B51">
      <w:pPr>
        <w:pStyle w:val="Caption"/>
      </w:pPr>
      <w:bookmarkStart w:id="62" w:name="_Ref485276961"/>
      <w:bookmarkStart w:id="63" w:name="_Toc498504891"/>
      <w:r>
        <w:t xml:space="preserve">Figure </w:t>
      </w:r>
      <w:r w:rsidR="00CA2C3C">
        <w:fldChar w:fldCharType="begin"/>
      </w:r>
      <w:r w:rsidR="00CA2C3C">
        <w:instrText xml:space="preserve"> STYLEREF 1 \s </w:instrText>
      </w:r>
      <w:r w:rsidR="00CA2C3C">
        <w:fldChar w:fldCharType="separate"/>
      </w:r>
      <w:r w:rsidR="00E70E91">
        <w:rPr>
          <w:noProof/>
        </w:rPr>
        <w:t>2</w:t>
      </w:r>
      <w:r w:rsidR="00CA2C3C">
        <w:rPr>
          <w:noProof/>
        </w:rPr>
        <w:fldChar w:fldCharType="end"/>
      </w:r>
      <w:r w:rsidR="00E70E91">
        <w:t>.</w:t>
      </w:r>
      <w:r w:rsidR="00CA2C3C">
        <w:fldChar w:fldCharType="begin"/>
      </w:r>
      <w:r w:rsidR="00CA2C3C">
        <w:instrText xml:space="preserve"> SEQ Figure \* ARABIC \s 1 </w:instrText>
      </w:r>
      <w:r w:rsidR="00CA2C3C">
        <w:fldChar w:fldCharType="separate"/>
      </w:r>
      <w:r w:rsidR="00E70E91">
        <w:rPr>
          <w:noProof/>
        </w:rPr>
        <w:t>1</w:t>
      </w:r>
      <w:r w:rsidR="00CA2C3C">
        <w:rPr>
          <w:noProof/>
        </w:rPr>
        <w:fldChar w:fldCharType="end"/>
      </w:r>
      <w:bookmarkEnd w:id="62"/>
      <w:r>
        <w:t xml:space="preserve"> </w:t>
      </w:r>
      <w:r w:rsidR="008B1B1A" w:rsidRPr="005774C8">
        <w:rPr>
          <w:b w:val="0"/>
        </w:rPr>
        <w:t>Dilution-adjusted concentrations of ethanol, sulfate, and U(VI) in control well FW224 amended with 30 mM ethanol and 20 mM sulfate</w:t>
      </w:r>
      <w:bookmarkEnd w:id="63"/>
    </w:p>
    <w:p w14:paraId="683769CA" w14:textId="77777777" w:rsidR="006E1592" w:rsidRDefault="006E1592" w:rsidP="006E1592"/>
    <w:p w14:paraId="30E2499E" w14:textId="77777777" w:rsidR="006E1592" w:rsidRDefault="006E1592" w:rsidP="006E1592"/>
    <w:p w14:paraId="742F0711" w14:textId="77777777" w:rsidR="006E1592" w:rsidRDefault="006E1592" w:rsidP="006E1592"/>
    <w:p w14:paraId="4B2EFAC1" w14:textId="77777777" w:rsidR="006E1592" w:rsidRDefault="006E1592" w:rsidP="006E1592"/>
    <w:p w14:paraId="6456A763" w14:textId="77777777" w:rsidR="006E1592" w:rsidRDefault="006E1592" w:rsidP="006E1592"/>
    <w:p w14:paraId="6B6062AB" w14:textId="77777777" w:rsidR="006E1592" w:rsidRDefault="006E1592" w:rsidP="006E1592"/>
    <w:p w14:paraId="6BB634ED" w14:textId="77777777" w:rsidR="006E1592" w:rsidRDefault="006E1592" w:rsidP="006E1592"/>
    <w:p w14:paraId="48195D36" w14:textId="77777777" w:rsidR="006E1592" w:rsidRDefault="006E1592" w:rsidP="006E1592"/>
    <w:p w14:paraId="1019B6DD" w14:textId="77777777" w:rsidR="006E1592" w:rsidRDefault="006E1592" w:rsidP="006E1592"/>
    <w:p w14:paraId="4588F262" w14:textId="77777777" w:rsidR="006E1592" w:rsidRDefault="006E1592" w:rsidP="006E1592"/>
    <w:p w14:paraId="31C778FD" w14:textId="77777777" w:rsidR="006E1592" w:rsidRDefault="006E1592" w:rsidP="006E1592"/>
    <w:p w14:paraId="4C793E27" w14:textId="77777777" w:rsidR="006E1592" w:rsidRDefault="006E1592" w:rsidP="006E1592"/>
    <w:p w14:paraId="62523981" w14:textId="77777777" w:rsidR="006E1592" w:rsidRDefault="006E1592" w:rsidP="006E1592"/>
    <w:p w14:paraId="0774F3D1" w14:textId="77777777" w:rsidR="006E1592" w:rsidRDefault="006E1592" w:rsidP="006E1592"/>
    <w:p w14:paraId="2CBA4642" w14:textId="77777777" w:rsidR="006E1592" w:rsidRDefault="006E1592" w:rsidP="006E1592"/>
    <w:p w14:paraId="012627B3" w14:textId="77777777" w:rsidR="00F20517" w:rsidRPr="006E1592" w:rsidRDefault="00370470" w:rsidP="006E1592">
      <w:r w:rsidRPr="00033E11">
        <w:lastRenderedPageBreak/>
        <w:t xml:space="preserve">and were </w:t>
      </w:r>
      <w:r w:rsidR="006E1592" w:rsidRPr="00033E11">
        <w:t xml:space="preserve">responsible for reoxidation of reduced </w:t>
      </w:r>
      <w:r w:rsidR="006E1592" w:rsidRPr="00033E11">
        <w:rPr>
          <w:bCs/>
        </w:rPr>
        <w:t>sulfur-bearing species and U(IV)</w:t>
      </w:r>
      <w:r w:rsidR="006E1592" w:rsidRPr="00033E11">
        <w:t xml:space="preserve">. For example, in a flow-through sediment column study utilizing sediment from Area 2, Wan et al. </w:t>
      </w:r>
      <w:r w:rsidR="006E1592" w:rsidRPr="00033E11">
        <w:fldChar w:fldCharType="begin"/>
      </w:r>
      <w:r w:rsidR="006E1592" w:rsidRPr="00033E11">
        <w:instrText xml:space="preserve"> ADDIN EN.CITE &lt;EndNote&gt;&lt;Cite ExcludeAuth="1"&gt;&lt;Author&gt;Wan&lt;/Author&gt;&lt;Year&gt;2005&lt;/Year&gt;&lt;RecNum&gt;7616&lt;/RecNum&gt;&lt;DisplayText&gt;(2005)&lt;/DisplayText&gt;&lt;record&gt;&lt;rec-number&gt;7616&lt;/rec-number&gt;&lt;foreign-keys&gt;&lt;key app="EN" db-id="x9eet5pfuadszae0v03p9afexee5x9rpvsts"&gt;7616&lt;/key&gt;&lt;/foreign-keys&gt;&lt;ref-type name="Journal Article"&gt;17&lt;/ref-type&gt;&lt;contributors&gt;&lt;authors&gt;&lt;author&gt;Wan, J. M.&lt;/author&gt;&lt;author&gt;Tokunaga, T. K.&lt;/author&gt;&lt;author&gt;Brodie, E.&lt;/author&gt;&lt;author&gt;Wang, Z. M.&lt;/author&gt;&lt;author&gt;Zheng, Z. P.&lt;/author&gt;&lt;author&gt;Herman, D.&lt;/author&gt;&lt;author&gt;Hazen, T. C.&lt;/author&gt;&lt;author&gt;Firestone, M. K.&lt;/author&gt;&lt;author&gt;Sutton, S. R.&lt;/author&gt;&lt;/authors&gt;&lt;/contributors&gt;&lt;titles&gt;&lt;title&gt;Reoxidation of bioreduced uranium under reducing conditions&lt;/title&gt;&lt;secondary-title&gt;Environmental Science &amp;amp; Technology&lt;/secondary-title&gt;&lt;/titles&gt;&lt;periodical&gt;&lt;full-title&gt;Environmental Science &amp;amp; Technology&lt;/full-title&gt;&lt;abbr-1&gt;Environ Sci Technol&lt;/abbr-1&gt;&lt;/periodical&gt;&lt;pages&gt;6162-6169&lt;/pages&gt;&lt;volume&gt;39&lt;/volume&gt;&lt;number&gt;16&lt;/number&gt;&lt;dates&gt;&lt;year&gt;2005&lt;/year&gt;&lt;pub-dates&gt;&lt;date&gt;Aug 15&lt;/date&gt;&lt;/pub-dates&gt;&lt;/dates&gt;&lt;isbn&gt;0013-936X&lt;/isbn&gt;&lt;accession-num&gt;WOS:000231203100037&lt;/accession-num&gt;&lt;urls&gt;&lt;related-urls&gt;&lt;url&gt;&amp;lt;Go to ISI&amp;gt;://WOS:000231203100037&lt;/url&gt;&lt;/related-urls&gt;&lt;/urls&gt;&lt;electronic-resource-num&gt;10.1021/es048236g&lt;/electronic-resource-num&gt;&lt;/record&gt;&lt;/Cite&gt;&lt;/EndNote&gt;</w:instrText>
      </w:r>
      <w:r w:rsidR="006E1592" w:rsidRPr="00033E11">
        <w:fldChar w:fldCharType="separate"/>
      </w:r>
      <w:r w:rsidR="006E1592" w:rsidRPr="00033E11">
        <w:rPr>
          <w:noProof/>
        </w:rPr>
        <w:t>(2005)</w:t>
      </w:r>
      <w:r w:rsidR="006E1592" w:rsidRPr="00033E11">
        <w:fldChar w:fldCharType="end"/>
      </w:r>
      <w:r w:rsidR="006E1592" w:rsidRPr="00033E11">
        <w:t xml:space="preserve"> provided several lines of evidence which suggested that despite </w:t>
      </w:r>
      <w:r w:rsidR="006E1592" w:rsidRPr="00033E11">
        <w:rPr>
          <w:bCs/>
        </w:rPr>
        <w:t xml:space="preserve">constant electron donor (lactate) addition and </w:t>
      </w:r>
      <w:r w:rsidR="006E1592" w:rsidRPr="00D90700">
        <w:t xml:space="preserve">strongly methanogenic conditions, Fe(III) and possibly Mn(IV) persisted as oxidants responsible for U(IV) reoxidation. Thermodynamically, any oxidant of U(IV) would be expected to oxidize sulfides preferentially and complete oxidation of FeS and FeS2 to sulfate by MnO2 has been observed in marine sediments </w:t>
      </w:r>
      <w:r w:rsidR="006E1592" w:rsidRPr="00D90700">
        <w:fldChar w:fldCharType="begin">
          <w:fldData xml:space="preserve">PEVuZE5vdGU+PENpdGU+PEF1dGhvcj5BbGxlcjwvQXV0aG9yPjxZZWFyPjE5ODg8L1llYXI+PFJl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</w:fldData>
        </w:fldChar>
      </w:r>
      <w:r w:rsidR="006E1592" w:rsidRPr="00D90700">
        <w:instrText xml:space="preserve"> ADDIN EN.CITE </w:instrText>
      </w:r>
      <w:r w:rsidR="006E1592" w:rsidRPr="00D90700">
        <w:fldChar w:fldCharType="begin">
          <w:fldData xml:space="preserve">PEVuZE5vdGU+PENpdGU+PEF1dGhvcj5BbGxlcjwvQXV0aG9yPjxZZWFyPjE5ODg8L1llYXI+PFJl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</w:fldData>
        </w:fldChar>
      </w:r>
      <w:r w:rsidR="006E1592" w:rsidRPr="00D90700">
        <w:instrText xml:space="preserve"> ADDIN EN.CITE.DATA </w:instrText>
      </w:r>
      <w:r w:rsidR="006E1592" w:rsidRPr="00D90700">
        <w:fldChar w:fldCharType="end"/>
      </w:r>
      <w:r w:rsidR="006E1592" w:rsidRPr="00D90700">
        <w:fldChar w:fldCharType="separate"/>
      </w:r>
      <w:r w:rsidR="006E1592" w:rsidRPr="00D90700">
        <w:t xml:space="preserve">(Aller and Rude 1988; </w:t>
      </w:r>
      <w:proofErr w:type="spellStart"/>
      <w:r w:rsidR="006E1592" w:rsidRPr="00D90700">
        <w:t>Schippers</w:t>
      </w:r>
      <w:proofErr w:type="spellEnd"/>
      <w:r w:rsidR="006E1592" w:rsidRPr="00D90700">
        <w:t xml:space="preserve"> and Jorgensen 2001)</w:t>
      </w:r>
      <w:r w:rsidR="006E1592" w:rsidRPr="00D90700">
        <w:fldChar w:fldCharType="end"/>
      </w:r>
      <w:r w:rsidR="006E1592" w:rsidRPr="00D90700">
        <w:t>. Although there is slight or no evidence for complete FeS or FeS2 oxidation by Fe(III)-oxides</w:t>
      </w:r>
      <w:r w:rsidR="006E1592" w:rsidRPr="00033E11">
        <w:t xml:space="preserve"> </w:t>
      </w:r>
      <w:r w:rsidR="00F20517" w:rsidRPr="00D90700">
        <w:fldChar w:fldCharType="begin">
          <w:fldData xml:space="preserve">PEVuZE5vdGU+PENpdGU+PEF1dGhvcj5BbGxlcjwvQXV0aG9yPjxZZWFyPjE5ODg8L1llYXI+PFJl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</w:fldData>
        </w:fldChar>
      </w:r>
      <w:r w:rsidR="0063330E">
        <w:instrText xml:space="preserve"> ADDIN EN.CITE </w:instrText>
      </w:r>
      <w:r w:rsidR="0063330E">
        <w:fldChar w:fldCharType="begin">
          <w:fldData xml:space="preserve">PEVuZE5vdGU+PENpdGU+PEF1dGhvcj5BbGxlcjwvQXV0aG9yPjxZZWFyPjE5ODg8L1llYXI+PFJl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</w:fldData>
        </w:fldChar>
      </w:r>
      <w:r w:rsidR="0063330E">
        <w:instrText xml:space="preserve"> ADDIN EN.CITE.DATA </w:instrText>
      </w:r>
      <w:r w:rsidR="0063330E">
        <w:fldChar w:fldCharType="end"/>
      </w:r>
      <w:r w:rsidR="00F20517" w:rsidRPr="00D90700">
        <w:fldChar w:fldCharType="separate"/>
      </w:r>
      <w:r w:rsidR="0063330E">
        <w:rPr>
          <w:noProof/>
        </w:rPr>
        <w:t>(</w:t>
      </w:r>
      <w:r w:rsidR="00E45E00">
        <w:rPr>
          <w:noProof/>
        </w:rPr>
        <w:t>Aller and Rude 1988</w:t>
      </w:r>
      <w:r w:rsidR="0063330E">
        <w:rPr>
          <w:noProof/>
        </w:rPr>
        <w:t xml:space="preserve">; </w:t>
      </w:r>
      <w:r w:rsidR="00E45E00">
        <w:rPr>
          <w:noProof/>
        </w:rPr>
        <w:t>Schippers and Jorgensen 2001</w:t>
      </w:r>
      <w:r w:rsidR="0063330E">
        <w:rPr>
          <w:noProof/>
        </w:rPr>
        <w:t xml:space="preserve">; </w:t>
      </w:r>
      <w:r w:rsidR="00E45E00">
        <w:rPr>
          <w:noProof/>
        </w:rPr>
        <w:t>Schippers and Jorgensen 2002</w:t>
      </w:r>
      <w:r w:rsidR="0063330E">
        <w:rPr>
          <w:noProof/>
        </w:rPr>
        <w:t>)</w:t>
      </w:r>
      <w:r w:rsidR="00F20517" w:rsidRPr="00D90700">
        <w:fldChar w:fldCharType="end"/>
      </w:r>
      <w:r w:rsidR="006E1592">
        <w:t xml:space="preserve">, </w:t>
      </w:r>
      <w:r w:rsidR="00F20517" w:rsidRPr="00D90700">
        <w:t xml:space="preserve">intermediate oxidation products such as elemental sulfur (S0) and thiosulfate (S2O32-) can be completely oxidized to sulfate by microbes which utilize Fe(III)-oxides as TEAs </w:t>
      </w:r>
      <w:r w:rsidR="00F20517" w:rsidRPr="00D90700">
        <w:fldChar w:fldCharType="begin">
          <w:fldData xml:space="preserve">PEVuZE5vdGU+PENpdGU+PEF1dGhvcj5GaW5zdGVyPC9BdXRob3I+PFllYXI+MTk5ODwvWWVhcj48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</w:fldData>
        </w:fldChar>
      </w:r>
      <w:r w:rsidR="00F20517" w:rsidRPr="00D90700">
        <w:instrText xml:space="preserve"> ADDIN EN.CITE </w:instrText>
      </w:r>
      <w:r w:rsidR="00F20517" w:rsidRPr="00D90700">
        <w:fldChar w:fldCharType="begin">
          <w:fldData xml:space="preserve">PEVuZE5vdGU+PENpdGU+PEF1dGhvcj5GaW5zdGVyPC9BdXRob3I+PFllYXI+MTk5ODwvWWVhcj48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</w:fldData>
        </w:fldChar>
      </w:r>
      <w:r w:rsidR="00F20517" w:rsidRPr="00D90700">
        <w:instrText xml:space="preserve"> ADDIN EN.CITE.DATA </w:instrText>
      </w:r>
      <w:r w:rsidR="00F20517" w:rsidRPr="00D90700">
        <w:fldChar w:fldCharType="end"/>
      </w:r>
      <w:r w:rsidR="00F20517" w:rsidRPr="00D90700">
        <w:fldChar w:fldCharType="separate"/>
      </w:r>
      <w:r w:rsidR="00F20517" w:rsidRPr="00D90700">
        <w:t>(</w:t>
      </w:r>
      <w:proofErr w:type="spellStart"/>
      <w:r w:rsidR="00E45E00" w:rsidRPr="00D90700">
        <w:t>Finster</w:t>
      </w:r>
      <w:proofErr w:type="spellEnd"/>
      <w:r w:rsidR="00E45E00" w:rsidRPr="00D90700">
        <w:t xml:space="preserve"> et al. 1998</w:t>
      </w:r>
      <w:r w:rsidR="00F20517" w:rsidRPr="00D90700">
        <w:t xml:space="preserve">; </w:t>
      </w:r>
      <w:proofErr w:type="spellStart"/>
      <w:r w:rsidR="00E45E00" w:rsidRPr="00D90700">
        <w:t>Thamdrup</w:t>
      </w:r>
      <w:proofErr w:type="spellEnd"/>
      <w:r w:rsidR="00E45E00" w:rsidRPr="00D90700">
        <w:t xml:space="preserve"> et al. 1993</w:t>
      </w:r>
      <w:r w:rsidR="00F20517" w:rsidRPr="00D90700">
        <w:t>)</w:t>
      </w:r>
      <w:r w:rsidR="00F20517" w:rsidRPr="00D90700">
        <w:fldChar w:fldCharType="end"/>
      </w:r>
      <w:r w:rsidR="00F20517" w:rsidRPr="00D90700">
        <w:t xml:space="preserve">. Although desorption of sulfate and/or U(VI) may have also occurred after 15 days it is unlikely due to relatively little change in pH (data not shown) </w:t>
      </w:r>
      <w:r w:rsidR="00F20517" w:rsidRPr="00D90700">
        <w:fldChar w:fldCharType="begin">
          <w:fldData xml:space="preserve">PEVuZE5vdGU+PENpdGU+PEF1dGhvcj5CYXJuZXR0PC9BdXRob3I+PFllYXI+MjAwMjwvWWVhcj48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</w:fldData>
        </w:fldChar>
      </w:r>
      <w:r w:rsidR="00F20517" w:rsidRPr="00D90700">
        <w:instrText xml:space="preserve"> ADDIN EN.CITE </w:instrText>
      </w:r>
      <w:r w:rsidR="00F20517" w:rsidRPr="00D90700">
        <w:fldChar w:fldCharType="begin">
          <w:fldData xml:space="preserve">PEVuZE5vdGU+PENpdGU+PEF1dGhvcj5CYXJuZXR0PC9BdXRob3I+PFllYXI+MjAwMjwvWWVhcj48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</w:fldData>
        </w:fldChar>
      </w:r>
      <w:r w:rsidR="00F20517" w:rsidRPr="00D90700">
        <w:instrText xml:space="preserve"> ADDIN EN.CITE.DATA </w:instrText>
      </w:r>
      <w:r w:rsidR="00F20517" w:rsidRPr="00D90700">
        <w:fldChar w:fldCharType="end"/>
      </w:r>
      <w:r w:rsidR="00F20517" w:rsidRPr="00D90700">
        <w:fldChar w:fldCharType="separate"/>
      </w:r>
      <w:r w:rsidR="00F20517" w:rsidRPr="00D90700">
        <w:t>(</w:t>
      </w:r>
      <w:r w:rsidR="00E45E00" w:rsidRPr="00D90700">
        <w:t>Barnett et al. 2002</w:t>
      </w:r>
      <w:r w:rsidR="00F20517" w:rsidRPr="00D90700">
        <w:t xml:space="preserve">; </w:t>
      </w:r>
      <w:r w:rsidR="00E45E00" w:rsidRPr="00D90700">
        <w:t>Rose and Ghazi 1997</w:t>
      </w:r>
      <w:r w:rsidR="00F20517" w:rsidRPr="00D90700">
        <w:t>)</w:t>
      </w:r>
      <w:r w:rsidR="00F20517" w:rsidRPr="00D90700">
        <w:fldChar w:fldCharType="end"/>
      </w:r>
      <w:r w:rsidR="00F20517" w:rsidRPr="00D90700">
        <w:t>.</w:t>
      </w:r>
      <w:r w:rsidR="00F20517" w:rsidRPr="00033E11">
        <w:rPr>
          <w:bCs/>
        </w:rPr>
        <w:t xml:space="preserve"> </w:t>
      </w:r>
    </w:p>
    <w:p w14:paraId="2FCDA9B6" w14:textId="77777777" w:rsidR="006311B7" w:rsidRDefault="00F20517" w:rsidP="00792D91">
      <w:pPr>
        <w:ind w:firstLine="720"/>
      </w:pPr>
      <w:r w:rsidRPr="00033E11">
        <w:t xml:space="preserve">Recovery factors for U(VI) and sulfate were computed </w:t>
      </w:r>
      <w:proofErr w:type="gramStart"/>
      <w:r w:rsidRPr="00033E11">
        <w:t>in order to</w:t>
      </w:r>
      <w:proofErr w:type="gramEnd"/>
      <w:r w:rsidRPr="00033E11">
        <w:t xml:space="preserve"> quantify the extent of U(VI) and sulfate immobilization/mobilization for duration of the 36-day tests (</w:t>
      </w:r>
      <w:r w:rsidR="002F16E6">
        <w:fldChar w:fldCharType="begin"/>
      </w:r>
      <w:r w:rsidR="002F16E6">
        <w:instrText xml:space="preserve"> REF _Ref485277099 \h </w:instrText>
      </w:r>
      <w:r w:rsidR="002F16E6">
        <w:fldChar w:fldCharType="separate"/>
      </w:r>
      <w:r w:rsidR="001175BB">
        <w:t xml:space="preserve">Table </w:t>
      </w:r>
      <w:r w:rsidR="001175BB">
        <w:rPr>
          <w:noProof/>
        </w:rPr>
        <w:t>2</w:t>
      </w:r>
      <w:r w:rsidR="001175BB">
        <w:t>.</w:t>
      </w:r>
      <w:r w:rsidR="001175BB">
        <w:rPr>
          <w:noProof/>
        </w:rPr>
        <w:t>3</w:t>
      </w:r>
      <w:r w:rsidR="002F16E6">
        <w:fldChar w:fldCharType="end"/>
      </w:r>
      <w:r w:rsidRPr="00033E11">
        <w:t>). Recovery factors for U(VI) and sulfate were 0.2 and 0.5, respectively, for the control-well test (</w:t>
      </w:r>
      <w:r w:rsidR="002F16E6">
        <w:fldChar w:fldCharType="begin"/>
      </w:r>
      <w:r w:rsidR="002F16E6">
        <w:instrText xml:space="preserve"> REF _Ref485277099 \h </w:instrText>
      </w:r>
      <w:r w:rsidR="002F16E6">
        <w:fldChar w:fldCharType="separate"/>
      </w:r>
      <w:r w:rsidR="001175BB">
        <w:t xml:space="preserve">Table </w:t>
      </w:r>
      <w:r w:rsidR="001175BB">
        <w:rPr>
          <w:noProof/>
        </w:rPr>
        <w:t>2</w:t>
      </w:r>
      <w:r w:rsidR="001175BB">
        <w:t>.</w:t>
      </w:r>
      <w:r w:rsidR="001175BB">
        <w:rPr>
          <w:noProof/>
        </w:rPr>
        <w:t>3</w:t>
      </w:r>
      <w:r w:rsidR="002F16E6">
        <w:fldChar w:fldCharType="end"/>
      </w:r>
      <w:r w:rsidRPr="00033E11">
        <w:t>). Although both immobilization (0 to 15 days) and mobilization (15 to 36 days) of U(VI) and sulfate were observed (</w:t>
      </w:r>
      <w:r w:rsidR="002F16E6">
        <w:fldChar w:fldCharType="begin"/>
      </w:r>
      <w:r w:rsidR="002F16E6">
        <w:instrText xml:space="preserve"> REF _Ref485276961 \h </w:instrText>
      </w:r>
      <w:r w:rsidR="002F16E6">
        <w:fldChar w:fldCharType="separate"/>
      </w:r>
      <w:r w:rsidR="001175BB">
        <w:t xml:space="preserve">Figure </w:t>
      </w:r>
      <w:r w:rsidR="001175BB">
        <w:rPr>
          <w:noProof/>
        </w:rPr>
        <w:t>2</w:t>
      </w:r>
      <w:r w:rsidR="001175BB">
        <w:t>.</w:t>
      </w:r>
      <w:r w:rsidR="001175BB">
        <w:rPr>
          <w:noProof/>
        </w:rPr>
        <w:t>1</w:t>
      </w:r>
      <w:r w:rsidR="002F16E6">
        <w:fldChar w:fldCharType="end"/>
      </w:r>
      <w:r w:rsidRPr="00033E11">
        <w:t>), the recovery factor results suggested that a net removal (recovery factor &lt;1) of U(VI) and sulfate from groundwater occurred over the full duration of the test (</w:t>
      </w:r>
      <w:r w:rsidR="002F16E6">
        <w:fldChar w:fldCharType="begin"/>
      </w:r>
      <w:r w:rsidR="002F16E6">
        <w:instrText xml:space="preserve"> REF _Ref485277099 \h </w:instrText>
      </w:r>
      <w:r w:rsidR="002F16E6">
        <w:fldChar w:fldCharType="separate"/>
      </w:r>
      <w:r w:rsidR="001175BB">
        <w:t xml:space="preserve">Table </w:t>
      </w:r>
      <w:r w:rsidR="001175BB">
        <w:rPr>
          <w:noProof/>
        </w:rPr>
        <w:t>2</w:t>
      </w:r>
      <w:r w:rsidR="001175BB">
        <w:t>.</w:t>
      </w:r>
      <w:r w:rsidR="001175BB">
        <w:rPr>
          <w:noProof/>
        </w:rPr>
        <w:t>3</w:t>
      </w:r>
      <w:r w:rsidR="002F16E6">
        <w:fldChar w:fldCharType="end"/>
      </w:r>
      <w:r w:rsidRPr="00033E11">
        <w:t>). Therefore, it is likely that a net removal of U(VI) and sulfate from</w:t>
      </w:r>
      <w:r w:rsidR="00792D91">
        <w:t xml:space="preserve"> </w:t>
      </w:r>
      <w:r w:rsidR="00792D91" w:rsidRPr="00033E11">
        <w:t>groundwater by microbial-mediated reduction also occurred during the first three biostimulation tests (</w:t>
      </w:r>
      <w:r w:rsidR="002F16E6">
        <w:fldChar w:fldCharType="begin"/>
      </w:r>
      <w:r w:rsidR="002F16E6">
        <w:instrText xml:space="preserve"> REF _Ref485276658 \h </w:instrText>
      </w:r>
      <w:r w:rsidR="002F16E6">
        <w:fldChar w:fldCharType="separate"/>
      </w:r>
      <w:r w:rsidR="001175BB">
        <w:t xml:space="preserve">Table </w:t>
      </w:r>
      <w:r w:rsidR="001175BB">
        <w:rPr>
          <w:noProof/>
        </w:rPr>
        <w:t>2</w:t>
      </w:r>
      <w:r w:rsidR="001175BB">
        <w:t>.</w:t>
      </w:r>
      <w:r w:rsidR="001175BB">
        <w:rPr>
          <w:noProof/>
        </w:rPr>
        <w:t>1</w:t>
      </w:r>
      <w:r w:rsidR="002F16E6">
        <w:fldChar w:fldCharType="end"/>
      </w:r>
      <w:r w:rsidR="00792D91" w:rsidRPr="00033E11">
        <w:t>).</w:t>
      </w:r>
    </w:p>
    <w:p w14:paraId="7FF480FC" w14:textId="77777777" w:rsidR="00A74CBF" w:rsidRPr="000A3930" w:rsidRDefault="002D1B51" w:rsidP="002D1B51">
      <w:pPr>
        <w:pStyle w:val="Caption"/>
        <w:rPr>
          <w:b w:val="0"/>
        </w:rPr>
      </w:pPr>
      <w:bookmarkStart w:id="64" w:name="_Ref485277099"/>
      <w:bookmarkStart w:id="65" w:name="_Toc498504881"/>
      <w:r>
        <w:lastRenderedPageBreak/>
        <w:t xml:space="preserve">Table </w:t>
      </w:r>
      <w:r w:rsidR="00CA2C3C">
        <w:fldChar w:fldCharType="begin"/>
      </w:r>
      <w:r w:rsidR="00CA2C3C">
        <w:instrText xml:space="preserve"> STYLEREF 1 \s </w:instrText>
      </w:r>
      <w:r w:rsidR="00CA2C3C">
        <w:fldChar w:fldCharType="separate"/>
      </w:r>
      <w:r w:rsidR="002105EE">
        <w:rPr>
          <w:noProof/>
        </w:rPr>
        <w:t>2</w:t>
      </w:r>
      <w:r w:rsidR="00CA2C3C">
        <w:rPr>
          <w:noProof/>
        </w:rPr>
        <w:fldChar w:fldCharType="end"/>
      </w:r>
      <w:r w:rsidR="002105EE">
        <w:t>.</w:t>
      </w:r>
      <w:r w:rsidR="00CA2C3C">
        <w:fldChar w:fldCharType="begin"/>
      </w:r>
      <w:r w:rsidR="00CA2C3C">
        <w:instrText xml:space="preserve"> SEQ Table \* ARABIC \s 1 </w:instrText>
      </w:r>
      <w:r w:rsidR="00CA2C3C">
        <w:fldChar w:fldCharType="separate"/>
      </w:r>
      <w:r w:rsidR="002105EE">
        <w:rPr>
          <w:noProof/>
        </w:rPr>
        <w:t>3</w:t>
      </w:r>
      <w:r w:rsidR="00CA2C3C">
        <w:rPr>
          <w:noProof/>
        </w:rPr>
        <w:fldChar w:fldCharType="end"/>
      </w:r>
      <w:bookmarkEnd w:id="64"/>
      <w:r>
        <w:t xml:space="preserve"> </w:t>
      </w:r>
      <w:r w:rsidR="00A74CBF" w:rsidRPr="005774C8">
        <w:rPr>
          <w:b w:val="0"/>
        </w:rPr>
        <w:t>Recovery factors for U(VI) and sulfate for control (FW224) and test well trip</w:t>
      </w:r>
      <w:r w:rsidR="00161F2E" w:rsidRPr="005774C8">
        <w:rPr>
          <w:b w:val="0"/>
        </w:rPr>
        <w:t>licates during push-pull test 4,</w:t>
      </w:r>
      <w:r w:rsidR="00A74CBF" w:rsidRPr="005774C8">
        <w:rPr>
          <w:b w:val="0"/>
        </w:rPr>
        <w:t xml:space="preserve"> </w:t>
      </w:r>
      <w:r w:rsidR="00161F2E" w:rsidRPr="005774C8">
        <w:rPr>
          <w:b w:val="0"/>
        </w:rPr>
        <w:t>a</w:t>
      </w:r>
      <w:r w:rsidR="00A74CBF" w:rsidRPr="005774C8">
        <w:rPr>
          <w:b w:val="0"/>
        </w:rPr>
        <w:t xml:space="preserve">verage recovery factors </w:t>
      </w:r>
      <w:r w:rsidR="00A74CBF" w:rsidRPr="005774C8">
        <w:rPr>
          <w:rFonts w:cs="Times New Roman"/>
          <w:b w:val="0"/>
        </w:rPr>
        <w:t>±</w:t>
      </w:r>
      <w:r w:rsidR="00A74CBF" w:rsidRPr="005774C8">
        <w:rPr>
          <w:b w:val="0"/>
        </w:rPr>
        <w:t xml:space="preserve"> one standard deviation are shown for triplicate test wells</w:t>
      </w:r>
      <w:r w:rsidR="00161F2E" w:rsidRPr="005774C8">
        <w:rPr>
          <w:b w:val="0"/>
        </w:rPr>
        <w:t>,</w:t>
      </w:r>
      <w:r w:rsidR="00A74CBF" w:rsidRPr="005774C8">
        <w:rPr>
          <w:b w:val="0"/>
        </w:rPr>
        <w:t xml:space="preserve"> NA = not applicable. EtOH = ethanol</w:t>
      </w:r>
      <w:bookmarkEnd w:id="65"/>
      <w:r w:rsidR="00A74CBF" w:rsidRPr="005774C8">
        <w:rPr>
          <w:b w:val="0"/>
        </w:rPr>
        <w:t xml:space="preserve"> </w:t>
      </w:r>
      <w:r w:rsidR="00A74CBF" w:rsidRPr="000A3930">
        <w:t xml:space="preserve">  </w:t>
      </w:r>
    </w:p>
    <w:tbl>
      <w:tblPr>
        <w:tblW w:w="9360" w:type="dxa"/>
        <w:tblLook w:val="04A0" w:firstRow="1" w:lastRow="0" w:firstColumn="1" w:lastColumn="0" w:noHBand="0" w:noVBand="1"/>
      </w:tblPr>
      <w:tblGrid>
        <w:gridCol w:w="1436"/>
        <w:gridCol w:w="1262"/>
        <w:gridCol w:w="2132"/>
        <w:gridCol w:w="874"/>
        <w:gridCol w:w="870"/>
        <w:gridCol w:w="1393"/>
        <w:gridCol w:w="1393"/>
      </w:tblGrid>
      <w:tr w:rsidR="00F20517" w:rsidRPr="00033E11" w14:paraId="0A77D727" w14:textId="77777777" w:rsidTr="0063330E">
        <w:trPr>
          <w:trHeight w:val="945"/>
        </w:trPr>
        <w:tc>
          <w:tcPr>
            <w:tcW w:w="1320" w:type="dxa"/>
            <w:tcBorders>
              <w:top w:val="single" w:sz="4" w:space="0" w:color="auto"/>
              <w:left w:val="nil"/>
              <w:bottom w:val="single" w:sz="4" w:space="0" w:color="auto"/>
              <w:right w:val="nil"/>
            </w:tcBorders>
            <w:shd w:val="clear" w:color="auto" w:fill="auto"/>
            <w:vAlign w:val="center"/>
            <w:hideMark/>
          </w:tcPr>
          <w:p w14:paraId="62052F08"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Treatment ID</w:t>
            </w:r>
          </w:p>
        </w:tc>
        <w:tc>
          <w:tcPr>
            <w:tcW w:w="1160" w:type="dxa"/>
            <w:tcBorders>
              <w:top w:val="single" w:sz="4" w:space="0" w:color="auto"/>
              <w:left w:val="nil"/>
              <w:bottom w:val="single" w:sz="4" w:space="0" w:color="auto"/>
              <w:right w:val="nil"/>
            </w:tcBorders>
            <w:shd w:val="clear" w:color="auto" w:fill="auto"/>
            <w:vAlign w:val="center"/>
            <w:hideMark/>
          </w:tcPr>
          <w:p w14:paraId="7BEA224A" w14:textId="77777777" w:rsidR="00F20517" w:rsidRPr="00033E11" w:rsidRDefault="00F20517" w:rsidP="0063330E">
            <w:pPr>
              <w:spacing w:line="240" w:lineRule="auto"/>
              <w:jc w:val="center"/>
              <w:rPr>
                <w:rFonts w:eastAsia="Times New Roman" w:cs="Times New Roman"/>
                <w:szCs w:val="24"/>
              </w:rPr>
            </w:pPr>
            <w:bookmarkStart w:id="66" w:name="RANGE!C13:H23"/>
            <w:r w:rsidRPr="00033E11">
              <w:rPr>
                <w:rFonts w:eastAsia="Times New Roman" w:cs="Times New Roman"/>
                <w:szCs w:val="24"/>
              </w:rPr>
              <w:t>Well</w:t>
            </w:r>
            <w:bookmarkEnd w:id="66"/>
          </w:p>
        </w:tc>
        <w:tc>
          <w:tcPr>
            <w:tcW w:w="1960" w:type="dxa"/>
            <w:tcBorders>
              <w:top w:val="single" w:sz="4" w:space="0" w:color="auto"/>
              <w:left w:val="nil"/>
              <w:bottom w:val="single" w:sz="4" w:space="0" w:color="auto"/>
              <w:right w:val="nil"/>
            </w:tcBorders>
            <w:shd w:val="clear" w:color="auto" w:fill="auto"/>
            <w:vAlign w:val="center"/>
            <w:hideMark/>
          </w:tcPr>
          <w:p w14:paraId="60326FA9"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Amendments</w:t>
            </w:r>
          </w:p>
        </w:tc>
        <w:tc>
          <w:tcPr>
            <w:tcW w:w="800" w:type="dxa"/>
            <w:tcBorders>
              <w:top w:val="single" w:sz="4" w:space="0" w:color="auto"/>
              <w:left w:val="nil"/>
              <w:bottom w:val="single" w:sz="4" w:space="0" w:color="auto"/>
              <w:right w:val="nil"/>
            </w:tcBorders>
            <w:shd w:val="clear" w:color="auto" w:fill="auto"/>
            <w:vAlign w:val="center"/>
            <w:hideMark/>
          </w:tcPr>
          <w:p w14:paraId="09F28D20"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U(VI)</w:t>
            </w:r>
          </w:p>
        </w:tc>
        <w:tc>
          <w:tcPr>
            <w:tcW w:w="800" w:type="dxa"/>
            <w:tcBorders>
              <w:top w:val="single" w:sz="4" w:space="0" w:color="auto"/>
              <w:left w:val="nil"/>
              <w:bottom w:val="single" w:sz="4" w:space="0" w:color="auto"/>
              <w:right w:val="nil"/>
            </w:tcBorders>
            <w:shd w:val="clear" w:color="auto" w:fill="auto"/>
            <w:vAlign w:val="center"/>
            <w:hideMark/>
          </w:tcPr>
          <w:p w14:paraId="391CB93A"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SO</w:t>
            </w:r>
            <w:r w:rsidRPr="00033E11">
              <w:rPr>
                <w:rFonts w:eastAsia="Times New Roman" w:cs="Times New Roman"/>
                <w:szCs w:val="24"/>
                <w:vertAlign w:val="subscript"/>
              </w:rPr>
              <w:t>4</w:t>
            </w:r>
            <w:r w:rsidRPr="00033E11">
              <w:rPr>
                <w:rFonts w:eastAsia="Times New Roman" w:cs="Times New Roman"/>
                <w:szCs w:val="24"/>
                <w:vertAlign w:val="superscript"/>
              </w:rPr>
              <w:t>2-</w:t>
            </w:r>
          </w:p>
        </w:tc>
        <w:tc>
          <w:tcPr>
            <w:tcW w:w="1280" w:type="dxa"/>
            <w:tcBorders>
              <w:top w:val="single" w:sz="4" w:space="0" w:color="auto"/>
              <w:left w:val="nil"/>
              <w:bottom w:val="single" w:sz="4" w:space="0" w:color="auto"/>
              <w:right w:val="nil"/>
            </w:tcBorders>
            <w:shd w:val="clear" w:color="auto" w:fill="auto"/>
            <w:vAlign w:val="center"/>
            <w:hideMark/>
          </w:tcPr>
          <w:p w14:paraId="1DFAAD2E"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Avg. U(VI) ± 1 S.D.</w:t>
            </w:r>
          </w:p>
        </w:tc>
        <w:tc>
          <w:tcPr>
            <w:tcW w:w="1280" w:type="dxa"/>
            <w:tcBorders>
              <w:top w:val="single" w:sz="4" w:space="0" w:color="auto"/>
              <w:left w:val="nil"/>
              <w:bottom w:val="single" w:sz="4" w:space="0" w:color="auto"/>
              <w:right w:val="nil"/>
            </w:tcBorders>
            <w:shd w:val="clear" w:color="auto" w:fill="auto"/>
            <w:vAlign w:val="center"/>
            <w:hideMark/>
          </w:tcPr>
          <w:p w14:paraId="34D27FA6"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Avg. SO</w:t>
            </w:r>
            <w:r w:rsidRPr="00033E11">
              <w:rPr>
                <w:rFonts w:eastAsia="Times New Roman" w:cs="Times New Roman"/>
                <w:szCs w:val="24"/>
                <w:vertAlign w:val="subscript"/>
              </w:rPr>
              <w:t>4</w:t>
            </w:r>
            <w:r w:rsidRPr="00033E11">
              <w:rPr>
                <w:rFonts w:eastAsia="Times New Roman" w:cs="Times New Roman"/>
                <w:szCs w:val="24"/>
                <w:vertAlign w:val="superscript"/>
              </w:rPr>
              <w:t xml:space="preserve">2- </w:t>
            </w:r>
            <w:r w:rsidRPr="00033E11">
              <w:rPr>
                <w:rFonts w:eastAsia="Times New Roman" w:cs="Times New Roman"/>
                <w:szCs w:val="24"/>
              </w:rPr>
              <w:t>± 1 S.D.</w:t>
            </w:r>
          </w:p>
        </w:tc>
      </w:tr>
      <w:tr w:rsidR="00F20517" w:rsidRPr="00033E11" w14:paraId="694BB93D" w14:textId="77777777" w:rsidTr="0063330E">
        <w:trPr>
          <w:trHeight w:val="945"/>
        </w:trPr>
        <w:tc>
          <w:tcPr>
            <w:tcW w:w="1320" w:type="dxa"/>
            <w:tcBorders>
              <w:top w:val="nil"/>
              <w:left w:val="nil"/>
              <w:bottom w:val="single" w:sz="4" w:space="0" w:color="auto"/>
              <w:right w:val="nil"/>
            </w:tcBorders>
            <w:shd w:val="clear" w:color="auto" w:fill="auto"/>
            <w:noWrap/>
            <w:vAlign w:val="center"/>
            <w:hideMark/>
          </w:tcPr>
          <w:p w14:paraId="3285B076"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Control</w:t>
            </w:r>
          </w:p>
        </w:tc>
        <w:tc>
          <w:tcPr>
            <w:tcW w:w="1160" w:type="dxa"/>
            <w:tcBorders>
              <w:top w:val="nil"/>
              <w:left w:val="nil"/>
              <w:bottom w:val="single" w:sz="4" w:space="0" w:color="auto"/>
              <w:right w:val="nil"/>
            </w:tcBorders>
            <w:shd w:val="clear" w:color="auto" w:fill="auto"/>
            <w:noWrap/>
            <w:vAlign w:val="center"/>
            <w:hideMark/>
          </w:tcPr>
          <w:p w14:paraId="4DCF68AC"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FW224</w:t>
            </w:r>
          </w:p>
        </w:tc>
        <w:tc>
          <w:tcPr>
            <w:tcW w:w="1960" w:type="dxa"/>
            <w:tcBorders>
              <w:top w:val="nil"/>
              <w:left w:val="nil"/>
              <w:bottom w:val="single" w:sz="4" w:space="0" w:color="auto"/>
              <w:right w:val="nil"/>
            </w:tcBorders>
            <w:shd w:val="clear" w:color="auto" w:fill="auto"/>
            <w:vAlign w:val="center"/>
            <w:hideMark/>
          </w:tcPr>
          <w:p w14:paraId="28EF651A"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30mM EtOH, 20mM SO</w:t>
            </w:r>
            <w:r w:rsidRPr="00033E11">
              <w:rPr>
                <w:rFonts w:eastAsia="Times New Roman" w:cs="Times New Roman"/>
                <w:szCs w:val="24"/>
                <w:vertAlign w:val="subscript"/>
              </w:rPr>
              <w:t>4</w:t>
            </w:r>
            <w:r w:rsidRPr="00033E11">
              <w:rPr>
                <w:rFonts w:eastAsia="Times New Roman" w:cs="Times New Roman"/>
                <w:szCs w:val="24"/>
                <w:vertAlign w:val="superscript"/>
              </w:rPr>
              <w:t>2-</w:t>
            </w:r>
          </w:p>
        </w:tc>
        <w:tc>
          <w:tcPr>
            <w:tcW w:w="800" w:type="dxa"/>
            <w:tcBorders>
              <w:top w:val="nil"/>
              <w:left w:val="nil"/>
              <w:bottom w:val="single" w:sz="4" w:space="0" w:color="auto"/>
              <w:right w:val="nil"/>
            </w:tcBorders>
            <w:shd w:val="clear" w:color="auto" w:fill="auto"/>
            <w:noWrap/>
            <w:vAlign w:val="center"/>
            <w:hideMark/>
          </w:tcPr>
          <w:p w14:paraId="03066F64"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0.2</w:t>
            </w:r>
          </w:p>
        </w:tc>
        <w:tc>
          <w:tcPr>
            <w:tcW w:w="800" w:type="dxa"/>
            <w:tcBorders>
              <w:top w:val="nil"/>
              <w:left w:val="nil"/>
              <w:bottom w:val="single" w:sz="4" w:space="0" w:color="auto"/>
              <w:right w:val="nil"/>
            </w:tcBorders>
            <w:shd w:val="clear" w:color="auto" w:fill="auto"/>
            <w:noWrap/>
            <w:vAlign w:val="center"/>
            <w:hideMark/>
          </w:tcPr>
          <w:p w14:paraId="28EBF3BF"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0.5</w:t>
            </w:r>
          </w:p>
        </w:tc>
        <w:tc>
          <w:tcPr>
            <w:tcW w:w="1280" w:type="dxa"/>
            <w:tcBorders>
              <w:top w:val="nil"/>
              <w:left w:val="nil"/>
              <w:bottom w:val="single" w:sz="4" w:space="0" w:color="auto"/>
              <w:right w:val="nil"/>
            </w:tcBorders>
            <w:shd w:val="clear" w:color="auto" w:fill="auto"/>
            <w:noWrap/>
            <w:vAlign w:val="center"/>
            <w:hideMark/>
          </w:tcPr>
          <w:p w14:paraId="7EF2A480"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NA</w:t>
            </w:r>
          </w:p>
        </w:tc>
        <w:tc>
          <w:tcPr>
            <w:tcW w:w="1280" w:type="dxa"/>
            <w:tcBorders>
              <w:top w:val="nil"/>
              <w:left w:val="nil"/>
              <w:bottom w:val="single" w:sz="4" w:space="0" w:color="auto"/>
              <w:right w:val="nil"/>
            </w:tcBorders>
            <w:shd w:val="clear" w:color="auto" w:fill="auto"/>
            <w:noWrap/>
            <w:vAlign w:val="center"/>
            <w:hideMark/>
          </w:tcPr>
          <w:p w14:paraId="3D9DC999"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NA</w:t>
            </w:r>
          </w:p>
        </w:tc>
      </w:tr>
      <w:tr w:rsidR="00F20517" w:rsidRPr="00033E11" w14:paraId="63DA87F9" w14:textId="77777777" w:rsidTr="0063330E">
        <w:trPr>
          <w:trHeight w:val="315"/>
        </w:trPr>
        <w:tc>
          <w:tcPr>
            <w:tcW w:w="1320" w:type="dxa"/>
            <w:vMerge w:val="restart"/>
            <w:tcBorders>
              <w:top w:val="nil"/>
              <w:left w:val="nil"/>
              <w:bottom w:val="single" w:sz="4" w:space="0" w:color="000000"/>
              <w:right w:val="nil"/>
            </w:tcBorders>
            <w:shd w:val="clear" w:color="auto" w:fill="auto"/>
            <w:noWrap/>
            <w:vAlign w:val="center"/>
            <w:hideMark/>
          </w:tcPr>
          <w:p w14:paraId="190E3E04"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Cluster 1</w:t>
            </w:r>
          </w:p>
        </w:tc>
        <w:tc>
          <w:tcPr>
            <w:tcW w:w="1160" w:type="dxa"/>
            <w:tcBorders>
              <w:top w:val="nil"/>
              <w:left w:val="nil"/>
              <w:bottom w:val="nil"/>
              <w:right w:val="nil"/>
            </w:tcBorders>
            <w:shd w:val="clear" w:color="auto" w:fill="auto"/>
            <w:noWrap/>
            <w:vAlign w:val="center"/>
            <w:hideMark/>
          </w:tcPr>
          <w:p w14:paraId="526DE5A9"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FW219</w:t>
            </w:r>
          </w:p>
        </w:tc>
        <w:tc>
          <w:tcPr>
            <w:tcW w:w="1960" w:type="dxa"/>
            <w:vMerge w:val="restart"/>
            <w:tcBorders>
              <w:top w:val="nil"/>
              <w:left w:val="nil"/>
              <w:bottom w:val="single" w:sz="4" w:space="0" w:color="000000"/>
              <w:right w:val="nil"/>
            </w:tcBorders>
            <w:shd w:val="clear" w:color="auto" w:fill="auto"/>
            <w:vAlign w:val="center"/>
            <w:hideMark/>
          </w:tcPr>
          <w:p w14:paraId="5D1065CD"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120mM NO</w:t>
            </w:r>
            <w:r w:rsidRPr="00033E11">
              <w:rPr>
                <w:rFonts w:eastAsia="Times New Roman" w:cs="Times New Roman"/>
                <w:szCs w:val="24"/>
                <w:vertAlign w:val="subscript"/>
              </w:rPr>
              <w:t>3</w:t>
            </w:r>
            <w:r w:rsidRPr="00033E11">
              <w:rPr>
                <w:rFonts w:eastAsia="Times New Roman" w:cs="Times New Roman"/>
                <w:szCs w:val="24"/>
                <w:vertAlign w:val="superscript"/>
              </w:rPr>
              <w:t>-</w:t>
            </w:r>
          </w:p>
        </w:tc>
        <w:tc>
          <w:tcPr>
            <w:tcW w:w="800" w:type="dxa"/>
            <w:tcBorders>
              <w:top w:val="nil"/>
              <w:left w:val="nil"/>
              <w:bottom w:val="nil"/>
              <w:right w:val="nil"/>
            </w:tcBorders>
            <w:shd w:val="clear" w:color="auto" w:fill="auto"/>
            <w:noWrap/>
            <w:vAlign w:val="center"/>
            <w:hideMark/>
          </w:tcPr>
          <w:p w14:paraId="591E4868"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1.0</w:t>
            </w:r>
          </w:p>
        </w:tc>
        <w:tc>
          <w:tcPr>
            <w:tcW w:w="800" w:type="dxa"/>
            <w:tcBorders>
              <w:top w:val="nil"/>
              <w:left w:val="nil"/>
              <w:bottom w:val="nil"/>
              <w:right w:val="nil"/>
            </w:tcBorders>
            <w:shd w:val="clear" w:color="auto" w:fill="auto"/>
            <w:noWrap/>
            <w:vAlign w:val="center"/>
            <w:hideMark/>
          </w:tcPr>
          <w:p w14:paraId="79CC9CF0"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14.4</w:t>
            </w:r>
          </w:p>
        </w:tc>
        <w:tc>
          <w:tcPr>
            <w:tcW w:w="1280" w:type="dxa"/>
            <w:vMerge w:val="restart"/>
            <w:tcBorders>
              <w:top w:val="nil"/>
              <w:left w:val="nil"/>
              <w:bottom w:val="single" w:sz="4" w:space="0" w:color="000000"/>
              <w:right w:val="nil"/>
            </w:tcBorders>
            <w:shd w:val="clear" w:color="auto" w:fill="auto"/>
            <w:noWrap/>
            <w:vAlign w:val="center"/>
            <w:hideMark/>
          </w:tcPr>
          <w:p w14:paraId="39AD9741"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1.3±0.3</w:t>
            </w:r>
          </w:p>
        </w:tc>
        <w:tc>
          <w:tcPr>
            <w:tcW w:w="1280" w:type="dxa"/>
            <w:vMerge w:val="restart"/>
            <w:tcBorders>
              <w:top w:val="nil"/>
              <w:left w:val="nil"/>
              <w:bottom w:val="single" w:sz="4" w:space="0" w:color="000000"/>
              <w:right w:val="nil"/>
            </w:tcBorders>
            <w:shd w:val="clear" w:color="auto" w:fill="auto"/>
            <w:noWrap/>
            <w:vAlign w:val="center"/>
            <w:hideMark/>
          </w:tcPr>
          <w:p w14:paraId="53905A06"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12±3</w:t>
            </w:r>
          </w:p>
        </w:tc>
      </w:tr>
      <w:tr w:rsidR="00F20517" w:rsidRPr="00033E11" w14:paraId="2BB0B456" w14:textId="77777777" w:rsidTr="0063330E">
        <w:trPr>
          <w:trHeight w:val="315"/>
        </w:trPr>
        <w:tc>
          <w:tcPr>
            <w:tcW w:w="1320" w:type="dxa"/>
            <w:vMerge/>
            <w:tcBorders>
              <w:top w:val="nil"/>
              <w:left w:val="nil"/>
              <w:bottom w:val="single" w:sz="4" w:space="0" w:color="000000"/>
              <w:right w:val="nil"/>
            </w:tcBorders>
            <w:vAlign w:val="center"/>
            <w:hideMark/>
          </w:tcPr>
          <w:p w14:paraId="519F3598" w14:textId="77777777" w:rsidR="00F20517" w:rsidRPr="00033E11" w:rsidRDefault="00F20517" w:rsidP="0063330E">
            <w:pPr>
              <w:spacing w:line="240" w:lineRule="auto"/>
              <w:rPr>
                <w:rFonts w:eastAsia="Times New Roman" w:cs="Times New Roman"/>
                <w:szCs w:val="24"/>
              </w:rPr>
            </w:pPr>
          </w:p>
        </w:tc>
        <w:tc>
          <w:tcPr>
            <w:tcW w:w="1160" w:type="dxa"/>
            <w:tcBorders>
              <w:top w:val="nil"/>
              <w:left w:val="nil"/>
              <w:bottom w:val="nil"/>
              <w:right w:val="nil"/>
            </w:tcBorders>
            <w:shd w:val="clear" w:color="auto" w:fill="auto"/>
            <w:noWrap/>
            <w:vAlign w:val="center"/>
            <w:hideMark/>
          </w:tcPr>
          <w:p w14:paraId="63D7F5C3"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FW220</w:t>
            </w:r>
          </w:p>
        </w:tc>
        <w:tc>
          <w:tcPr>
            <w:tcW w:w="1960" w:type="dxa"/>
            <w:vMerge/>
            <w:tcBorders>
              <w:top w:val="nil"/>
              <w:left w:val="nil"/>
              <w:bottom w:val="single" w:sz="4" w:space="0" w:color="000000"/>
              <w:right w:val="nil"/>
            </w:tcBorders>
            <w:vAlign w:val="center"/>
            <w:hideMark/>
          </w:tcPr>
          <w:p w14:paraId="6EFC291B" w14:textId="77777777" w:rsidR="00F20517" w:rsidRPr="00033E11" w:rsidRDefault="00F20517" w:rsidP="0063330E">
            <w:pPr>
              <w:spacing w:line="240" w:lineRule="auto"/>
              <w:rPr>
                <w:rFonts w:eastAsia="Times New Roman" w:cs="Times New Roman"/>
                <w:szCs w:val="24"/>
              </w:rPr>
            </w:pPr>
          </w:p>
        </w:tc>
        <w:tc>
          <w:tcPr>
            <w:tcW w:w="800" w:type="dxa"/>
            <w:tcBorders>
              <w:top w:val="nil"/>
              <w:left w:val="nil"/>
              <w:bottom w:val="nil"/>
              <w:right w:val="nil"/>
            </w:tcBorders>
            <w:shd w:val="clear" w:color="auto" w:fill="auto"/>
            <w:noWrap/>
            <w:vAlign w:val="center"/>
            <w:hideMark/>
          </w:tcPr>
          <w:p w14:paraId="5AC1E6E5"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1.5</w:t>
            </w:r>
          </w:p>
        </w:tc>
        <w:tc>
          <w:tcPr>
            <w:tcW w:w="800" w:type="dxa"/>
            <w:tcBorders>
              <w:top w:val="nil"/>
              <w:left w:val="nil"/>
              <w:bottom w:val="nil"/>
              <w:right w:val="nil"/>
            </w:tcBorders>
            <w:shd w:val="clear" w:color="auto" w:fill="auto"/>
            <w:noWrap/>
            <w:vAlign w:val="center"/>
            <w:hideMark/>
          </w:tcPr>
          <w:p w14:paraId="5BC3C338"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8.6</w:t>
            </w:r>
          </w:p>
        </w:tc>
        <w:tc>
          <w:tcPr>
            <w:tcW w:w="1280" w:type="dxa"/>
            <w:vMerge/>
            <w:tcBorders>
              <w:top w:val="nil"/>
              <w:left w:val="nil"/>
              <w:bottom w:val="single" w:sz="4" w:space="0" w:color="000000"/>
              <w:right w:val="nil"/>
            </w:tcBorders>
            <w:vAlign w:val="center"/>
            <w:hideMark/>
          </w:tcPr>
          <w:p w14:paraId="002527FE" w14:textId="77777777" w:rsidR="00F20517" w:rsidRPr="00033E11" w:rsidRDefault="00F20517" w:rsidP="0063330E">
            <w:pPr>
              <w:spacing w:line="240" w:lineRule="auto"/>
              <w:rPr>
                <w:rFonts w:eastAsia="Times New Roman" w:cs="Times New Roman"/>
                <w:szCs w:val="24"/>
              </w:rPr>
            </w:pPr>
          </w:p>
        </w:tc>
        <w:tc>
          <w:tcPr>
            <w:tcW w:w="1280" w:type="dxa"/>
            <w:vMerge/>
            <w:tcBorders>
              <w:top w:val="nil"/>
              <w:left w:val="nil"/>
              <w:bottom w:val="single" w:sz="4" w:space="0" w:color="000000"/>
              <w:right w:val="nil"/>
            </w:tcBorders>
            <w:vAlign w:val="center"/>
            <w:hideMark/>
          </w:tcPr>
          <w:p w14:paraId="2C7BFD49" w14:textId="77777777" w:rsidR="00F20517" w:rsidRPr="00033E11" w:rsidRDefault="00F20517" w:rsidP="0063330E">
            <w:pPr>
              <w:spacing w:line="240" w:lineRule="auto"/>
              <w:rPr>
                <w:rFonts w:eastAsia="Times New Roman" w:cs="Times New Roman"/>
                <w:szCs w:val="24"/>
              </w:rPr>
            </w:pPr>
          </w:p>
        </w:tc>
      </w:tr>
      <w:tr w:rsidR="00F20517" w:rsidRPr="00033E11" w14:paraId="753FD7A6" w14:textId="77777777" w:rsidTr="0063330E">
        <w:trPr>
          <w:trHeight w:val="315"/>
        </w:trPr>
        <w:tc>
          <w:tcPr>
            <w:tcW w:w="1320" w:type="dxa"/>
            <w:vMerge/>
            <w:tcBorders>
              <w:top w:val="nil"/>
              <w:left w:val="nil"/>
              <w:bottom w:val="single" w:sz="4" w:space="0" w:color="000000"/>
              <w:right w:val="nil"/>
            </w:tcBorders>
            <w:vAlign w:val="center"/>
            <w:hideMark/>
          </w:tcPr>
          <w:p w14:paraId="35030ECD" w14:textId="77777777" w:rsidR="00F20517" w:rsidRPr="00033E11" w:rsidRDefault="00F20517" w:rsidP="0063330E">
            <w:pPr>
              <w:spacing w:line="240" w:lineRule="auto"/>
              <w:rPr>
                <w:rFonts w:eastAsia="Times New Roman" w:cs="Times New Roman"/>
                <w:szCs w:val="24"/>
              </w:rPr>
            </w:pPr>
          </w:p>
        </w:tc>
        <w:tc>
          <w:tcPr>
            <w:tcW w:w="1160" w:type="dxa"/>
            <w:tcBorders>
              <w:top w:val="nil"/>
              <w:left w:val="nil"/>
              <w:bottom w:val="single" w:sz="4" w:space="0" w:color="auto"/>
              <w:right w:val="nil"/>
            </w:tcBorders>
            <w:shd w:val="clear" w:color="auto" w:fill="auto"/>
            <w:noWrap/>
            <w:vAlign w:val="center"/>
            <w:hideMark/>
          </w:tcPr>
          <w:p w14:paraId="515B93DB"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FW225</w:t>
            </w:r>
          </w:p>
        </w:tc>
        <w:tc>
          <w:tcPr>
            <w:tcW w:w="1960" w:type="dxa"/>
            <w:vMerge/>
            <w:tcBorders>
              <w:top w:val="nil"/>
              <w:left w:val="nil"/>
              <w:bottom w:val="single" w:sz="4" w:space="0" w:color="000000"/>
              <w:right w:val="nil"/>
            </w:tcBorders>
            <w:vAlign w:val="center"/>
            <w:hideMark/>
          </w:tcPr>
          <w:p w14:paraId="41441A0A" w14:textId="77777777" w:rsidR="00F20517" w:rsidRPr="00033E11" w:rsidRDefault="00F20517" w:rsidP="0063330E">
            <w:pPr>
              <w:spacing w:line="240" w:lineRule="auto"/>
              <w:rPr>
                <w:rFonts w:eastAsia="Times New Roman" w:cs="Times New Roman"/>
                <w:szCs w:val="24"/>
              </w:rPr>
            </w:pPr>
          </w:p>
        </w:tc>
        <w:tc>
          <w:tcPr>
            <w:tcW w:w="800" w:type="dxa"/>
            <w:tcBorders>
              <w:top w:val="nil"/>
              <w:left w:val="nil"/>
              <w:bottom w:val="single" w:sz="4" w:space="0" w:color="auto"/>
              <w:right w:val="nil"/>
            </w:tcBorders>
            <w:shd w:val="clear" w:color="auto" w:fill="auto"/>
            <w:noWrap/>
            <w:vAlign w:val="center"/>
            <w:hideMark/>
          </w:tcPr>
          <w:p w14:paraId="6CA7D788"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1.5</w:t>
            </w:r>
          </w:p>
        </w:tc>
        <w:tc>
          <w:tcPr>
            <w:tcW w:w="800" w:type="dxa"/>
            <w:tcBorders>
              <w:top w:val="nil"/>
              <w:left w:val="nil"/>
              <w:bottom w:val="single" w:sz="4" w:space="0" w:color="auto"/>
              <w:right w:val="nil"/>
            </w:tcBorders>
            <w:shd w:val="clear" w:color="auto" w:fill="auto"/>
            <w:noWrap/>
            <w:vAlign w:val="center"/>
            <w:hideMark/>
          </w:tcPr>
          <w:p w14:paraId="7E047DCE"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13.0</w:t>
            </w:r>
          </w:p>
        </w:tc>
        <w:tc>
          <w:tcPr>
            <w:tcW w:w="1280" w:type="dxa"/>
            <w:vMerge/>
            <w:tcBorders>
              <w:top w:val="nil"/>
              <w:left w:val="nil"/>
              <w:bottom w:val="single" w:sz="4" w:space="0" w:color="000000"/>
              <w:right w:val="nil"/>
            </w:tcBorders>
            <w:vAlign w:val="center"/>
            <w:hideMark/>
          </w:tcPr>
          <w:p w14:paraId="0D5B3C5A" w14:textId="77777777" w:rsidR="00F20517" w:rsidRPr="00033E11" w:rsidRDefault="00F20517" w:rsidP="0063330E">
            <w:pPr>
              <w:spacing w:line="240" w:lineRule="auto"/>
              <w:rPr>
                <w:rFonts w:eastAsia="Times New Roman" w:cs="Times New Roman"/>
                <w:szCs w:val="24"/>
              </w:rPr>
            </w:pPr>
          </w:p>
        </w:tc>
        <w:tc>
          <w:tcPr>
            <w:tcW w:w="1280" w:type="dxa"/>
            <w:vMerge/>
            <w:tcBorders>
              <w:top w:val="nil"/>
              <w:left w:val="nil"/>
              <w:bottom w:val="single" w:sz="4" w:space="0" w:color="000000"/>
              <w:right w:val="nil"/>
            </w:tcBorders>
            <w:vAlign w:val="center"/>
            <w:hideMark/>
          </w:tcPr>
          <w:p w14:paraId="00270D8F" w14:textId="77777777" w:rsidR="00F20517" w:rsidRPr="00033E11" w:rsidRDefault="00F20517" w:rsidP="0063330E">
            <w:pPr>
              <w:spacing w:line="240" w:lineRule="auto"/>
              <w:rPr>
                <w:rFonts w:eastAsia="Times New Roman" w:cs="Times New Roman"/>
                <w:szCs w:val="24"/>
              </w:rPr>
            </w:pPr>
          </w:p>
        </w:tc>
      </w:tr>
      <w:tr w:rsidR="00F20517" w:rsidRPr="00033E11" w14:paraId="502B75EB" w14:textId="77777777" w:rsidTr="0063330E">
        <w:trPr>
          <w:trHeight w:val="315"/>
        </w:trPr>
        <w:tc>
          <w:tcPr>
            <w:tcW w:w="1320" w:type="dxa"/>
            <w:vMerge w:val="restart"/>
            <w:tcBorders>
              <w:top w:val="nil"/>
              <w:left w:val="nil"/>
              <w:bottom w:val="single" w:sz="4" w:space="0" w:color="000000"/>
              <w:right w:val="nil"/>
            </w:tcBorders>
            <w:shd w:val="clear" w:color="auto" w:fill="auto"/>
            <w:noWrap/>
            <w:vAlign w:val="center"/>
            <w:hideMark/>
          </w:tcPr>
          <w:p w14:paraId="2D40FE0F"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Cluster 2</w:t>
            </w:r>
          </w:p>
        </w:tc>
        <w:tc>
          <w:tcPr>
            <w:tcW w:w="1160" w:type="dxa"/>
            <w:tcBorders>
              <w:top w:val="nil"/>
              <w:left w:val="nil"/>
              <w:bottom w:val="nil"/>
              <w:right w:val="nil"/>
            </w:tcBorders>
            <w:shd w:val="clear" w:color="auto" w:fill="auto"/>
            <w:noWrap/>
            <w:vAlign w:val="center"/>
            <w:hideMark/>
          </w:tcPr>
          <w:p w14:paraId="315F45F7"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FW218</w:t>
            </w:r>
          </w:p>
        </w:tc>
        <w:tc>
          <w:tcPr>
            <w:tcW w:w="1960" w:type="dxa"/>
            <w:vMerge w:val="restart"/>
            <w:tcBorders>
              <w:top w:val="nil"/>
              <w:left w:val="nil"/>
              <w:bottom w:val="single" w:sz="4" w:space="0" w:color="000000"/>
              <w:right w:val="nil"/>
            </w:tcBorders>
            <w:shd w:val="clear" w:color="auto" w:fill="auto"/>
            <w:vAlign w:val="center"/>
            <w:hideMark/>
          </w:tcPr>
          <w:p w14:paraId="2F0BD745"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30mM EtOH, 120mM NO</w:t>
            </w:r>
            <w:r w:rsidRPr="00033E11">
              <w:rPr>
                <w:rFonts w:eastAsia="Times New Roman" w:cs="Times New Roman"/>
                <w:szCs w:val="24"/>
                <w:vertAlign w:val="subscript"/>
              </w:rPr>
              <w:t>3</w:t>
            </w:r>
            <w:r w:rsidRPr="00033E11">
              <w:rPr>
                <w:rFonts w:eastAsia="Times New Roman" w:cs="Times New Roman"/>
                <w:szCs w:val="24"/>
                <w:vertAlign w:val="superscript"/>
              </w:rPr>
              <w:t>-</w:t>
            </w:r>
          </w:p>
        </w:tc>
        <w:tc>
          <w:tcPr>
            <w:tcW w:w="800" w:type="dxa"/>
            <w:tcBorders>
              <w:top w:val="nil"/>
              <w:left w:val="nil"/>
              <w:bottom w:val="nil"/>
              <w:right w:val="nil"/>
            </w:tcBorders>
            <w:shd w:val="clear" w:color="auto" w:fill="auto"/>
            <w:noWrap/>
            <w:vAlign w:val="center"/>
            <w:hideMark/>
          </w:tcPr>
          <w:p w14:paraId="744E30EE"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0.9</w:t>
            </w:r>
          </w:p>
        </w:tc>
        <w:tc>
          <w:tcPr>
            <w:tcW w:w="800" w:type="dxa"/>
            <w:tcBorders>
              <w:top w:val="nil"/>
              <w:left w:val="nil"/>
              <w:bottom w:val="nil"/>
              <w:right w:val="nil"/>
            </w:tcBorders>
            <w:shd w:val="clear" w:color="auto" w:fill="auto"/>
            <w:noWrap/>
            <w:vAlign w:val="center"/>
            <w:hideMark/>
          </w:tcPr>
          <w:p w14:paraId="76B80382"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9.8</w:t>
            </w:r>
          </w:p>
        </w:tc>
        <w:tc>
          <w:tcPr>
            <w:tcW w:w="1280" w:type="dxa"/>
            <w:vMerge w:val="restart"/>
            <w:tcBorders>
              <w:top w:val="nil"/>
              <w:left w:val="nil"/>
              <w:bottom w:val="single" w:sz="4" w:space="0" w:color="000000"/>
              <w:right w:val="nil"/>
            </w:tcBorders>
            <w:shd w:val="clear" w:color="auto" w:fill="auto"/>
            <w:noWrap/>
            <w:vAlign w:val="center"/>
            <w:hideMark/>
          </w:tcPr>
          <w:p w14:paraId="0C6B858B"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1.3±0.4</w:t>
            </w:r>
          </w:p>
        </w:tc>
        <w:tc>
          <w:tcPr>
            <w:tcW w:w="1280" w:type="dxa"/>
            <w:vMerge w:val="restart"/>
            <w:tcBorders>
              <w:top w:val="nil"/>
              <w:left w:val="nil"/>
              <w:bottom w:val="single" w:sz="4" w:space="0" w:color="000000"/>
              <w:right w:val="nil"/>
            </w:tcBorders>
            <w:shd w:val="clear" w:color="auto" w:fill="auto"/>
            <w:noWrap/>
            <w:vAlign w:val="center"/>
            <w:hideMark/>
          </w:tcPr>
          <w:p w14:paraId="13EEEDF4"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14±5</w:t>
            </w:r>
          </w:p>
        </w:tc>
      </w:tr>
      <w:tr w:rsidR="00F20517" w:rsidRPr="00033E11" w14:paraId="78107A9C" w14:textId="77777777" w:rsidTr="0063330E">
        <w:trPr>
          <w:trHeight w:val="315"/>
        </w:trPr>
        <w:tc>
          <w:tcPr>
            <w:tcW w:w="1320" w:type="dxa"/>
            <w:vMerge/>
            <w:tcBorders>
              <w:top w:val="nil"/>
              <w:left w:val="nil"/>
              <w:bottom w:val="single" w:sz="4" w:space="0" w:color="000000"/>
              <w:right w:val="nil"/>
            </w:tcBorders>
            <w:vAlign w:val="center"/>
            <w:hideMark/>
          </w:tcPr>
          <w:p w14:paraId="2E578EC4" w14:textId="77777777" w:rsidR="00F20517" w:rsidRPr="00033E11" w:rsidRDefault="00F20517" w:rsidP="0063330E">
            <w:pPr>
              <w:spacing w:line="240" w:lineRule="auto"/>
              <w:rPr>
                <w:rFonts w:eastAsia="Times New Roman" w:cs="Times New Roman"/>
                <w:szCs w:val="24"/>
              </w:rPr>
            </w:pPr>
          </w:p>
        </w:tc>
        <w:tc>
          <w:tcPr>
            <w:tcW w:w="1160" w:type="dxa"/>
            <w:tcBorders>
              <w:top w:val="nil"/>
              <w:left w:val="nil"/>
              <w:bottom w:val="nil"/>
              <w:right w:val="nil"/>
            </w:tcBorders>
            <w:shd w:val="clear" w:color="auto" w:fill="auto"/>
            <w:noWrap/>
            <w:vAlign w:val="center"/>
            <w:hideMark/>
          </w:tcPr>
          <w:p w14:paraId="700CB93C"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FW226</w:t>
            </w:r>
          </w:p>
        </w:tc>
        <w:tc>
          <w:tcPr>
            <w:tcW w:w="1960" w:type="dxa"/>
            <w:vMerge/>
            <w:tcBorders>
              <w:top w:val="nil"/>
              <w:left w:val="nil"/>
              <w:bottom w:val="single" w:sz="4" w:space="0" w:color="000000"/>
              <w:right w:val="nil"/>
            </w:tcBorders>
            <w:vAlign w:val="center"/>
            <w:hideMark/>
          </w:tcPr>
          <w:p w14:paraId="332B304E" w14:textId="77777777" w:rsidR="00F20517" w:rsidRPr="00033E11" w:rsidRDefault="00F20517" w:rsidP="0063330E">
            <w:pPr>
              <w:spacing w:line="240" w:lineRule="auto"/>
              <w:rPr>
                <w:rFonts w:eastAsia="Times New Roman" w:cs="Times New Roman"/>
                <w:szCs w:val="24"/>
              </w:rPr>
            </w:pPr>
          </w:p>
        </w:tc>
        <w:tc>
          <w:tcPr>
            <w:tcW w:w="800" w:type="dxa"/>
            <w:tcBorders>
              <w:top w:val="nil"/>
              <w:left w:val="nil"/>
              <w:bottom w:val="nil"/>
              <w:right w:val="nil"/>
            </w:tcBorders>
            <w:shd w:val="clear" w:color="auto" w:fill="auto"/>
            <w:noWrap/>
            <w:vAlign w:val="center"/>
            <w:hideMark/>
          </w:tcPr>
          <w:p w14:paraId="1AE8DD68"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1.8</w:t>
            </w:r>
          </w:p>
        </w:tc>
        <w:tc>
          <w:tcPr>
            <w:tcW w:w="800" w:type="dxa"/>
            <w:tcBorders>
              <w:top w:val="nil"/>
              <w:left w:val="nil"/>
              <w:bottom w:val="nil"/>
              <w:right w:val="nil"/>
            </w:tcBorders>
            <w:shd w:val="clear" w:color="auto" w:fill="auto"/>
            <w:noWrap/>
            <w:vAlign w:val="center"/>
            <w:hideMark/>
          </w:tcPr>
          <w:p w14:paraId="728293AE"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13.2</w:t>
            </w:r>
          </w:p>
        </w:tc>
        <w:tc>
          <w:tcPr>
            <w:tcW w:w="1280" w:type="dxa"/>
            <w:vMerge/>
            <w:tcBorders>
              <w:top w:val="nil"/>
              <w:left w:val="nil"/>
              <w:bottom w:val="single" w:sz="4" w:space="0" w:color="000000"/>
              <w:right w:val="nil"/>
            </w:tcBorders>
            <w:vAlign w:val="center"/>
            <w:hideMark/>
          </w:tcPr>
          <w:p w14:paraId="16685D32" w14:textId="77777777" w:rsidR="00F20517" w:rsidRPr="00033E11" w:rsidRDefault="00F20517" w:rsidP="0063330E">
            <w:pPr>
              <w:spacing w:line="240" w:lineRule="auto"/>
              <w:rPr>
                <w:rFonts w:eastAsia="Times New Roman" w:cs="Times New Roman"/>
                <w:szCs w:val="24"/>
              </w:rPr>
            </w:pPr>
          </w:p>
        </w:tc>
        <w:tc>
          <w:tcPr>
            <w:tcW w:w="1280" w:type="dxa"/>
            <w:vMerge/>
            <w:tcBorders>
              <w:top w:val="nil"/>
              <w:left w:val="nil"/>
              <w:bottom w:val="single" w:sz="4" w:space="0" w:color="000000"/>
              <w:right w:val="nil"/>
            </w:tcBorders>
            <w:vAlign w:val="center"/>
            <w:hideMark/>
          </w:tcPr>
          <w:p w14:paraId="3CCBF8B1" w14:textId="77777777" w:rsidR="00F20517" w:rsidRPr="00033E11" w:rsidRDefault="00F20517" w:rsidP="0063330E">
            <w:pPr>
              <w:spacing w:line="240" w:lineRule="auto"/>
              <w:rPr>
                <w:rFonts w:eastAsia="Times New Roman" w:cs="Times New Roman"/>
                <w:szCs w:val="24"/>
              </w:rPr>
            </w:pPr>
          </w:p>
        </w:tc>
      </w:tr>
      <w:tr w:rsidR="00F20517" w:rsidRPr="00033E11" w14:paraId="1557128D" w14:textId="77777777" w:rsidTr="0063330E">
        <w:trPr>
          <w:trHeight w:val="315"/>
        </w:trPr>
        <w:tc>
          <w:tcPr>
            <w:tcW w:w="1320" w:type="dxa"/>
            <w:vMerge/>
            <w:tcBorders>
              <w:top w:val="nil"/>
              <w:left w:val="nil"/>
              <w:bottom w:val="single" w:sz="4" w:space="0" w:color="000000"/>
              <w:right w:val="nil"/>
            </w:tcBorders>
            <w:vAlign w:val="center"/>
            <w:hideMark/>
          </w:tcPr>
          <w:p w14:paraId="2B3CAA7C" w14:textId="77777777" w:rsidR="00F20517" w:rsidRPr="00033E11" w:rsidRDefault="00F20517" w:rsidP="0063330E">
            <w:pPr>
              <w:spacing w:line="240" w:lineRule="auto"/>
              <w:rPr>
                <w:rFonts w:eastAsia="Times New Roman" w:cs="Times New Roman"/>
                <w:szCs w:val="24"/>
              </w:rPr>
            </w:pPr>
          </w:p>
        </w:tc>
        <w:tc>
          <w:tcPr>
            <w:tcW w:w="1160" w:type="dxa"/>
            <w:tcBorders>
              <w:top w:val="nil"/>
              <w:left w:val="nil"/>
              <w:bottom w:val="single" w:sz="4" w:space="0" w:color="auto"/>
              <w:right w:val="nil"/>
            </w:tcBorders>
            <w:shd w:val="clear" w:color="auto" w:fill="auto"/>
            <w:noWrap/>
            <w:vAlign w:val="center"/>
            <w:hideMark/>
          </w:tcPr>
          <w:p w14:paraId="51651B9B"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FW227</w:t>
            </w:r>
          </w:p>
        </w:tc>
        <w:tc>
          <w:tcPr>
            <w:tcW w:w="1960" w:type="dxa"/>
            <w:vMerge/>
            <w:tcBorders>
              <w:top w:val="nil"/>
              <w:left w:val="nil"/>
              <w:bottom w:val="single" w:sz="4" w:space="0" w:color="000000"/>
              <w:right w:val="nil"/>
            </w:tcBorders>
            <w:vAlign w:val="center"/>
            <w:hideMark/>
          </w:tcPr>
          <w:p w14:paraId="2EE0EADE" w14:textId="77777777" w:rsidR="00F20517" w:rsidRPr="00033E11" w:rsidRDefault="00F20517" w:rsidP="0063330E">
            <w:pPr>
              <w:spacing w:line="240" w:lineRule="auto"/>
              <w:rPr>
                <w:rFonts w:eastAsia="Times New Roman" w:cs="Times New Roman"/>
                <w:szCs w:val="24"/>
              </w:rPr>
            </w:pPr>
          </w:p>
        </w:tc>
        <w:tc>
          <w:tcPr>
            <w:tcW w:w="800" w:type="dxa"/>
            <w:tcBorders>
              <w:top w:val="nil"/>
              <w:left w:val="nil"/>
              <w:bottom w:val="single" w:sz="4" w:space="0" w:color="auto"/>
              <w:right w:val="nil"/>
            </w:tcBorders>
            <w:shd w:val="clear" w:color="auto" w:fill="auto"/>
            <w:noWrap/>
            <w:vAlign w:val="center"/>
            <w:hideMark/>
          </w:tcPr>
          <w:p w14:paraId="059F0D29"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1.2</w:t>
            </w:r>
          </w:p>
        </w:tc>
        <w:tc>
          <w:tcPr>
            <w:tcW w:w="800" w:type="dxa"/>
            <w:tcBorders>
              <w:top w:val="nil"/>
              <w:left w:val="nil"/>
              <w:bottom w:val="single" w:sz="4" w:space="0" w:color="auto"/>
              <w:right w:val="nil"/>
            </w:tcBorders>
            <w:shd w:val="clear" w:color="auto" w:fill="auto"/>
            <w:noWrap/>
            <w:vAlign w:val="center"/>
            <w:hideMark/>
          </w:tcPr>
          <w:p w14:paraId="41C88E73"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20.2</w:t>
            </w:r>
          </w:p>
        </w:tc>
        <w:tc>
          <w:tcPr>
            <w:tcW w:w="1280" w:type="dxa"/>
            <w:vMerge/>
            <w:tcBorders>
              <w:top w:val="nil"/>
              <w:left w:val="nil"/>
              <w:bottom w:val="single" w:sz="4" w:space="0" w:color="000000"/>
              <w:right w:val="nil"/>
            </w:tcBorders>
            <w:vAlign w:val="center"/>
            <w:hideMark/>
          </w:tcPr>
          <w:p w14:paraId="460DA03A" w14:textId="77777777" w:rsidR="00F20517" w:rsidRPr="00033E11" w:rsidRDefault="00F20517" w:rsidP="0063330E">
            <w:pPr>
              <w:spacing w:line="240" w:lineRule="auto"/>
              <w:rPr>
                <w:rFonts w:eastAsia="Times New Roman" w:cs="Times New Roman"/>
                <w:szCs w:val="24"/>
              </w:rPr>
            </w:pPr>
          </w:p>
        </w:tc>
        <w:tc>
          <w:tcPr>
            <w:tcW w:w="1280" w:type="dxa"/>
            <w:vMerge/>
            <w:tcBorders>
              <w:top w:val="nil"/>
              <w:left w:val="nil"/>
              <w:bottom w:val="single" w:sz="4" w:space="0" w:color="000000"/>
              <w:right w:val="nil"/>
            </w:tcBorders>
            <w:vAlign w:val="center"/>
            <w:hideMark/>
          </w:tcPr>
          <w:p w14:paraId="13C8B1BB" w14:textId="77777777" w:rsidR="00F20517" w:rsidRPr="00033E11" w:rsidRDefault="00F20517" w:rsidP="0063330E">
            <w:pPr>
              <w:spacing w:line="240" w:lineRule="auto"/>
              <w:rPr>
                <w:rFonts w:eastAsia="Times New Roman" w:cs="Times New Roman"/>
                <w:szCs w:val="24"/>
              </w:rPr>
            </w:pPr>
          </w:p>
        </w:tc>
      </w:tr>
      <w:tr w:rsidR="00F20517" w:rsidRPr="00033E11" w14:paraId="30BA7E72" w14:textId="77777777" w:rsidTr="0063330E">
        <w:trPr>
          <w:trHeight w:val="315"/>
        </w:trPr>
        <w:tc>
          <w:tcPr>
            <w:tcW w:w="1320" w:type="dxa"/>
            <w:vMerge w:val="restart"/>
            <w:tcBorders>
              <w:top w:val="nil"/>
              <w:left w:val="nil"/>
              <w:bottom w:val="single" w:sz="4" w:space="0" w:color="000000"/>
              <w:right w:val="nil"/>
            </w:tcBorders>
            <w:shd w:val="clear" w:color="auto" w:fill="auto"/>
            <w:noWrap/>
            <w:vAlign w:val="center"/>
            <w:hideMark/>
          </w:tcPr>
          <w:p w14:paraId="486F66DE"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Cluster 3</w:t>
            </w:r>
          </w:p>
        </w:tc>
        <w:tc>
          <w:tcPr>
            <w:tcW w:w="1160" w:type="dxa"/>
            <w:tcBorders>
              <w:top w:val="nil"/>
              <w:left w:val="nil"/>
              <w:bottom w:val="nil"/>
              <w:right w:val="nil"/>
            </w:tcBorders>
            <w:shd w:val="clear" w:color="auto" w:fill="auto"/>
            <w:noWrap/>
            <w:vAlign w:val="center"/>
            <w:hideMark/>
          </w:tcPr>
          <w:p w14:paraId="74CA1C9A"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FW221</w:t>
            </w:r>
          </w:p>
        </w:tc>
        <w:tc>
          <w:tcPr>
            <w:tcW w:w="1960" w:type="dxa"/>
            <w:vMerge w:val="restart"/>
            <w:tcBorders>
              <w:top w:val="nil"/>
              <w:left w:val="nil"/>
              <w:bottom w:val="single" w:sz="4" w:space="0" w:color="000000"/>
              <w:right w:val="nil"/>
            </w:tcBorders>
            <w:shd w:val="clear" w:color="auto" w:fill="auto"/>
            <w:vAlign w:val="center"/>
            <w:hideMark/>
          </w:tcPr>
          <w:p w14:paraId="08B82481"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 xml:space="preserve">30mM </w:t>
            </w:r>
            <w:proofErr w:type="gramStart"/>
            <w:r w:rsidRPr="00033E11">
              <w:rPr>
                <w:rFonts w:eastAsia="Times New Roman" w:cs="Times New Roman"/>
                <w:szCs w:val="24"/>
              </w:rPr>
              <w:t xml:space="preserve">EtOH,   </w:t>
            </w:r>
            <w:proofErr w:type="gramEnd"/>
            <w:r w:rsidRPr="00033E11">
              <w:rPr>
                <w:rFonts w:eastAsia="Times New Roman" w:cs="Times New Roman"/>
                <w:szCs w:val="24"/>
              </w:rPr>
              <w:t>2mM NO</w:t>
            </w:r>
            <w:r w:rsidRPr="00033E11">
              <w:rPr>
                <w:rFonts w:eastAsia="Times New Roman" w:cs="Times New Roman"/>
                <w:szCs w:val="24"/>
                <w:vertAlign w:val="subscript"/>
              </w:rPr>
              <w:t>3</w:t>
            </w:r>
            <w:r w:rsidRPr="00033E11">
              <w:rPr>
                <w:rFonts w:eastAsia="Times New Roman" w:cs="Times New Roman"/>
                <w:szCs w:val="24"/>
                <w:vertAlign w:val="superscript"/>
              </w:rPr>
              <w:t>-</w:t>
            </w:r>
          </w:p>
        </w:tc>
        <w:tc>
          <w:tcPr>
            <w:tcW w:w="800" w:type="dxa"/>
            <w:tcBorders>
              <w:top w:val="nil"/>
              <w:left w:val="nil"/>
              <w:bottom w:val="nil"/>
              <w:right w:val="nil"/>
            </w:tcBorders>
            <w:shd w:val="clear" w:color="auto" w:fill="auto"/>
            <w:noWrap/>
            <w:vAlign w:val="center"/>
            <w:hideMark/>
          </w:tcPr>
          <w:p w14:paraId="1B5D135A"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0.5</w:t>
            </w:r>
          </w:p>
        </w:tc>
        <w:tc>
          <w:tcPr>
            <w:tcW w:w="800" w:type="dxa"/>
            <w:tcBorders>
              <w:top w:val="nil"/>
              <w:left w:val="nil"/>
              <w:bottom w:val="nil"/>
              <w:right w:val="nil"/>
            </w:tcBorders>
            <w:shd w:val="clear" w:color="auto" w:fill="auto"/>
            <w:noWrap/>
            <w:vAlign w:val="center"/>
            <w:hideMark/>
          </w:tcPr>
          <w:p w14:paraId="5CBC16CC"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4.2</w:t>
            </w:r>
          </w:p>
        </w:tc>
        <w:tc>
          <w:tcPr>
            <w:tcW w:w="1280" w:type="dxa"/>
            <w:vMerge w:val="restart"/>
            <w:tcBorders>
              <w:top w:val="nil"/>
              <w:left w:val="nil"/>
              <w:bottom w:val="single" w:sz="4" w:space="0" w:color="000000"/>
              <w:right w:val="nil"/>
            </w:tcBorders>
            <w:shd w:val="clear" w:color="auto" w:fill="auto"/>
            <w:noWrap/>
            <w:vAlign w:val="center"/>
            <w:hideMark/>
          </w:tcPr>
          <w:p w14:paraId="36C3654E"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0.7±0.5</w:t>
            </w:r>
          </w:p>
        </w:tc>
        <w:tc>
          <w:tcPr>
            <w:tcW w:w="1280" w:type="dxa"/>
            <w:vMerge w:val="restart"/>
            <w:tcBorders>
              <w:top w:val="nil"/>
              <w:left w:val="nil"/>
              <w:bottom w:val="single" w:sz="4" w:space="0" w:color="000000"/>
              <w:right w:val="nil"/>
            </w:tcBorders>
            <w:shd w:val="clear" w:color="auto" w:fill="auto"/>
            <w:noWrap/>
            <w:vAlign w:val="center"/>
            <w:hideMark/>
          </w:tcPr>
          <w:p w14:paraId="011228F9"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5.5±1.3</w:t>
            </w:r>
          </w:p>
        </w:tc>
      </w:tr>
      <w:tr w:rsidR="00F20517" w:rsidRPr="00033E11" w14:paraId="28BE7632" w14:textId="77777777" w:rsidTr="0063330E">
        <w:trPr>
          <w:trHeight w:val="315"/>
        </w:trPr>
        <w:tc>
          <w:tcPr>
            <w:tcW w:w="1320" w:type="dxa"/>
            <w:vMerge/>
            <w:tcBorders>
              <w:top w:val="nil"/>
              <w:left w:val="nil"/>
              <w:bottom w:val="single" w:sz="4" w:space="0" w:color="000000"/>
              <w:right w:val="nil"/>
            </w:tcBorders>
            <w:vAlign w:val="center"/>
            <w:hideMark/>
          </w:tcPr>
          <w:p w14:paraId="7D91B8C6" w14:textId="77777777" w:rsidR="00F20517" w:rsidRPr="00033E11" w:rsidRDefault="00F20517" w:rsidP="0063330E">
            <w:pPr>
              <w:spacing w:line="240" w:lineRule="auto"/>
              <w:rPr>
                <w:rFonts w:eastAsia="Times New Roman" w:cs="Times New Roman"/>
                <w:szCs w:val="24"/>
              </w:rPr>
            </w:pPr>
          </w:p>
        </w:tc>
        <w:tc>
          <w:tcPr>
            <w:tcW w:w="1160" w:type="dxa"/>
            <w:tcBorders>
              <w:top w:val="nil"/>
              <w:left w:val="nil"/>
              <w:bottom w:val="nil"/>
              <w:right w:val="nil"/>
            </w:tcBorders>
            <w:shd w:val="clear" w:color="auto" w:fill="auto"/>
            <w:noWrap/>
            <w:vAlign w:val="center"/>
            <w:hideMark/>
          </w:tcPr>
          <w:p w14:paraId="5A6A75B5"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FW222</w:t>
            </w:r>
          </w:p>
        </w:tc>
        <w:tc>
          <w:tcPr>
            <w:tcW w:w="1960" w:type="dxa"/>
            <w:vMerge/>
            <w:tcBorders>
              <w:top w:val="nil"/>
              <w:left w:val="nil"/>
              <w:bottom w:val="single" w:sz="4" w:space="0" w:color="000000"/>
              <w:right w:val="nil"/>
            </w:tcBorders>
            <w:vAlign w:val="center"/>
            <w:hideMark/>
          </w:tcPr>
          <w:p w14:paraId="41328708" w14:textId="77777777" w:rsidR="00F20517" w:rsidRPr="00033E11" w:rsidRDefault="00F20517" w:rsidP="0063330E">
            <w:pPr>
              <w:spacing w:line="240" w:lineRule="auto"/>
              <w:rPr>
                <w:rFonts w:eastAsia="Times New Roman" w:cs="Times New Roman"/>
                <w:szCs w:val="24"/>
              </w:rPr>
            </w:pPr>
          </w:p>
        </w:tc>
        <w:tc>
          <w:tcPr>
            <w:tcW w:w="800" w:type="dxa"/>
            <w:tcBorders>
              <w:top w:val="nil"/>
              <w:left w:val="nil"/>
              <w:bottom w:val="nil"/>
              <w:right w:val="nil"/>
            </w:tcBorders>
            <w:shd w:val="clear" w:color="auto" w:fill="auto"/>
            <w:noWrap/>
            <w:vAlign w:val="center"/>
            <w:hideMark/>
          </w:tcPr>
          <w:p w14:paraId="4A73156C"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1.3</w:t>
            </w:r>
          </w:p>
        </w:tc>
        <w:tc>
          <w:tcPr>
            <w:tcW w:w="800" w:type="dxa"/>
            <w:tcBorders>
              <w:top w:val="nil"/>
              <w:left w:val="nil"/>
              <w:bottom w:val="nil"/>
              <w:right w:val="nil"/>
            </w:tcBorders>
            <w:shd w:val="clear" w:color="auto" w:fill="auto"/>
            <w:noWrap/>
            <w:vAlign w:val="center"/>
            <w:hideMark/>
          </w:tcPr>
          <w:p w14:paraId="3C09B011"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5.6</w:t>
            </w:r>
          </w:p>
        </w:tc>
        <w:tc>
          <w:tcPr>
            <w:tcW w:w="1280" w:type="dxa"/>
            <w:vMerge/>
            <w:tcBorders>
              <w:top w:val="nil"/>
              <w:left w:val="nil"/>
              <w:bottom w:val="single" w:sz="4" w:space="0" w:color="000000"/>
              <w:right w:val="nil"/>
            </w:tcBorders>
            <w:vAlign w:val="center"/>
            <w:hideMark/>
          </w:tcPr>
          <w:p w14:paraId="5AB4623A" w14:textId="77777777" w:rsidR="00F20517" w:rsidRPr="00033E11" w:rsidRDefault="00F20517" w:rsidP="0063330E">
            <w:pPr>
              <w:spacing w:line="240" w:lineRule="auto"/>
              <w:rPr>
                <w:rFonts w:eastAsia="Times New Roman" w:cs="Times New Roman"/>
                <w:szCs w:val="24"/>
              </w:rPr>
            </w:pPr>
          </w:p>
        </w:tc>
        <w:tc>
          <w:tcPr>
            <w:tcW w:w="1280" w:type="dxa"/>
            <w:vMerge/>
            <w:tcBorders>
              <w:top w:val="nil"/>
              <w:left w:val="nil"/>
              <w:bottom w:val="single" w:sz="4" w:space="0" w:color="000000"/>
              <w:right w:val="nil"/>
            </w:tcBorders>
            <w:vAlign w:val="center"/>
            <w:hideMark/>
          </w:tcPr>
          <w:p w14:paraId="5529340B" w14:textId="77777777" w:rsidR="00F20517" w:rsidRPr="00033E11" w:rsidRDefault="00F20517" w:rsidP="0063330E">
            <w:pPr>
              <w:spacing w:line="240" w:lineRule="auto"/>
              <w:rPr>
                <w:rFonts w:eastAsia="Times New Roman" w:cs="Times New Roman"/>
                <w:szCs w:val="24"/>
              </w:rPr>
            </w:pPr>
          </w:p>
        </w:tc>
      </w:tr>
      <w:tr w:rsidR="00F20517" w:rsidRPr="00033E11" w14:paraId="22520A7B" w14:textId="77777777" w:rsidTr="0063330E">
        <w:trPr>
          <w:trHeight w:val="315"/>
        </w:trPr>
        <w:tc>
          <w:tcPr>
            <w:tcW w:w="1320" w:type="dxa"/>
            <w:vMerge/>
            <w:tcBorders>
              <w:top w:val="nil"/>
              <w:left w:val="nil"/>
              <w:bottom w:val="single" w:sz="4" w:space="0" w:color="000000"/>
              <w:right w:val="nil"/>
            </w:tcBorders>
            <w:vAlign w:val="center"/>
            <w:hideMark/>
          </w:tcPr>
          <w:p w14:paraId="2DC91ABB" w14:textId="77777777" w:rsidR="00F20517" w:rsidRPr="00033E11" w:rsidRDefault="00F20517" w:rsidP="0063330E">
            <w:pPr>
              <w:spacing w:line="240" w:lineRule="auto"/>
              <w:rPr>
                <w:rFonts w:eastAsia="Times New Roman" w:cs="Times New Roman"/>
                <w:szCs w:val="24"/>
              </w:rPr>
            </w:pPr>
          </w:p>
        </w:tc>
        <w:tc>
          <w:tcPr>
            <w:tcW w:w="1160" w:type="dxa"/>
            <w:tcBorders>
              <w:top w:val="nil"/>
              <w:left w:val="nil"/>
              <w:bottom w:val="single" w:sz="4" w:space="0" w:color="auto"/>
              <w:right w:val="nil"/>
            </w:tcBorders>
            <w:shd w:val="clear" w:color="auto" w:fill="auto"/>
            <w:noWrap/>
            <w:vAlign w:val="center"/>
            <w:hideMark/>
          </w:tcPr>
          <w:p w14:paraId="1713451D"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FW223</w:t>
            </w:r>
          </w:p>
        </w:tc>
        <w:tc>
          <w:tcPr>
            <w:tcW w:w="1960" w:type="dxa"/>
            <w:vMerge/>
            <w:tcBorders>
              <w:top w:val="nil"/>
              <w:left w:val="nil"/>
              <w:bottom w:val="single" w:sz="4" w:space="0" w:color="000000"/>
              <w:right w:val="nil"/>
            </w:tcBorders>
            <w:vAlign w:val="center"/>
            <w:hideMark/>
          </w:tcPr>
          <w:p w14:paraId="594F2075" w14:textId="77777777" w:rsidR="00F20517" w:rsidRPr="00033E11" w:rsidRDefault="00F20517" w:rsidP="0063330E">
            <w:pPr>
              <w:spacing w:line="240" w:lineRule="auto"/>
              <w:rPr>
                <w:rFonts w:eastAsia="Times New Roman" w:cs="Times New Roman"/>
                <w:szCs w:val="24"/>
              </w:rPr>
            </w:pPr>
          </w:p>
        </w:tc>
        <w:tc>
          <w:tcPr>
            <w:tcW w:w="800" w:type="dxa"/>
            <w:tcBorders>
              <w:top w:val="nil"/>
              <w:left w:val="nil"/>
              <w:bottom w:val="single" w:sz="4" w:space="0" w:color="auto"/>
              <w:right w:val="nil"/>
            </w:tcBorders>
            <w:shd w:val="clear" w:color="auto" w:fill="auto"/>
            <w:noWrap/>
            <w:vAlign w:val="center"/>
            <w:hideMark/>
          </w:tcPr>
          <w:p w14:paraId="4B9D07D0"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0.4</w:t>
            </w:r>
          </w:p>
        </w:tc>
        <w:tc>
          <w:tcPr>
            <w:tcW w:w="800" w:type="dxa"/>
            <w:tcBorders>
              <w:top w:val="nil"/>
              <w:left w:val="nil"/>
              <w:bottom w:val="single" w:sz="4" w:space="0" w:color="auto"/>
              <w:right w:val="nil"/>
            </w:tcBorders>
            <w:shd w:val="clear" w:color="auto" w:fill="auto"/>
            <w:noWrap/>
            <w:vAlign w:val="center"/>
            <w:hideMark/>
          </w:tcPr>
          <w:p w14:paraId="62419233"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6.8</w:t>
            </w:r>
          </w:p>
        </w:tc>
        <w:tc>
          <w:tcPr>
            <w:tcW w:w="1280" w:type="dxa"/>
            <w:vMerge/>
            <w:tcBorders>
              <w:top w:val="nil"/>
              <w:left w:val="nil"/>
              <w:bottom w:val="single" w:sz="4" w:space="0" w:color="000000"/>
              <w:right w:val="nil"/>
            </w:tcBorders>
            <w:vAlign w:val="center"/>
            <w:hideMark/>
          </w:tcPr>
          <w:p w14:paraId="08928DFD" w14:textId="77777777" w:rsidR="00F20517" w:rsidRPr="00033E11" w:rsidRDefault="00F20517" w:rsidP="0063330E">
            <w:pPr>
              <w:spacing w:line="240" w:lineRule="auto"/>
              <w:rPr>
                <w:rFonts w:eastAsia="Times New Roman" w:cs="Times New Roman"/>
                <w:szCs w:val="24"/>
              </w:rPr>
            </w:pPr>
          </w:p>
        </w:tc>
        <w:tc>
          <w:tcPr>
            <w:tcW w:w="1280" w:type="dxa"/>
            <w:vMerge/>
            <w:tcBorders>
              <w:top w:val="nil"/>
              <w:left w:val="nil"/>
              <w:bottom w:val="single" w:sz="4" w:space="0" w:color="000000"/>
              <w:right w:val="nil"/>
            </w:tcBorders>
            <w:vAlign w:val="center"/>
            <w:hideMark/>
          </w:tcPr>
          <w:p w14:paraId="795DE61E" w14:textId="77777777" w:rsidR="00F20517" w:rsidRPr="00033E11" w:rsidRDefault="00F20517" w:rsidP="0063330E">
            <w:pPr>
              <w:spacing w:line="240" w:lineRule="auto"/>
              <w:rPr>
                <w:rFonts w:eastAsia="Times New Roman" w:cs="Times New Roman"/>
                <w:szCs w:val="24"/>
              </w:rPr>
            </w:pPr>
          </w:p>
        </w:tc>
      </w:tr>
    </w:tbl>
    <w:p w14:paraId="4068D4A5" w14:textId="77777777" w:rsidR="007164AC" w:rsidRDefault="007164AC" w:rsidP="007164AC">
      <w:pPr>
        <w:pStyle w:val="Heading3"/>
        <w:rPr>
          <w:rFonts w:eastAsiaTheme="minorEastAsia" w:cstheme="minorBidi"/>
          <w:b/>
          <w:bCs w:val="0"/>
          <w:i w:val="0"/>
        </w:rPr>
      </w:pPr>
    </w:p>
    <w:p w14:paraId="10B28E1E" w14:textId="77777777" w:rsidR="006E1592" w:rsidRDefault="006E1592" w:rsidP="006E1592"/>
    <w:p w14:paraId="2D02D603" w14:textId="77777777" w:rsidR="006E1592" w:rsidRDefault="006E1592" w:rsidP="006E1592"/>
    <w:p w14:paraId="60D90502" w14:textId="77777777" w:rsidR="006E1592" w:rsidRDefault="006E1592" w:rsidP="006E1592"/>
    <w:p w14:paraId="00A2085B" w14:textId="77777777" w:rsidR="006E1592" w:rsidRDefault="006E1592" w:rsidP="006E1592"/>
    <w:p w14:paraId="63272A60" w14:textId="77777777" w:rsidR="006E1592" w:rsidRDefault="006E1592" w:rsidP="006E1592"/>
    <w:p w14:paraId="7091A23B" w14:textId="77777777" w:rsidR="006E1592" w:rsidRDefault="006E1592" w:rsidP="006E1592"/>
    <w:p w14:paraId="1E099251" w14:textId="77777777" w:rsidR="006E1592" w:rsidRDefault="006E1592" w:rsidP="006E1592"/>
    <w:p w14:paraId="703F0204" w14:textId="77777777" w:rsidR="006E1592" w:rsidRDefault="006E1592" w:rsidP="006E1592"/>
    <w:p w14:paraId="3C3D566E" w14:textId="77777777" w:rsidR="006E1592" w:rsidRDefault="006E1592" w:rsidP="006E1592"/>
    <w:p w14:paraId="182980EC" w14:textId="77777777" w:rsidR="006E1592" w:rsidRDefault="006E1592" w:rsidP="006E1592"/>
    <w:p w14:paraId="0B4391BD" w14:textId="77777777" w:rsidR="006E1592" w:rsidRPr="006E1592" w:rsidRDefault="006E1592" w:rsidP="006E1592"/>
    <w:p w14:paraId="3A3AB562" w14:textId="77777777" w:rsidR="00F20517" w:rsidRPr="00033E11" w:rsidRDefault="00603CC9" w:rsidP="007164AC">
      <w:pPr>
        <w:pStyle w:val="Heading3"/>
      </w:pPr>
      <w:bookmarkStart w:id="67" w:name="_Toc475171399"/>
      <w:bookmarkStart w:id="68" w:name="_Toc475172176"/>
      <w:bookmarkStart w:id="69" w:name="_Toc475172679"/>
      <w:bookmarkStart w:id="70" w:name="_Toc475172756"/>
      <w:bookmarkStart w:id="71" w:name="_Toc498505029"/>
      <w:r>
        <w:lastRenderedPageBreak/>
        <w:t>2.4.2.</w:t>
      </w:r>
      <w:r>
        <w:tab/>
      </w:r>
      <w:r w:rsidR="00F20517" w:rsidRPr="00033E11">
        <w:t>Push-pull tests: Uranium mobility in the presence of high nitrate</w:t>
      </w:r>
      <w:bookmarkEnd w:id="67"/>
      <w:bookmarkEnd w:id="68"/>
      <w:bookmarkEnd w:id="69"/>
      <w:bookmarkEnd w:id="70"/>
      <w:bookmarkEnd w:id="71"/>
      <w:r w:rsidR="00F20517" w:rsidRPr="00033E11">
        <w:t xml:space="preserve"> </w:t>
      </w:r>
    </w:p>
    <w:p w14:paraId="794D5381" w14:textId="77777777" w:rsidR="00F20517" w:rsidRPr="00033E11" w:rsidRDefault="00F20517" w:rsidP="008453EA">
      <w:pPr>
        <w:ind w:firstLine="720"/>
      </w:pPr>
      <w:r w:rsidRPr="00033E11">
        <w:t>Complete removal of high nitrate (170 mM) in the absence of ethanol was concurrent with a steady increase in sulfate concentrations above injection levels (up to 25 mM) and a transient increase in nitrite concentrations (up to 2mM) in well FW220 (</w:t>
      </w:r>
      <w:r w:rsidR="00AF7355">
        <w:fldChar w:fldCharType="begin"/>
      </w:r>
      <w:r w:rsidR="00AF7355">
        <w:instrText xml:space="preserve"> REF _Ref485277244 \h </w:instrText>
      </w:r>
      <w:r w:rsidR="00AF7355">
        <w:fldChar w:fldCharType="separate"/>
      </w:r>
      <w:r w:rsidR="001175BB">
        <w:t xml:space="preserve">Figure </w:t>
      </w:r>
      <w:r w:rsidR="001175BB">
        <w:rPr>
          <w:noProof/>
        </w:rPr>
        <w:t>2</w:t>
      </w:r>
      <w:r w:rsidR="001175BB">
        <w:t>.</w:t>
      </w:r>
      <w:r w:rsidR="001175BB">
        <w:rPr>
          <w:noProof/>
        </w:rPr>
        <w:t>2</w:t>
      </w:r>
      <w:r w:rsidR="00AF7355">
        <w:fldChar w:fldCharType="end"/>
      </w:r>
      <w:r w:rsidRPr="00033E11">
        <w:t xml:space="preserve">). U(VI) concentrations remained near injection levels (5 </w:t>
      </w:r>
      <w:r w:rsidRPr="00033E11">
        <w:rPr>
          <w:rFonts w:cs="Times New Roman"/>
        </w:rPr>
        <w:t>μ</w:t>
      </w:r>
      <w:r w:rsidRPr="00033E11">
        <w:t xml:space="preserve">M) for the first 28 days of the test and then increased to 20 </w:t>
      </w:r>
      <w:r w:rsidRPr="00033E11">
        <w:rPr>
          <w:rFonts w:cs="Times New Roman"/>
        </w:rPr>
        <w:t>μ</w:t>
      </w:r>
      <w:r w:rsidRPr="00033E11">
        <w:t>M by the end of the 36-day test (</w:t>
      </w:r>
      <w:r w:rsidR="00AF7355">
        <w:fldChar w:fldCharType="begin"/>
      </w:r>
      <w:r w:rsidR="00AF7355">
        <w:instrText xml:space="preserve"> REF _Ref485277244 \h </w:instrText>
      </w:r>
      <w:r w:rsidR="00AF7355">
        <w:fldChar w:fldCharType="separate"/>
      </w:r>
      <w:r w:rsidR="001175BB">
        <w:t xml:space="preserve">Figure </w:t>
      </w:r>
      <w:r w:rsidR="001175BB">
        <w:rPr>
          <w:noProof/>
        </w:rPr>
        <w:t>2</w:t>
      </w:r>
      <w:r w:rsidR="001175BB">
        <w:t>.</w:t>
      </w:r>
      <w:r w:rsidR="001175BB">
        <w:rPr>
          <w:noProof/>
        </w:rPr>
        <w:t>2</w:t>
      </w:r>
      <w:r w:rsidR="00AF7355">
        <w:fldChar w:fldCharType="end"/>
      </w:r>
      <w:r w:rsidRPr="00033E11">
        <w:t>). The increase in U(VI) concentrations above injection levels occurred in the absence of detectable nitrate or nitrite (</w:t>
      </w:r>
      <w:r w:rsidR="00AF7355">
        <w:fldChar w:fldCharType="begin"/>
      </w:r>
      <w:r w:rsidR="00AF7355">
        <w:instrText xml:space="preserve"> REF _Ref485277244 \h </w:instrText>
      </w:r>
      <w:r w:rsidR="00AF7355">
        <w:fldChar w:fldCharType="separate"/>
      </w:r>
      <w:r w:rsidR="001175BB">
        <w:t xml:space="preserve">Figure </w:t>
      </w:r>
      <w:r w:rsidR="001175BB">
        <w:rPr>
          <w:noProof/>
        </w:rPr>
        <w:t>2</w:t>
      </w:r>
      <w:r w:rsidR="001175BB">
        <w:t>.</w:t>
      </w:r>
      <w:r w:rsidR="001175BB">
        <w:rPr>
          <w:noProof/>
        </w:rPr>
        <w:t>2</w:t>
      </w:r>
      <w:r w:rsidR="00AF7355">
        <w:fldChar w:fldCharType="end"/>
      </w:r>
      <w:r w:rsidRPr="00033E11">
        <w:t>). The pH in well FW220 remained at pre-test levels for the duration of the test (data not shown). Similar results were observed in replicate wells FW219 and FW225 (</w:t>
      </w:r>
      <w:r w:rsidR="00EE59D6">
        <w:t>Appendix</w:t>
      </w:r>
      <w:r w:rsidRPr="00033E11">
        <w:t xml:space="preserve">) which suggested that despite the high level of aquifer heterogeneity in Area 2 </w:t>
      </w:r>
      <w:r w:rsidRPr="00033E11">
        <w:fldChar w:fldCharType="begin"/>
      </w:r>
      <w:r w:rsidR="00EC7321">
        <w:instrText xml:space="preserve"> ADDIN EN.CITE &lt;EndNote&gt;&lt;Cite&gt;&lt;Author&gt;Watson&lt;/Author&gt;&lt;Year&gt;2004&lt;/Year&gt;&lt;RecNum&gt;7025&lt;/RecNum&gt;&lt;DisplayText&gt;(Watson et al. 2004)&lt;/DisplayText&gt;&lt;record&gt;&lt;rec-number&gt;7025&lt;/rec-number&gt;&lt;foreign-keys&gt;&lt;key app="EN" db-id="x9eet5pfuadszae0v03p9afexee5x9rpvsts" timestamp="1379939458"&gt;7025&lt;/key&gt;&lt;/foreign-keys&gt;&lt;ref-type name="Government Document"&gt;46&lt;/ref-type&gt;&lt;contributors&gt;&lt;authors&gt;&lt;author&gt;Watson, D.B.&lt;/author&gt;&lt;author&gt;Kostka, J.E.&lt;/author&gt;&lt;author&gt;Fields, M.W.&lt;/author&gt;&lt;author&gt;Jardine, P.M.&lt;/author&gt;&lt;/authors&gt;&lt;secondary-authors&gt;&lt;author&gt;United States Department of Energy&lt;/author&gt;&lt;/secondary-authors&gt;&lt;/contributors&gt;&lt;titles&gt;&lt;title&gt;The Oak Ridge Field Research Center Conceptual Model&lt;/title&gt;&lt;/titles&gt;&lt;dates&gt;&lt;year&gt;2004&lt;/year&gt;&lt;/dates&gt;&lt;pub-location&gt;Oak Ridge, TN&lt;/pub-location&gt;&lt;publisher&gt;United States Department of Energy&lt;/publisher&gt;&lt;urls&gt;&lt;/urls&gt;&lt;/record&gt;&lt;/Cite&gt;&lt;/EndNote&gt;</w:instrText>
      </w:r>
      <w:r w:rsidRPr="00033E11">
        <w:fldChar w:fldCharType="separate"/>
      </w:r>
      <w:r w:rsidR="00EC7321">
        <w:rPr>
          <w:noProof/>
        </w:rPr>
        <w:t>(</w:t>
      </w:r>
      <w:r w:rsidR="00E45E00">
        <w:rPr>
          <w:noProof/>
        </w:rPr>
        <w:t>Watson et al. 2004</w:t>
      </w:r>
      <w:r w:rsidR="00EC7321">
        <w:rPr>
          <w:noProof/>
        </w:rPr>
        <w:t>)</w:t>
      </w:r>
      <w:r w:rsidRPr="00033E11">
        <w:fldChar w:fldCharType="end"/>
      </w:r>
      <w:r w:rsidRPr="00033E11">
        <w:t>, the biogeochemical processes were not spatially-biased under test conditions. These results suggested that nitrate reduction was predominantly coupled to reduced sulfur oxidation and that U(IV) oxidation was negligible during this process. These results were expected because preferential oxidation of common reduced</w:t>
      </w:r>
      <w:r w:rsidR="008453EA">
        <w:t xml:space="preserve"> sulfur-bearing species such as </w:t>
      </w:r>
      <w:r w:rsidRPr="00033E11">
        <w:t xml:space="preserve">pyrite, mackinawite, </w:t>
      </w:r>
      <w:r w:rsidRPr="00033E11">
        <w:rPr>
          <w:bCs/>
        </w:rPr>
        <w:t>alabandite</w:t>
      </w:r>
      <w:r w:rsidRPr="00033E11">
        <w:t xml:space="preserve"> and elemental sulfur by nitrate or nitrite are thermodynamically favorable when compared to uraninite </w:t>
      </w:r>
      <w:r w:rsidRPr="00033E11">
        <w:fldChar w:fldCharType="begin"/>
      </w:r>
      <w:r w:rsidRPr="00033E11">
        <w:instrText xml:space="preserve"> ADDIN EN.CITE &lt;EndNote&gt;&lt;Cite&gt;&lt;Author&gt;Dean&lt;/Author&gt;&lt;Year&gt;1999&lt;/Year&gt;&lt;RecNum&gt;7655&lt;/RecNum&gt;&lt;DisplayText&gt;(Dean 1999)&lt;/DisplayText&gt;&lt;record&gt;&lt;rec-number&gt;7655&lt;/rec-number&gt;&lt;foreign-keys&gt;&lt;key app="EN" db-id="x9eet5pfuadszae0v03p9afexee5x9rpvsts"&gt;7655&lt;/key&gt;&lt;/foreign-keys&gt;&lt;ref-type name="Book"&gt;6&lt;/ref-type&gt;&lt;contributors&gt;&lt;authors&gt;&lt;author&gt;John A. Dean&lt;/author&gt;&lt;/authors&gt;&lt;/contributors&gt;&lt;titles&gt;&lt;title&gt;Lange&amp;apos;s Handbook of Chemistry&lt;/title&gt;&lt;/titles&gt;&lt;edition&gt;Fifteenth&lt;/edition&gt;&lt;dates&gt;&lt;year&gt;1999&lt;/year&gt;&lt;/dates&gt;&lt;publisher&gt;McGRAW-HILL, INC.&lt;/publisher&gt;&lt;isbn&gt;0-07-016384-7&lt;/isbn&gt;&lt;urls&gt;&lt;/urls&gt;&lt;/record&gt;&lt;/Cite&gt;&lt;/EndNote&gt;</w:instrText>
      </w:r>
      <w:r w:rsidRPr="00033E11">
        <w:fldChar w:fldCharType="separate"/>
      </w:r>
      <w:r w:rsidRPr="00033E11">
        <w:rPr>
          <w:noProof/>
        </w:rPr>
        <w:t>(</w:t>
      </w:r>
      <w:r w:rsidR="00E45E00" w:rsidRPr="00033E11">
        <w:rPr>
          <w:noProof/>
        </w:rPr>
        <w:t>Dean 1999</w:t>
      </w:r>
      <w:r w:rsidRPr="00033E11">
        <w:rPr>
          <w:noProof/>
        </w:rPr>
        <w:t>)</w:t>
      </w:r>
      <w:r w:rsidRPr="00033E11">
        <w:fldChar w:fldCharType="end"/>
      </w:r>
      <w:r w:rsidRPr="00033E11">
        <w:t xml:space="preserve">. Although we did not determine the extent at which this process was either abiotic or microbial-mediated, it is important to note that the microbial species </w:t>
      </w:r>
      <w:r w:rsidRPr="00033E11">
        <w:rPr>
          <w:i/>
        </w:rPr>
        <w:t>Thiobacillus denitrificans</w:t>
      </w:r>
      <w:r w:rsidRPr="00033E11">
        <w:t xml:space="preserve"> has been shown to perform nitrate reduction coupled to reduced sulfur oxidation </w:t>
      </w:r>
      <w:r w:rsidRPr="00033E11">
        <w:fldChar w:fldCharType="begin"/>
      </w:r>
      <w:r w:rsidRPr="00033E11">
        <w:instrText xml:space="preserve"> ADDIN EN.CITE &lt;EndNote&gt;&lt;Cite&gt;&lt;Author&gt;Kelly&lt;/Author&gt;&lt;Year&gt;2000&lt;/Year&gt;&lt;RecNum&gt;7679&lt;/RecNum&gt;&lt;DisplayText&gt;(Kelly and Wood 2000)&lt;/DisplayText&gt;&lt;record&gt;&lt;rec-number&gt;7679&lt;/rec-number&gt;&lt;foreign-keys&gt;&lt;key app="EN" db-id="x9eet5pfuadszae0v03p9afexee5x9rpvsts"&gt;7679&lt;/key&gt;&lt;/foreign-keys&gt;&lt;ref-type name="Journal Article"&gt;17&lt;/ref-type&gt;&lt;contributors&gt;&lt;authors&gt;&lt;author&gt;Kelly, D. P.&lt;/author&gt;&lt;author&gt;Wood, A. P.&lt;/author&gt;&lt;/authors&gt;&lt;/contributors&gt;&lt;titles&gt;&lt;title&gt;Confirmation of Thiobacillus denitrificans as a species of the genus Thiobacillus, in the beta-subclass of the Proteobacteria, with strain NCIMB 9548 as the type strain&lt;/title&gt;&lt;secondary-title&gt;International Journal of Systematic and Evolutionary Microbiology&lt;/secondary-title&gt;&lt;/titles&gt;&lt;periodical&gt;&lt;full-title&gt;International Journal of Systematic and Evolutionary Microbiology&lt;/full-title&gt;&lt;/periodical&gt;&lt;pages&gt;547-550&lt;/pages&gt;&lt;volume&gt;50&lt;/volume&gt;&lt;dates&gt;&lt;year&gt;2000&lt;/year&gt;&lt;pub-dates&gt;&lt;date&gt;Mar&lt;/date&gt;&lt;/pub-dates&gt;&lt;/dates&gt;&lt;isbn&gt;1466-5026&lt;/isbn&gt;&lt;accession-num&gt;WOS:000086141800014&lt;/accession-num&gt;&lt;urls&gt;&lt;related-urls&gt;&lt;url&gt;&amp;lt;Go to ISI&amp;gt;://WOS:000086141800014&lt;/url&gt;&lt;/related-urls&gt;&lt;/urls&gt;&lt;/record&gt;&lt;/Cite&gt;&lt;/EndNote&gt;</w:instrText>
      </w:r>
      <w:r w:rsidRPr="00033E11">
        <w:fldChar w:fldCharType="separate"/>
      </w:r>
      <w:r w:rsidRPr="00033E11">
        <w:rPr>
          <w:noProof/>
        </w:rPr>
        <w:t>(</w:t>
      </w:r>
      <w:r w:rsidR="00E45E00" w:rsidRPr="00033E11">
        <w:rPr>
          <w:noProof/>
        </w:rPr>
        <w:t>Kelly and Wood 2000</w:t>
      </w:r>
      <w:r w:rsidRPr="00033E11">
        <w:rPr>
          <w:noProof/>
        </w:rPr>
        <w:t>)</w:t>
      </w:r>
      <w:r w:rsidRPr="00033E11">
        <w:fldChar w:fldCharType="end"/>
      </w:r>
      <w:r w:rsidRPr="00033E11">
        <w:t xml:space="preserve"> and that the </w:t>
      </w:r>
      <w:r w:rsidRPr="00033E11">
        <w:rPr>
          <w:i/>
        </w:rPr>
        <w:t>Thiobacillus</w:t>
      </w:r>
      <w:r w:rsidRPr="00033E11">
        <w:t xml:space="preserve"> genus has been broadly detected at the OR-IFRC site in both groundwater and sediments </w:t>
      </w:r>
      <w:r w:rsidRPr="00033E11">
        <w:fldChar w:fldCharType="begin"/>
      </w:r>
      <w:r w:rsidRPr="00033E11">
        <w:instrText xml:space="preserve"> ADDIN EN.CITE &lt;EndNote&gt;&lt;Cite&gt;&lt;Author&gt;Spain&lt;/Author&gt;&lt;Year&gt;2011&lt;/Year&gt;&lt;RecNum&gt;7919&lt;/RecNum&gt;&lt;DisplayText&gt;(Spain and Krumholz 2011)&lt;/DisplayText&gt;&lt;record&gt;&lt;rec-number&gt;7919&lt;/rec-number&gt;&lt;foreign-keys&gt;&lt;key app="EN" db-id="x9eet5pfuadszae0v03p9afexee5x9rpvsts" timestamp="1445964963"&gt;7919&lt;/key&gt;&lt;/foreign-keys&gt;&lt;ref-type name="Journal Article"&gt;17&lt;/ref-type&gt;&lt;contributors&gt;&lt;authors&gt;&lt;author&gt;Spain, Anne M.&lt;/author&gt;&lt;author&gt;Krumholz, Lee R.&lt;/author&gt;&lt;/authors&gt;&lt;/contributors&gt;&lt;titles&gt;&lt;title&gt;Nitrate-Reducing Bacteria at the Nitrate and Radionuclide Contaminated Oak Ridge Integrated Field Research Challenge Site: A Review&lt;/title&gt;&lt;secondary-title&gt;Geomicrobiology Journal&lt;/secondary-title&gt;&lt;/titles&gt;&lt;periodical&gt;&lt;full-title&gt;Geomicrobiology Journal&lt;/full-title&gt;&lt;abbr-1&gt;Geomicrobiol J&lt;/abbr-1&gt;&lt;/periodical&gt;&lt;pages&gt;418-429&lt;/pages&gt;&lt;volume&gt;28&lt;/volume&gt;&lt;number&gt;5-6&lt;/number&gt;&lt;dates&gt;&lt;year&gt;2011&lt;/year&gt;&lt;pub-dates&gt;&lt;date&gt;2011&lt;/date&gt;&lt;/pub-dates&gt;&lt;/dates&gt;&lt;isbn&gt;0149-0451&lt;/isbn&gt;&lt;accession-num&gt;WOS:000296189400005&lt;/accession-num&gt;&lt;urls&gt;&lt;related-urls&gt;&lt;url&gt;&amp;lt;Go to ISI&amp;gt;://WOS:000296189400005&lt;/url&gt;&lt;/related-urls&gt;&lt;/urls&gt;&lt;electronic-resource-num&gt;10.1080/01490451.2010.507642&lt;/electronic-resource-num&gt;&lt;/record&gt;&lt;/Cite&gt;&lt;/EndNote&gt;</w:instrText>
      </w:r>
      <w:r w:rsidRPr="00033E11">
        <w:fldChar w:fldCharType="separate"/>
      </w:r>
      <w:r w:rsidRPr="00033E11">
        <w:rPr>
          <w:noProof/>
        </w:rPr>
        <w:t>(</w:t>
      </w:r>
      <w:r w:rsidR="00E45E00" w:rsidRPr="00033E11">
        <w:rPr>
          <w:noProof/>
        </w:rPr>
        <w:t>Spain and Krumholz 2011</w:t>
      </w:r>
      <w:r w:rsidRPr="00033E11">
        <w:rPr>
          <w:noProof/>
        </w:rPr>
        <w:t>)</w:t>
      </w:r>
      <w:r w:rsidRPr="00033E11">
        <w:fldChar w:fldCharType="end"/>
      </w:r>
      <w:r w:rsidRPr="00033E11">
        <w:t xml:space="preserve">. However, these results also suggested that solid-phase oxidants such as Fe(III)-oxides </w:t>
      </w:r>
      <w:r w:rsidR="009E44F3" w:rsidRPr="00033E11">
        <w:t xml:space="preserve">and/or Mn(IV)-oxides may have been responsible for reoxidation of reduced </w:t>
      </w:r>
      <w:r w:rsidR="009E44F3" w:rsidRPr="00033E11">
        <w:rPr>
          <w:bCs/>
        </w:rPr>
        <w:t>sulfur-bearing</w:t>
      </w:r>
      <w:r w:rsidR="009E44F3">
        <w:rPr>
          <w:bCs/>
        </w:rPr>
        <w:t xml:space="preserve"> </w:t>
      </w:r>
      <w:r w:rsidR="009E44F3" w:rsidRPr="00033E11">
        <w:rPr>
          <w:bCs/>
        </w:rPr>
        <w:t>species and U(IV) during the later stages of the tests when nitrate and nitrite concentrations were</w:t>
      </w:r>
    </w:p>
    <w:p w14:paraId="26897313" w14:textId="77777777" w:rsidR="00F20517" w:rsidRPr="00033E11" w:rsidRDefault="00F20517" w:rsidP="00E35487">
      <w:r w:rsidRPr="00033E11">
        <w:rPr>
          <w:noProof/>
          <w:lang w:eastAsia="zh-CN" w:bidi="ar-SA"/>
        </w:rPr>
        <w:lastRenderedPageBreak/>
        <w:drawing>
          <wp:inline distT="0" distB="0" distL="0" distR="0" wp14:anchorId="1406D631" wp14:editId="6553D184">
            <wp:extent cx="5943600" cy="3596991"/>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596991"/>
                    </a:xfrm>
                    <a:prstGeom prst="rect">
                      <a:avLst/>
                    </a:prstGeom>
                    <a:noFill/>
                  </pic:spPr>
                </pic:pic>
              </a:graphicData>
            </a:graphic>
          </wp:inline>
        </w:drawing>
      </w:r>
    </w:p>
    <w:p w14:paraId="02107972" w14:textId="77777777" w:rsidR="00F20517" w:rsidRPr="00CC5639" w:rsidRDefault="002D1B51" w:rsidP="002D1B51">
      <w:pPr>
        <w:pStyle w:val="Caption"/>
        <w:rPr>
          <w:b w:val="0"/>
        </w:rPr>
      </w:pPr>
      <w:bookmarkStart w:id="72" w:name="_Ref485277244"/>
      <w:bookmarkStart w:id="73" w:name="_Toc498504892"/>
      <w:r>
        <w:t xml:space="preserve">Figure </w:t>
      </w:r>
      <w:r w:rsidR="00CA2C3C">
        <w:fldChar w:fldCharType="begin"/>
      </w:r>
      <w:r w:rsidR="00CA2C3C">
        <w:instrText xml:space="preserve"> STYLEREF 1 \s </w:instrText>
      </w:r>
      <w:r w:rsidR="00CA2C3C">
        <w:fldChar w:fldCharType="separate"/>
      </w:r>
      <w:r w:rsidR="00E70E91">
        <w:rPr>
          <w:noProof/>
        </w:rPr>
        <w:t>2</w:t>
      </w:r>
      <w:r w:rsidR="00CA2C3C">
        <w:rPr>
          <w:noProof/>
        </w:rPr>
        <w:fldChar w:fldCharType="end"/>
      </w:r>
      <w:r w:rsidR="00E70E91">
        <w:t>.</w:t>
      </w:r>
      <w:r w:rsidR="00CA2C3C">
        <w:fldChar w:fldCharType="begin"/>
      </w:r>
      <w:r w:rsidR="00CA2C3C">
        <w:instrText xml:space="preserve"> SEQ Figure \* ARABIC \s 1 </w:instrText>
      </w:r>
      <w:r w:rsidR="00CA2C3C">
        <w:fldChar w:fldCharType="separate"/>
      </w:r>
      <w:r w:rsidR="00E70E91">
        <w:rPr>
          <w:noProof/>
        </w:rPr>
        <w:t>2</w:t>
      </w:r>
      <w:r w:rsidR="00CA2C3C">
        <w:rPr>
          <w:noProof/>
        </w:rPr>
        <w:fldChar w:fldCharType="end"/>
      </w:r>
      <w:bookmarkEnd w:id="72"/>
      <w:r>
        <w:t xml:space="preserve"> </w:t>
      </w:r>
      <w:r w:rsidR="00F20517" w:rsidRPr="005774C8">
        <w:rPr>
          <w:b w:val="0"/>
        </w:rPr>
        <w:t>Dilution-adjusted concentrations of nitrate and nitrite (a) and sulfate and U(VI) (b) in well FW220 amended with 120 mM nitrate</w:t>
      </w:r>
      <w:bookmarkEnd w:id="73"/>
    </w:p>
    <w:p w14:paraId="4D0FC036" w14:textId="77777777" w:rsidR="006E1592" w:rsidRDefault="006E1592" w:rsidP="00F20517">
      <w:pPr>
        <w:ind w:firstLine="720"/>
      </w:pPr>
    </w:p>
    <w:p w14:paraId="704DC17E" w14:textId="77777777" w:rsidR="006E1592" w:rsidRDefault="006E1592" w:rsidP="00F20517">
      <w:pPr>
        <w:ind w:firstLine="720"/>
      </w:pPr>
    </w:p>
    <w:p w14:paraId="7204E280" w14:textId="77777777" w:rsidR="006E1592" w:rsidRDefault="006E1592" w:rsidP="00F20517">
      <w:pPr>
        <w:ind w:firstLine="720"/>
      </w:pPr>
    </w:p>
    <w:p w14:paraId="40723FB6" w14:textId="77777777" w:rsidR="006E1592" w:rsidRDefault="006E1592" w:rsidP="00F20517">
      <w:pPr>
        <w:ind w:firstLine="720"/>
      </w:pPr>
    </w:p>
    <w:p w14:paraId="7A0302A7" w14:textId="77777777" w:rsidR="006E1592" w:rsidRDefault="006E1592" w:rsidP="00F20517">
      <w:pPr>
        <w:ind w:firstLine="720"/>
      </w:pPr>
    </w:p>
    <w:p w14:paraId="6089C331" w14:textId="77777777" w:rsidR="006E1592" w:rsidRDefault="006E1592" w:rsidP="00F20517">
      <w:pPr>
        <w:ind w:firstLine="720"/>
      </w:pPr>
    </w:p>
    <w:p w14:paraId="201218D4" w14:textId="77777777" w:rsidR="006E1592" w:rsidRDefault="006E1592" w:rsidP="00F20517">
      <w:pPr>
        <w:ind w:firstLine="720"/>
      </w:pPr>
    </w:p>
    <w:p w14:paraId="714F3150" w14:textId="77777777" w:rsidR="006E1592" w:rsidRDefault="006E1592" w:rsidP="00F20517">
      <w:pPr>
        <w:ind w:firstLine="720"/>
      </w:pPr>
    </w:p>
    <w:p w14:paraId="0623C207" w14:textId="77777777" w:rsidR="006E1592" w:rsidRDefault="006E1592" w:rsidP="00F20517">
      <w:pPr>
        <w:ind w:firstLine="720"/>
      </w:pPr>
    </w:p>
    <w:p w14:paraId="24D732AD" w14:textId="77777777" w:rsidR="006E1592" w:rsidRDefault="006E1592" w:rsidP="00F20517">
      <w:pPr>
        <w:ind w:firstLine="720"/>
      </w:pPr>
    </w:p>
    <w:p w14:paraId="6EBFF029" w14:textId="77777777" w:rsidR="006E1592" w:rsidRDefault="006E1592" w:rsidP="00F20517">
      <w:pPr>
        <w:ind w:firstLine="720"/>
      </w:pPr>
    </w:p>
    <w:p w14:paraId="546D4284" w14:textId="77777777" w:rsidR="006E1592" w:rsidRDefault="006E1592" w:rsidP="006E1592">
      <w:r w:rsidRPr="00033E11">
        <w:rPr>
          <w:bCs/>
        </w:rPr>
        <w:lastRenderedPageBreak/>
        <w:t>below the method detection limit (</w:t>
      </w:r>
      <w:r w:rsidR="00EE59D6">
        <w:rPr>
          <w:bCs/>
        </w:rPr>
        <w:t>Appendix</w:t>
      </w:r>
      <w:r w:rsidRPr="00033E11">
        <w:rPr>
          <w:bCs/>
        </w:rPr>
        <w:t>)</w:t>
      </w:r>
      <w:r w:rsidRPr="00033E11">
        <w:t>. Similar results were observed in the control well (</w:t>
      </w:r>
      <w:r w:rsidR="00AF7355">
        <w:fldChar w:fldCharType="begin"/>
      </w:r>
      <w:r w:rsidR="00AF7355">
        <w:instrText xml:space="preserve"> REF _Ref485276961 \h </w:instrText>
      </w:r>
      <w:r w:rsidR="00AF7355">
        <w:fldChar w:fldCharType="separate"/>
      </w:r>
      <w:r w:rsidR="001175BB">
        <w:t xml:space="preserve">Figure </w:t>
      </w:r>
      <w:r w:rsidR="001175BB">
        <w:rPr>
          <w:noProof/>
        </w:rPr>
        <w:t>2</w:t>
      </w:r>
      <w:r w:rsidR="001175BB">
        <w:t>.</w:t>
      </w:r>
      <w:r w:rsidR="001175BB">
        <w:rPr>
          <w:noProof/>
        </w:rPr>
        <w:t>1</w:t>
      </w:r>
      <w:r w:rsidR="00AF7355">
        <w:fldChar w:fldCharType="end"/>
      </w:r>
      <w:r w:rsidRPr="00033E11">
        <w:t>) and were discussed in the previous section.</w:t>
      </w:r>
      <w:r w:rsidR="00AF7355">
        <w:t xml:space="preserve"> </w:t>
      </w:r>
    </w:p>
    <w:p w14:paraId="7E9D91E6" w14:textId="0B7A738F" w:rsidR="00F20517" w:rsidRPr="00033E11" w:rsidRDefault="00F20517" w:rsidP="00F20517">
      <w:pPr>
        <w:ind w:firstLine="720"/>
      </w:pPr>
      <w:r w:rsidRPr="00033E11">
        <w:t>Average recovery factors, plus or minus one standard deviation, for U(VI) and sulfate in the triplicate well cluster 1 were 1.3</w:t>
      </w:r>
      <w:r w:rsidRPr="00033E11">
        <w:rPr>
          <w:rFonts w:cs="Times New Roman"/>
        </w:rPr>
        <w:t>±</w:t>
      </w:r>
      <w:r w:rsidRPr="00033E11">
        <w:t>0.3 and 12</w:t>
      </w:r>
      <w:r w:rsidRPr="00033E11">
        <w:rPr>
          <w:rFonts w:cs="Times New Roman"/>
        </w:rPr>
        <w:t>±3</w:t>
      </w:r>
      <w:r w:rsidRPr="00033E11">
        <w:t>, respectively (</w:t>
      </w:r>
      <w:r w:rsidR="000C7E24">
        <w:fldChar w:fldCharType="begin"/>
      </w:r>
      <w:r w:rsidR="000C7E24">
        <w:instrText xml:space="preserve"> REF _Ref485277099 \h </w:instrText>
      </w:r>
      <w:r w:rsidR="000C7E24">
        <w:fldChar w:fldCharType="separate"/>
      </w:r>
      <w:r w:rsidR="001175BB">
        <w:t xml:space="preserve">Table </w:t>
      </w:r>
      <w:r w:rsidR="001175BB">
        <w:rPr>
          <w:noProof/>
        </w:rPr>
        <w:t>2</w:t>
      </w:r>
      <w:r w:rsidR="001175BB">
        <w:t>.</w:t>
      </w:r>
      <w:r w:rsidR="001175BB">
        <w:rPr>
          <w:noProof/>
        </w:rPr>
        <w:t>3</w:t>
      </w:r>
      <w:r w:rsidR="000C7E24">
        <w:fldChar w:fldCharType="end"/>
      </w:r>
      <w:r w:rsidRPr="00033E11">
        <w:t>). These results demonstrated that substantially more sulfate, but not U(VI), was recovered relative to bromide. The calculated recovery factors for sulfate and U(VI) (</w:t>
      </w:r>
      <w:r w:rsidR="000C7E24">
        <w:fldChar w:fldCharType="begin"/>
      </w:r>
      <w:r w:rsidR="000C7E24">
        <w:instrText xml:space="preserve"> REF _Ref485277099 \h </w:instrText>
      </w:r>
      <w:r w:rsidR="000C7E24">
        <w:fldChar w:fldCharType="separate"/>
      </w:r>
      <w:r w:rsidR="001175BB">
        <w:t xml:space="preserve">Table </w:t>
      </w:r>
      <w:r w:rsidR="001175BB">
        <w:rPr>
          <w:noProof/>
        </w:rPr>
        <w:t>2</w:t>
      </w:r>
      <w:r w:rsidR="001175BB">
        <w:t>.</w:t>
      </w:r>
      <w:r w:rsidR="001175BB">
        <w:rPr>
          <w:noProof/>
        </w:rPr>
        <w:t>3</w:t>
      </w:r>
      <w:r w:rsidR="000C7E24">
        <w:fldChar w:fldCharType="end"/>
      </w:r>
      <w:r w:rsidRPr="00033E11">
        <w:t>) and the observed nitrate removal and concurrent sulfate production (</w:t>
      </w:r>
      <w:r w:rsidR="00EE59D6">
        <w:t>Appendix</w:t>
      </w:r>
      <w:r w:rsidRPr="00033E11">
        <w:t>) strongly suggested that reoxidation of uranium under nitrate-reducing conditions was substantially limited by preferential oxidation of reduced sulfur-bearing species</w:t>
      </w:r>
      <w:r w:rsidR="000A5750">
        <w:t xml:space="preserve">. </w:t>
      </w:r>
    </w:p>
    <w:p w14:paraId="7DF31D7C" w14:textId="77777777" w:rsidR="00F20517" w:rsidRPr="00033E11" w:rsidRDefault="00603CC9" w:rsidP="007164AC">
      <w:pPr>
        <w:pStyle w:val="Heading3"/>
      </w:pPr>
      <w:bookmarkStart w:id="74" w:name="_Toc475171400"/>
      <w:bookmarkStart w:id="75" w:name="_Toc475172177"/>
      <w:bookmarkStart w:id="76" w:name="_Toc475172680"/>
      <w:bookmarkStart w:id="77" w:name="_Toc475172757"/>
      <w:bookmarkStart w:id="78" w:name="_Toc498505030"/>
      <w:r>
        <w:t>2.4.3.</w:t>
      </w:r>
      <w:r>
        <w:tab/>
      </w:r>
      <w:r w:rsidR="00F20517" w:rsidRPr="00033E11">
        <w:t>Push-pull tests: Uranium mobility in the presence of high nitrate and ethanol</w:t>
      </w:r>
      <w:bookmarkEnd w:id="74"/>
      <w:bookmarkEnd w:id="75"/>
      <w:bookmarkEnd w:id="76"/>
      <w:bookmarkEnd w:id="77"/>
      <w:bookmarkEnd w:id="78"/>
    </w:p>
    <w:p w14:paraId="72BF24D7" w14:textId="77777777" w:rsidR="006E1592" w:rsidRPr="00033E11" w:rsidRDefault="00F20517" w:rsidP="006E1592">
      <w:pPr>
        <w:ind w:firstLine="720"/>
      </w:pPr>
      <w:r w:rsidRPr="00033E11">
        <w:t>Removal of high nitrate (140 mM) and ethanol (30 mM) was concurrent with a sharp increase in nitrite concentrations (up to 4 mM) in well FW226 for the first 7 days of the test (</w:t>
      </w:r>
      <w:r w:rsidR="00A10EB2">
        <w:fldChar w:fldCharType="begin"/>
      </w:r>
      <w:r w:rsidR="00A10EB2">
        <w:instrText xml:space="preserve"> REF _Ref485277699 \h </w:instrText>
      </w:r>
      <w:r w:rsidR="00A10EB2">
        <w:fldChar w:fldCharType="separate"/>
      </w:r>
      <w:r w:rsidR="001175BB">
        <w:t xml:space="preserve">Figure </w:t>
      </w:r>
      <w:r w:rsidR="001175BB">
        <w:rPr>
          <w:noProof/>
        </w:rPr>
        <w:t>2</w:t>
      </w:r>
      <w:r w:rsidR="001175BB">
        <w:t>.</w:t>
      </w:r>
      <w:r w:rsidR="001175BB">
        <w:rPr>
          <w:noProof/>
        </w:rPr>
        <w:t>3</w:t>
      </w:r>
      <w:r w:rsidR="00A10EB2">
        <w:fldChar w:fldCharType="end"/>
      </w:r>
      <w:r w:rsidRPr="00033E11">
        <w:t xml:space="preserve">). During this time, sulfate concentrations increased steadily (up to 10 mM) while U(VI) concentrations varied but were relatively close to injection levels (5 </w:t>
      </w:r>
      <w:r w:rsidRPr="00033E11">
        <w:rPr>
          <w:rFonts w:ascii="Calibri" w:hAnsi="Calibri"/>
        </w:rPr>
        <w:t>μ</w:t>
      </w:r>
      <w:r w:rsidR="006E1592">
        <w:t>M) (</w:t>
      </w:r>
      <w:r w:rsidR="00A10EB2">
        <w:fldChar w:fldCharType="begin"/>
      </w:r>
      <w:r w:rsidR="00A10EB2">
        <w:instrText xml:space="preserve"> REF _Ref485277699 \h </w:instrText>
      </w:r>
      <w:r w:rsidR="00A10EB2">
        <w:fldChar w:fldCharType="separate"/>
      </w:r>
      <w:r w:rsidR="001175BB">
        <w:t xml:space="preserve">Figure </w:t>
      </w:r>
      <w:r w:rsidR="001175BB">
        <w:rPr>
          <w:noProof/>
        </w:rPr>
        <w:t>2</w:t>
      </w:r>
      <w:r w:rsidR="001175BB">
        <w:t>.</w:t>
      </w:r>
      <w:r w:rsidR="001175BB">
        <w:rPr>
          <w:noProof/>
        </w:rPr>
        <w:t>3</w:t>
      </w:r>
      <w:r w:rsidR="00A10EB2">
        <w:fldChar w:fldCharType="end"/>
      </w:r>
      <w:r w:rsidR="006E1592">
        <w:t xml:space="preserve">). </w:t>
      </w:r>
      <w:r w:rsidR="006E1592" w:rsidRPr="00033E11">
        <w:t>The results for the first 7 days suggested that nitrate reduction was coupled to both ethanol and sulfur oxidation and that U(IV) oxidation was negligible during this process. Sulfur oxidation by nitrate was expected because nitrate was added in excess (</w:t>
      </w:r>
      <w:r w:rsidR="006E1592" w:rsidRPr="00033E11">
        <w:rPr>
          <w:rFonts w:cs="Times New Roman"/>
        </w:rPr>
        <w:t>≈</w:t>
      </w:r>
      <w:r w:rsidR="006E1592" w:rsidRPr="00033E11">
        <w:t>1.5-fold) of the stoichiometric demand for ethanol oxidation (</w:t>
      </w:r>
      <w:r w:rsidR="00A10EB2">
        <w:fldChar w:fldCharType="begin"/>
      </w:r>
      <w:r w:rsidR="00A10EB2">
        <w:instrText xml:space="preserve"> REF _Ref485276658 \h </w:instrText>
      </w:r>
      <w:r w:rsidR="00A10EB2">
        <w:fldChar w:fldCharType="separate"/>
      </w:r>
      <w:r w:rsidR="001175BB">
        <w:t xml:space="preserve">Table </w:t>
      </w:r>
      <w:r w:rsidR="001175BB">
        <w:rPr>
          <w:noProof/>
        </w:rPr>
        <w:t>2</w:t>
      </w:r>
      <w:r w:rsidR="001175BB">
        <w:t>.</w:t>
      </w:r>
      <w:r w:rsidR="001175BB">
        <w:rPr>
          <w:noProof/>
        </w:rPr>
        <w:t>1</w:t>
      </w:r>
      <w:r w:rsidR="00A10EB2">
        <w:fldChar w:fldCharType="end"/>
      </w:r>
      <w:r w:rsidR="006E1592" w:rsidRPr="00033E11">
        <w:t>). After day 7, concentrations of</w:t>
      </w:r>
      <w:r w:rsidR="006E1592" w:rsidRPr="00033E11">
        <w:rPr>
          <w:color w:val="FF0000"/>
        </w:rPr>
        <w:t xml:space="preserve"> </w:t>
      </w:r>
      <w:r w:rsidR="006E1592" w:rsidRPr="00033E11">
        <w:t xml:space="preserve">sulfate remained well above injection levels (up to 18 mM) while U(VI) concentrations were only slightly above injection levels (up to 10 </w:t>
      </w:r>
      <w:r w:rsidR="006E1592" w:rsidRPr="00033E11">
        <w:rPr>
          <w:rFonts w:cs="Times New Roman"/>
        </w:rPr>
        <w:t>μ</w:t>
      </w:r>
      <w:r w:rsidR="006E1592" w:rsidRPr="00033E11">
        <w:t>M) until day 28 (</w:t>
      </w:r>
      <w:r w:rsidR="00A10EB2">
        <w:fldChar w:fldCharType="begin"/>
      </w:r>
      <w:r w:rsidR="00A10EB2">
        <w:instrText xml:space="preserve"> REF _Ref485277699 \h </w:instrText>
      </w:r>
      <w:r w:rsidR="00A10EB2">
        <w:fldChar w:fldCharType="separate"/>
      </w:r>
      <w:r w:rsidR="001175BB">
        <w:t xml:space="preserve">Figure </w:t>
      </w:r>
      <w:r w:rsidR="001175BB">
        <w:rPr>
          <w:noProof/>
        </w:rPr>
        <w:t>2</w:t>
      </w:r>
      <w:r w:rsidR="001175BB">
        <w:t>.</w:t>
      </w:r>
      <w:r w:rsidR="001175BB">
        <w:rPr>
          <w:noProof/>
        </w:rPr>
        <w:t>3</w:t>
      </w:r>
      <w:r w:rsidR="00A10EB2">
        <w:fldChar w:fldCharType="end"/>
      </w:r>
      <w:r w:rsidR="006E1592" w:rsidRPr="00033E11">
        <w:t>). During this time, concentrations of nitrate and nitrite were relatively low but detectable (</w:t>
      </w:r>
      <w:r w:rsidR="00A10EB2">
        <w:fldChar w:fldCharType="begin"/>
      </w:r>
      <w:r w:rsidR="00A10EB2">
        <w:instrText xml:space="preserve"> REF _Ref485277699 \h </w:instrText>
      </w:r>
      <w:r w:rsidR="00A10EB2">
        <w:fldChar w:fldCharType="separate"/>
      </w:r>
      <w:r w:rsidR="001175BB">
        <w:t xml:space="preserve">Figure </w:t>
      </w:r>
      <w:r w:rsidR="001175BB">
        <w:rPr>
          <w:noProof/>
        </w:rPr>
        <w:t>2</w:t>
      </w:r>
      <w:r w:rsidR="001175BB">
        <w:t>.</w:t>
      </w:r>
      <w:r w:rsidR="001175BB">
        <w:rPr>
          <w:noProof/>
        </w:rPr>
        <w:t>3</w:t>
      </w:r>
      <w:r w:rsidR="00A10EB2">
        <w:fldChar w:fldCharType="end"/>
      </w:r>
      <w:r w:rsidR="006E1592" w:rsidRPr="00033E11">
        <w:t>). Th</w:t>
      </w:r>
      <w:r w:rsidR="009E44F3">
        <w:t xml:space="preserve">e results between days 7 and 28 </w:t>
      </w:r>
      <w:r w:rsidR="009E44F3" w:rsidRPr="00033E11">
        <w:t xml:space="preserve">suggested that a substantial amount of reduced sulfur-bearing species </w:t>
      </w:r>
      <w:proofErr w:type="gramStart"/>
      <w:r w:rsidR="009E44F3" w:rsidRPr="00033E11">
        <w:t>were</w:t>
      </w:r>
      <w:proofErr w:type="gramEnd"/>
      <w:r w:rsidR="009E44F3" w:rsidRPr="00033E11">
        <w:t xml:space="preserve"> oxidized to sulfate under nitrate-reducing conditions and that reoxidation of U(IV) was negligible.</w:t>
      </w:r>
    </w:p>
    <w:p w14:paraId="29F5439E" w14:textId="77777777" w:rsidR="00F20517" w:rsidRPr="00033E11" w:rsidRDefault="00F20517" w:rsidP="00392912">
      <w:r w:rsidRPr="00033E11">
        <w:rPr>
          <w:noProof/>
          <w:lang w:eastAsia="zh-CN" w:bidi="ar-SA"/>
        </w:rPr>
        <w:lastRenderedPageBreak/>
        <w:drawing>
          <wp:inline distT="0" distB="0" distL="0" distR="0" wp14:anchorId="5B99AC3D" wp14:editId="31718098">
            <wp:extent cx="5943600" cy="367783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a:extLst>
                        <a:ext uri="{28A0092B-C50C-407E-A947-70E740481C1C}">
                          <a14:useLocalDpi xmlns:a14="http://schemas.microsoft.com/office/drawing/2010/main" val="0"/>
                        </a:ext>
                      </a:extLst>
                    </a:blip>
                    <a:srcRect b="11272"/>
                    <a:stretch/>
                  </pic:blipFill>
                  <pic:spPr bwMode="auto">
                    <a:xfrm>
                      <a:off x="0" y="0"/>
                      <a:ext cx="5943600" cy="3677839"/>
                    </a:xfrm>
                    <a:prstGeom prst="rect">
                      <a:avLst/>
                    </a:prstGeom>
                    <a:noFill/>
                    <a:ln>
                      <a:noFill/>
                    </a:ln>
                    <a:extLst>
                      <a:ext uri="{53640926-AAD7-44d8-BBD7-CCE9431645EC}">
                        <a14:shadowObscured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412FD373" w14:textId="77777777" w:rsidR="00F20517" w:rsidRPr="00CC5639" w:rsidRDefault="002D1B51" w:rsidP="002D1B51">
      <w:pPr>
        <w:pStyle w:val="Caption"/>
        <w:rPr>
          <w:b w:val="0"/>
        </w:rPr>
      </w:pPr>
      <w:bookmarkStart w:id="79" w:name="_Ref485277699"/>
      <w:bookmarkStart w:id="80" w:name="_Toc498504893"/>
      <w:r>
        <w:t xml:space="preserve">Figure </w:t>
      </w:r>
      <w:r w:rsidR="00CA2C3C">
        <w:fldChar w:fldCharType="begin"/>
      </w:r>
      <w:r w:rsidR="00CA2C3C">
        <w:instrText xml:space="preserve"> STYLEREF 1 \s </w:instrText>
      </w:r>
      <w:r w:rsidR="00CA2C3C">
        <w:fldChar w:fldCharType="separate"/>
      </w:r>
      <w:r w:rsidR="00E70E91">
        <w:rPr>
          <w:noProof/>
        </w:rPr>
        <w:t>2</w:t>
      </w:r>
      <w:r w:rsidR="00CA2C3C">
        <w:rPr>
          <w:noProof/>
        </w:rPr>
        <w:fldChar w:fldCharType="end"/>
      </w:r>
      <w:r w:rsidR="00E70E91">
        <w:t>.</w:t>
      </w:r>
      <w:r w:rsidR="00CA2C3C">
        <w:fldChar w:fldCharType="begin"/>
      </w:r>
      <w:r w:rsidR="00CA2C3C">
        <w:instrText xml:space="preserve"> SEQ Figure \* ARABIC \s 1 </w:instrText>
      </w:r>
      <w:r w:rsidR="00CA2C3C">
        <w:fldChar w:fldCharType="separate"/>
      </w:r>
      <w:r w:rsidR="00E70E91">
        <w:rPr>
          <w:noProof/>
        </w:rPr>
        <w:t>3</w:t>
      </w:r>
      <w:r w:rsidR="00CA2C3C">
        <w:rPr>
          <w:noProof/>
        </w:rPr>
        <w:fldChar w:fldCharType="end"/>
      </w:r>
      <w:bookmarkEnd w:id="79"/>
      <w:r>
        <w:t xml:space="preserve"> </w:t>
      </w:r>
      <w:r w:rsidR="00F20517" w:rsidRPr="005774C8">
        <w:rPr>
          <w:b w:val="0"/>
        </w:rPr>
        <w:t>Dilution-adjusted concentrations of nitrate and nitrite (a) and sulfate and U(VI) (b) in well FW226 amended with 30 mM ethanol and 120 mM nitrate</w:t>
      </w:r>
      <w:bookmarkEnd w:id="80"/>
    </w:p>
    <w:p w14:paraId="62CFAE74" w14:textId="77777777" w:rsidR="006E1592" w:rsidRDefault="006E1592" w:rsidP="00F20517">
      <w:pPr>
        <w:ind w:firstLine="720"/>
        <w:rPr>
          <w:bCs/>
        </w:rPr>
      </w:pPr>
    </w:p>
    <w:p w14:paraId="54648383" w14:textId="77777777" w:rsidR="006E1592" w:rsidRDefault="006E1592" w:rsidP="00F20517">
      <w:pPr>
        <w:ind w:firstLine="720"/>
        <w:rPr>
          <w:bCs/>
        </w:rPr>
      </w:pPr>
    </w:p>
    <w:p w14:paraId="2F161D98" w14:textId="77777777" w:rsidR="006E1592" w:rsidRDefault="006E1592" w:rsidP="00F20517">
      <w:pPr>
        <w:ind w:firstLine="720"/>
        <w:rPr>
          <w:bCs/>
        </w:rPr>
      </w:pPr>
    </w:p>
    <w:p w14:paraId="7E7A245C" w14:textId="77777777" w:rsidR="006E1592" w:rsidRDefault="006E1592" w:rsidP="00F20517">
      <w:pPr>
        <w:ind w:firstLine="720"/>
        <w:rPr>
          <w:bCs/>
        </w:rPr>
      </w:pPr>
    </w:p>
    <w:p w14:paraId="2ED1DCF4" w14:textId="77777777" w:rsidR="006E1592" w:rsidRDefault="006E1592" w:rsidP="00F20517">
      <w:pPr>
        <w:ind w:firstLine="720"/>
        <w:rPr>
          <w:bCs/>
        </w:rPr>
      </w:pPr>
    </w:p>
    <w:p w14:paraId="4416361C" w14:textId="77777777" w:rsidR="006E1592" w:rsidRDefault="006E1592" w:rsidP="00F20517">
      <w:pPr>
        <w:ind w:firstLine="720"/>
        <w:rPr>
          <w:bCs/>
        </w:rPr>
      </w:pPr>
    </w:p>
    <w:p w14:paraId="2326B63A" w14:textId="77777777" w:rsidR="006E1592" w:rsidRDefault="006E1592" w:rsidP="00F20517">
      <w:pPr>
        <w:ind w:firstLine="720"/>
        <w:rPr>
          <w:bCs/>
        </w:rPr>
      </w:pPr>
    </w:p>
    <w:p w14:paraId="1F2991AF" w14:textId="77777777" w:rsidR="006E1592" w:rsidRDefault="006E1592" w:rsidP="00F20517">
      <w:pPr>
        <w:ind w:firstLine="720"/>
        <w:rPr>
          <w:bCs/>
        </w:rPr>
      </w:pPr>
    </w:p>
    <w:p w14:paraId="18C6AC69" w14:textId="77777777" w:rsidR="006E1592" w:rsidRDefault="006E1592" w:rsidP="00F20517">
      <w:pPr>
        <w:ind w:firstLine="720"/>
        <w:rPr>
          <w:bCs/>
        </w:rPr>
      </w:pPr>
    </w:p>
    <w:p w14:paraId="18D0F6B6" w14:textId="77777777" w:rsidR="006E1592" w:rsidRDefault="006E1592" w:rsidP="00BC0891">
      <w:pPr>
        <w:rPr>
          <w:bCs/>
        </w:rPr>
      </w:pPr>
    </w:p>
    <w:p w14:paraId="2395714C" w14:textId="77777777" w:rsidR="00F20517" w:rsidRPr="006E1592" w:rsidRDefault="00EE59D6" w:rsidP="006E1592">
      <w:pPr>
        <w:rPr>
          <w:bCs/>
        </w:rPr>
      </w:pPr>
      <w:r w:rsidRPr="00033E11">
        <w:lastRenderedPageBreak/>
        <w:t>The concentrations of</w:t>
      </w:r>
      <w:r w:rsidRPr="00033E11">
        <w:rPr>
          <w:color w:val="FF0000"/>
        </w:rPr>
        <w:t xml:space="preserve"> </w:t>
      </w:r>
      <w:r w:rsidRPr="00033E11">
        <w:t xml:space="preserve">nitrate </w:t>
      </w:r>
      <w:r w:rsidR="006E1592" w:rsidRPr="00033E11">
        <w:t xml:space="preserve">and nitrite between days 28 and 36 decreased to </w:t>
      </w:r>
      <w:r w:rsidR="006E1592" w:rsidRPr="00033E11">
        <w:rPr>
          <w:bCs/>
        </w:rPr>
        <w:t xml:space="preserve">below the method detection limit, during which time, concentrations </w:t>
      </w:r>
      <w:r w:rsidR="006E1592" w:rsidRPr="00033E11">
        <w:t>of</w:t>
      </w:r>
      <w:r w:rsidR="006E1592" w:rsidRPr="00033E11">
        <w:rPr>
          <w:bCs/>
          <w:color w:val="FF0000"/>
        </w:rPr>
        <w:t xml:space="preserve"> </w:t>
      </w:r>
      <w:r w:rsidR="006E1592" w:rsidRPr="00033E11">
        <w:rPr>
          <w:bCs/>
        </w:rPr>
        <w:t>sulfate and U(VI) also</w:t>
      </w:r>
      <w:r w:rsidR="006E1592">
        <w:rPr>
          <w:bCs/>
        </w:rPr>
        <w:t xml:space="preserve"> </w:t>
      </w:r>
      <w:r w:rsidR="00F20517" w:rsidRPr="00033E11">
        <w:rPr>
          <w:bCs/>
        </w:rPr>
        <w:t>decreased (</w:t>
      </w:r>
      <w:r w:rsidR="00AC1E8A">
        <w:rPr>
          <w:bCs/>
        </w:rPr>
        <w:fldChar w:fldCharType="begin"/>
      </w:r>
      <w:r w:rsidR="00AC1E8A">
        <w:rPr>
          <w:bCs/>
        </w:rPr>
        <w:instrText xml:space="preserve"> REF _Ref485277699 \h </w:instrText>
      </w:r>
      <w:r w:rsidR="00AC1E8A">
        <w:rPr>
          <w:bCs/>
        </w:rPr>
      </w:r>
      <w:r w:rsidR="00AC1E8A">
        <w:rPr>
          <w:bCs/>
        </w:rPr>
        <w:fldChar w:fldCharType="separate"/>
      </w:r>
      <w:r w:rsidR="001175BB">
        <w:t xml:space="preserve">Figure </w:t>
      </w:r>
      <w:r w:rsidR="001175BB">
        <w:rPr>
          <w:noProof/>
        </w:rPr>
        <w:t>2</w:t>
      </w:r>
      <w:r w:rsidR="001175BB">
        <w:t>.</w:t>
      </w:r>
      <w:r w:rsidR="001175BB">
        <w:rPr>
          <w:noProof/>
        </w:rPr>
        <w:t>3</w:t>
      </w:r>
      <w:r w:rsidR="00AC1E8A">
        <w:rPr>
          <w:bCs/>
        </w:rPr>
        <w:fldChar w:fldCharType="end"/>
      </w:r>
      <w:r w:rsidR="00F20517" w:rsidRPr="00033E11">
        <w:rPr>
          <w:bCs/>
        </w:rPr>
        <w:t xml:space="preserve">). These results suggested that oxidation of reduced sulfur-bearing species and U(IV) was nitrate dependent. </w:t>
      </w:r>
      <w:r w:rsidR="00F20517" w:rsidRPr="00033E11">
        <w:t>The pH in well FW226 remained at pre-test levels for the duration of the test (data not shown). Similar results were observed in replicate wells FW218 and FW227 (</w:t>
      </w:r>
      <w:r>
        <w:t>Appendix</w:t>
      </w:r>
      <w:r w:rsidR="00F20517" w:rsidRPr="00033E11">
        <w:t>).</w:t>
      </w:r>
    </w:p>
    <w:p w14:paraId="37282788" w14:textId="77777777" w:rsidR="00F20517" w:rsidRPr="00033E11" w:rsidRDefault="00F20517" w:rsidP="00F20517">
      <w:pPr>
        <w:ind w:firstLine="720"/>
      </w:pPr>
      <w:r w:rsidRPr="00033E11">
        <w:t>Average recovery factors, plus or minus one standard deviation, for U(VI) and sulfate in the triplicate well cluster 2 were 1.3</w:t>
      </w:r>
      <w:r w:rsidRPr="00033E11">
        <w:rPr>
          <w:rFonts w:cs="Times New Roman"/>
        </w:rPr>
        <w:t>±</w:t>
      </w:r>
      <w:r w:rsidRPr="00033E11">
        <w:t>0.4 and 14</w:t>
      </w:r>
      <w:r w:rsidRPr="00033E11">
        <w:rPr>
          <w:rFonts w:cs="Times New Roman"/>
        </w:rPr>
        <w:t>±5</w:t>
      </w:r>
      <w:r w:rsidRPr="00033E11">
        <w:t>, respectively (</w:t>
      </w:r>
      <w:r w:rsidR="00AC1E8A">
        <w:fldChar w:fldCharType="begin"/>
      </w:r>
      <w:r w:rsidR="00AC1E8A">
        <w:instrText xml:space="preserve"> REF _Ref485277099 \h </w:instrText>
      </w:r>
      <w:r w:rsidR="00AC1E8A">
        <w:fldChar w:fldCharType="separate"/>
      </w:r>
      <w:r w:rsidR="001175BB">
        <w:t xml:space="preserve">Table </w:t>
      </w:r>
      <w:r w:rsidR="001175BB">
        <w:rPr>
          <w:noProof/>
        </w:rPr>
        <w:t>2</w:t>
      </w:r>
      <w:r w:rsidR="001175BB">
        <w:t>.</w:t>
      </w:r>
      <w:r w:rsidR="001175BB">
        <w:rPr>
          <w:noProof/>
        </w:rPr>
        <w:t>3</w:t>
      </w:r>
      <w:r w:rsidR="00AC1E8A">
        <w:fldChar w:fldCharType="end"/>
      </w:r>
      <w:r w:rsidRPr="00033E11">
        <w:t>). These results demonstrated that substantially more sulfate, but not U(VI), was recovered relative to bromide. However, these results also suggested that adding ethanol had a negligible effect on limiting the oxidation of sulfur and/or U(IV) by high nitrate as made evident by the similar recovery factors for sulfate and U(VI) in the high nitrate (cluster 1) and high nitrate with ethanol (cluster 2) treatments (</w:t>
      </w:r>
      <w:r w:rsidR="00AC1E8A">
        <w:fldChar w:fldCharType="begin"/>
      </w:r>
      <w:r w:rsidR="00AC1E8A">
        <w:instrText xml:space="preserve"> REF _Ref485277099 \h </w:instrText>
      </w:r>
      <w:r w:rsidR="00AC1E8A">
        <w:fldChar w:fldCharType="separate"/>
      </w:r>
      <w:r w:rsidR="001175BB">
        <w:t xml:space="preserve">Table </w:t>
      </w:r>
      <w:r w:rsidR="001175BB">
        <w:rPr>
          <w:noProof/>
        </w:rPr>
        <w:t>2</w:t>
      </w:r>
      <w:r w:rsidR="001175BB">
        <w:t>.</w:t>
      </w:r>
      <w:r w:rsidR="001175BB">
        <w:rPr>
          <w:noProof/>
        </w:rPr>
        <w:t>3</w:t>
      </w:r>
      <w:r w:rsidR="00AC1E8A">
        <w:fldChar w:fldCharType="end"/>
      </w:r>
      <w:r w:rsidRPr="00033E11">
        <w:t>). Nevertheless, the calculated recovery factors for sulfate and U(VI) (</w:t>
      </w:r>
      <w:r w:rsidR="00AC1E8A">
        <w:fldChar w:fldCharType="begin"/>
      </w:r>
      <w:r w:rsidR="00AC1E8A">
        <w:instrText xml:space="preserve"> REF _Ref485277099 \h </w:instrText>
      </w:r>
      <w:r w:rsidR="00AC1E8A">
        <w:fldChar w:fldCharType="separate"/>
      </w:r>
      <w:r w:rsidR="001175BB">
        <w:t xml:space="preserve">Table </w:t>
      </w:r>
      <w:r w:rsidR="001175BB">
        <w:rPr>
          <w:noProof/>
        </w:rPr>
        <w:t>2</w:t>
      </w:r>
      <w:r w:rsidR="001175BB">
        <w:t>.</w:t>
      </w:r>
      <w:r w:rsidR="001175BB">
        <w:rPr>
          <w:noProof/>
        </w:rPr>
        <w:t>3</w:t>
      </w:r>
      <w:r w:rsidR="00AC1E8A">
        <w:fldChar w:fldCharType="end"/>
      </w:r>
      <w:r w:rsidRPr="00033E11">
        <w:t>) and the observed nitrate removal and concurrent sulfate production (</w:t>
      </w:r>
      <w:r w:rsidR="00EE59D6">
        <w:t>Appendix</w:t>
      </w:r>
      <w:r w:rsidRPr="00033E11">
        <w:t>) strongly suggested that reoxidation of uranium under nitrate-reducing conditions was substantially limited by preferential oxidation of reduced sulfur-bearing species.</w:t>
      </w:r>
    </w:p>
    <w:p w14:paraId="1A816BB8" w14:textId="77777777" w:rsidR="00F20517" w:rsidRPr="00033E11" w:rsidRDefault="00603CC9" w:rsidP="007164AC">
      <w:pPr>
        <w:pStyle w:val="Heading3"/>
      </w:pPr>
      <w:bookmarkStart w:id="81" w:name="_Toc475171401"/>
      <w:bookmarkStart w:id="82" w:name="_Toc475172178"/>
      <w:bookmarkStart w:id="83" w:name="_Toc475172681"/>
      <w:bookmarkStart w:id="84" w:name="_Toc475172758"/>
      <w:bookmarkStart w:id="85" w:name="_Toc498505031"/>
      <w:r>
        <w:t>2.4.4.</w:t>
      </w:r>
      <w:r>
        <w:tab/>
      </w:r>
      <w:r w:rsidR="00F20517" w:rsidRPr="00033E11">
        <w:t>Push-pull tests: Uranium mobility in the presence of low nitrate and ethanol</w:t>
      </w:r>
      <w:bookmarkEnd w:id="81"/>
      <w:bookmarkEnd w:id="82"/>
      <w:bookmarkEnd w:id="83"/>
      <w:bookmarkEnd w:id="84"/>
      <w:bookmarkEnd w:id="85"/>
    </w:p>
    <w:p w14:paraId="720E271D" w14:textId="77777777" w:rsidR="00F20517" w:rsidRPr="00033E11" w:rsidRDefault="00F20517" w:rsidP="00F20517">
      <w:pPr>
        <w:ind w:firstLine="720"/>
      </w:pPr>
      <w:r w:rsidRPr="00033E11">
        <w:t>Removal of low nitrate (2 mM) and ethanol (30 mM) was concurrent with a sharp increase in nitrite concentrations (up to 2 mM) in well FW222 for the first 3 days of the test (</w:t>
      </w:r>
      <w:r w:rsidR="00730A26">
        <w:fldChar w:fldCharType="begin"/>
      </w:r>
      <w:r w:rsidR="00730A26">
        <w:instrText xml:space="preserve"> REF _Ref485277845 \h </w:instrText>
      </w:r>
      <w:r w:rsidR="00730A26">
        <w:fldChar w:fldCharType="separate"/>
      </w:r>
      <w:r w:rsidR="001175BB">
        <w:t xml:space="preserve">Figure </w:t>
      </w:r>
      <w:r w:rsidR="001175BB">
        <w:rPr>
          <w:noProof/>
        </w:rPr>
        <w:t>2</w:t>
      </w:r>
      <w:r w:rsidR="001175BB">
        <w:t>.</w:t>
      </w:r>
      <w:r w:rsidR="001175BB">
        <w:rPr>
          <w:noProof/>
        </w:rPr>
        <w:t>4</w:t>
      </w:r>
      <w:r w:rsidR="00730A26">
        <w:fldChar w:fldCharType="end"/>
      </w:r>
      <w:r w:rsidRPr="00033E11">
        <w:t xml:space="preserve">). During this time, sulfate and U(VI) concentrations increased sharply (up to 30 mM and 30 </w:t>
      </w:r>
      <w:r w:rsidRPr="00033E11">
        <w:rPr>
          <w:rFonts w:cs="Times New Roman"/>
        </w:rPr>
        <w:t>μ</w:t>
      </w:r>
      <w:r w:rsidRPr="00033E11">
        <w:t>M, respectively) (</w:t>
      </w:r>
      <w:r w:rsidR="00730A26">
        <w:fldChar w:fldCharType="begin"/>
      </w:r>
      <w:r w:rsidR="00730A26">
        <w:instrText xml:space="preserve"> REF _Ref485277845 \h </w:instrText>
      </w:r>
      <w:r w:rsidR="00730A26">
        <w:fldChar w:fldCharType="separate"/>
      </w:r>
      <w:r w:rsidR="001175BB">
        <w:t xml:space="preserve">Figure </w:t>
      </w:r>
      <w:r w:rsidR="001175BB">
        <w:rPr>
          <w:noProof/>
        </w:rPr>
        <w:t>2</w:t>
      </w:r>
      <w:r w:rsidR="001175BB">
        <w:t>.</w:t>
      </w:r>
      <w:r w:rsidR="001175BB">
        <w:rPr>
          <w:noProof/>
        </w:rPr>
        <w:t>4</w:t>
      </w:r>
      <w:r w:rsidR="00730A26">
        <w:fldChar w:fldCharType="end"/>
      </w:r>
      <w:r w:rsidRPr="00033E11">
        <w:t xml:space="preserve">). These results suggested that nitrate reduction was coupled </w:t>
      </w:r>
      <w:r w:rsidR="009E44F3" w:rsidRPr="00033E11">
        <w:t>to ethanol, sulfur and U(IV) oxidation. Sulfur and U(IV) oxidation by nitrate was not expected</w:t>
      </w:r>
      <w:r w:rsidR="009E44F3">
        <w:t xml:space="preserve"> </w:t>
      </w:r>
    </w:p>
    <w:p w14:paraId="23FF895C" w14:textId="77777777" w:rsidR="00F20517" w:rsidRPr="00033E11" w:rsidRDefault="00F20517" w:rsidP="00382340">
      <w:r w:rsidRPr="00033E11">
        <w:rPr>
          <w:noProof/>
          <w:lang w:eastAsia="zh-CN" w:bidi="ar-SA"/>
        </w:rPr>
        <w:lastRenderedPageBreak/>
        <w:drawing>
          <wp:inline distT="0" distB="0" distL="0" distR="0" wp14:anchorId="6A5F184A" wp14:editId="5D33BD40">
            <wp:extent cx="5943600" cy="362824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a:extLst>
                        <a:ext uri="{28A0092B-C50C-407E-A947-70E740481C1C}">
                          <a14:useLocalDpi xmlns:a14="http://schemas.microsoft.com/office/drawing/2010/main" val="0"/>
                        </a:ext>
                      </a:extLst>
                    </a:blip>
                    <a:srcRect b="11498"/>
                    <a:stretch/>
                  </pic:blipFill>
                  <pic:spPr bwMode="auto">
                    <a:xfrm>
                      <a:off x="0" y="0"/>
                      <a:ext cx="5943600" cy="3628243"/>
                    </a:xfrm>
                    <a:prstGeom prst="rect">
                      <a:avLst/>
                    </a:prstGeom>
                    <a:noFill/>
                    <a:ln>
                      <a:noFill/>
                    </a:ln>
                    <a:extLst>
                      <a:ext uri="{53640926-AAD7-44d8-BBD7-CCE9431645EC}">
                        <a14:shadowObscured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1D4551C9" w14:textId="77777777" w:rsidR="00F20517" w:rsidRPr="00CC5639" w:rsidRDefault="002D1B51" w:rsidP="002D1B51">
      <w:pPr>
        <w:pStyle w:val="Caption"/>
        <w:rPr>
          <w:b w:val="0"/>
        </w:rPr>
      </w:pPr>
      <w:bookmarkStart w:id="86" w:name="_Ref485277845"/>
      <w:bookmarkStart w:id="87" w:name="_Toc498504894"/>
      <w:r>
        <w:t xml:space="preserve">Figure </w:t>
      </w:r>
      <w:r w:rsidR="00CA2C3C">
        <w:fldChar w:fldCharType="begin"/>
      </w:r>
      <w:r w:rsidR="00CA2C3C">
        <w:instrText xml:space="preserve"> STYLEREF 1 \s </w:instrText>
      </w:r>
      <w:r w:rsidR="00CA2C3C">
        <w:fldChar w:fldCharType="separate"/>
      </w:r>
      <w:r w:rsidR="00E70E91">
        <w:rPr>
          <w:noProof/>
        </w:rPr>
        <w:t>2</w:t>
      </w:r>
      <w:r w:rsidR="00CA2C3C">
        <w:rPr>
          <w:noProof/>
        </w:rPr>
        <w:fldChar w:fldCharType="end"/>
      </w:r>
      <w:r w:rsidR="00E70E91">
        <w:t>.</w:t>
      </w:r>
      <w:r w:rsidR="00CA2C3C">
        <w:fldChar w:fldCharType="begin"/>
      </w:r>
      <w:r w:rsidR="00CA2C3C">
        <w:instrText xml:space="preserve"> SEQ Figure \* ARABIC \s 1 </w:instrText>
      </w:r>
      <w:r w:rsidR="00CA2C3C">
        <w:fldChar w:fldCharType="separate"/>
      </w:r>
      <w:r w:rsidR="00E70E91">
        <w:rPr>
          <w:noProof/>
        </w:rPr>
        <w:t>4</w:t>
      </w:r>
      <w:r w:rsidR="00CA2C3C">
        <w:rPr>
          <w:noProof/>
        </w:rPr>
        <w:fldChar w:fldCharType="end"/>
      </w:r>
      <w:bookmarkEnd w:id="86"/>
      <w:r>
        <w:t xml:space="preserve"> </w:t>
      </w:r>
      <w:r w:rsidR="00F20517" w:rsidRPr="005774C8">
        <w:rPr>
          <w:b w:val="0"/>
        </w:rPr>
        <w:t>Dilution-adjusted concentrations of nitrate and nitrite (a) and sulfate and U(VI) (b) in well FW222 amended with 30 mM ethanol and 2 mM nitrate</w:t>
      </w:r>
      <w:bookmarkEnd w:id="87"/>
    </w:p>
    <w:p w14:paraId="075F4AD0" w14:textId="77777777" w:rsidR="00094679" w:rsidRDefault="00094679" w:rsidP="00F20517"/>
    <w:p w14:paraId="6DC5C947" w14:textId="77777777" w:rsidR="00094679" w:rsidRDefault="00094679" w:rsidP="00F20517"/>
    <w:p w14:paraId="57C7A014" w14:textId="77777777" w:rsidR="00094679" w:rsidRDefault="00094679" w:rsidP="00F20517"/>
    <w:p w14:paraId="2054FFB3" w14:textId="77777777" w:rsidR="00094679" w:rsidRDefault="00094679" w:rsidP="00F20517"/>
    <w:p w14:paraId="77E24719" w14:textId="77777777" w:rsidR="00094679" w:rsidRDefault="00094679" w:rsidP="00F20517"/>
    <w:p w14:paraId="3ECE7874" w14:textId="77777777" w:rsidR="00094679" w:rsidRDefault="00094679" w:rsidP="00F20517"/>
    <w:p w14:paraId="11EFC30D" w14:textId="77777777" w:rsidR="00094679" w:rsidRDefault="00094679" w:rsidP="00F20517"/>
    <w:p w14:paraId="361A7316" w14:textId="77777777" w:rsidR="00094679" w:rsidRDefault="00094679" w:rsidP="00F20517"/>
    <w:p w14:paraId="2FBDD0A9" w14:textId="77777777" w:rsidR="00094679" w:rsidRDefault="00094679" w:rsidP="00F20517"/>
    <w:p w14:paraId="1FFAA9AE" w14:textId="77777777" w:rsidR="00094679" w:rsidRDefault="00094679" w:rsidP="00F20517"/>
    <w:p w14:paraId="6E4C3A38" w14:textId="77777777" w:rsidR="009E44F3" w:rsidRDefault="009E44F3" w:rsidP="00F20517"/>
    <w:p w14:paraId="7D627784" w14:textId="77777777" w:rsidR="00F20517" w:rsidRPr="00033E11" w:rsidRDefault="009E44F3" w:rsidP="00F20517">
      <w:r w:rsidRPr="00033E11">
        <w:lastRenderedPageBreak/>
        <w:t>because ethanol was added in excess (40-fold) of the stoichiometric demand for nitrate reduction (</w:t>
      </w:r>
      <w:r w:rsidR="00730A26">
        <w:fldChar w:fldCharType="begin"/>
      </w:r>
      <w:r w:rsidR="00730A26">
        <w:instrText xml:space="preserve"> REF _Ref485276658 \h </w:instrText>
      </w:r>
      <w:r w:rsidR="00730A26">
        <w:fldChar w:fldCharType="separate"/>
      </w:r>
      <w:r w:rsidR="001175BB">
        <w:t xml:space="preserve">Table </w:t>
      </w:r>
      <w:r w:rsidR="001175BB">
        <w:rPr>
          <w:noProof/>
        </w:rPr>
        <w:t>2</w:t>
      </w:r>
      <w:r w:rsidR="001175BB">
        <w:t>.</w:t>
      </w:r>
      <w:r w:rsidR="001175BB">
        <w:rPr>
          <w:noProof/>
        </w:rPr>
        <w:t>1</w:t>
      </w:r>
      <w:r w:rsidR="00730A26">
        <w:fldChar w:fldCharType="end"/>
      </w:r>
      <w:r w:rsidRPr="00033E11">
        <w:t>).</w:t>
      </w:r>
      <w:r>
        <w:t xml:space="preserve"> </w:t>
      </w:r>
      <w:r w:rsidR="00EE59D6" w:rsidRPr="00033E11">
        <w:t>After day 3, nitrate, nitrite, sulfate and U(VI) conce</w:t>
      </w:r>
      <w:r w:rsidR="00EE59D6">
        <w:t xml:space="preserve">ntrations decreased sharply and </w:t>
      </w:r>
      <w:r w:rsidR="00094679" w:rsidRPr="00033E11">
        <w:t>remained low until day 26 (</w:t>
      </w:r>
      <w:r w:rsidR="00730A26">
        <w:fldChar w:fldCharType="begin"/>
      </w:r>
      <w:r w:rsidR="00730A26">
        <w:instrText xml:space="preserve"> REF _Ref485277845 \h </w:instrText>
      </w:r>
      <w:r w:rsidR="00730A26">
        <w:fldChar w:fldCharType="separate"/>
      </w:r>
      <w:r w:rsidR="001175BB">
        <w:t xml:space="preserve">Figure </w:t>
      </w:r>
      <w:r w:rsidR="001175BB">
        <w:rPr>
          <w:noProof/>
        </w:rPr>
        <w:t>2</w:t>
      </w:r>
      <w:r w:rsidR="001175BB">
        <w:t>.</w:t>
      </w:r>
      <w:r w:rsidR="001175BB">
        <w:rPr>
          <w:noProof/>
        </w:rPr>
        <w:t>4</w:t>
      </w:r>
      <w:r w:rsidR="00730A26">
        <w:fldChar w:fldCharType="end"/>
      </w:r>
      <w:r w:rsidR="00094679" w:rsidRPr="00033E11">
        <w:t xml:space="preserve">). After day 26, sulfate concentrations increased sharply (up to 35 mM) in the presence of relatively low nitrate and nitrite while U(VI) concentrations remained near injection levels (5 </w:t>
      </w:r>
      <w:r w:rsidR="00094679" w:rsidRPr="00033E11">
        <w:rPr>
          <w:rFonts w:cs="Times New Roman"/>
        </w:rPr>
        <w:t>μ</w:t>
      </w:r>
      <w:r w:rsidR="00094679" w:rsidRPr="00033E11">
        <w:t>M) (</w:t>
      </w:r>
      <w:r w:rsidR="00730A26">
        <w:fldChar w:fldCharType="begin"/>
      </w:r>
      <w:r w:rsidR="00730A26">
        <w:instrText xml:space="preserve"> REF _Ref485277845 \h </w:instrText>
      </w:r>
      <w:r w:rsidR="00730A26">
        <w:fldChar w:fldCharType="separate"/>
      </w:r>
      <w:r w:rsidR="001175BB">
        <w:t xml:space="preserve">Figure </w:t>
      </w:r>
      <w:r w:rsidR="001175BB">
        <w:rPr>
          <w:noProof/>
        </w:rPr>
        <w:t>2</w:t>
      </w:r>
      <w:r w:rsidR="001175BB">
        <w:t>.</w:t>
      </w:r>
      <w:r w:rsidR="001175BB">
        <w:rPr>
          <w:noProof/>
        </w:rPr>
        <w:t>4</w:t>
      </w:r>
      <w:r w:rsidR="00730A26">
        <w:fldChar w:fldCharType="end"/>
      </w:r>
      <w:r w:rsidR="00094679" w:rsidRPr="00033E11">
        <w:t>).</w:t>
      </w:r>
      <w:r w:rsidR="00094679">
        <w:t xml:space="preserve"> </w:t>
      </w:r>
      <w:r w:rsidR="00F20517" w:rsidRPr="00033E11">
        <w:t>These results suggested that preferential reoxidation of reduced sulfur-bearing species, as opposed to reoxidation of U(IV), occurred after day 26 in well FW222. However, sulfate and U(VI) concentrations increased to levels which greatly exceeded injection concentrations in the presence of relatively low nitrate and nitrite during later stages of the test in the replicate wells FW221 and FW223 (</w:t>
      </w:r>
      <w:r w:rsidR="00EE59D6">
        <w:t>Appendix</w:t>
      </w:r>
      <w:r w:rsidR="00F20517" w:rsidRPr="00033E11">
        <w:t>). These results suggested that concurrent reoxidation of reduced sulfur-bearing species and U(IV) occurred after day 26 wells FW221 and FW223 and indicated that an oxidant in addition to nitrate and nitrite may be have been present. The pH in well cluster 3 remained at pre-test levels for the duration of the tests (data not shown).</w:t>
      </w:r>
    </w:p>
    <w:p w14:paraId="459008DA" w14:textId="77777777" w:rsidR="00F20517" w:rsidRPr="00033E11" w:rsidRDefault="00F20517" w:rsidP="00F20517">
      <w:pPr>
        <w:ind w:firstLine="720"/>
      </w:pPr>
      <w:r w:rsidRPr="00033E11">
        <w:t>Average recovery factors, plus or minus one standard deviation, for U(VI) and sulfate in the triplicate well cluster 3 were 0.7</w:t>
      </w:r>
      <w:r w:rsidRPr="00033E11">
        <w:rPr>
          <w:rFonts w:cs="Times New Roman"/>
        </w:rPr>
        <w:t>±</w:t>
      </w:r>
      <w:r w:rsidRPr="00033E11">
        <w:t>0.5 and 5.5</w:t>
      </w:r>
      <w:r w:rsidRPr="00033E11">
        <w:rPr>
          <w:rFonts w:cs="Times New Roman"/>
        </w:rPr>
        <w:t>±1.3</w:t>
      </w:r>
      <w:r w:rsidRPr="00033E11">
        <w:t>, respectively (</w:t>
      </w:r>
      <w:r w:rsidR="004273A7">
        <w:fldChar w:fldCharType="begin"/>
      </w:r>
      <w:r w:rsidR="004273A7">
        <w:instrText xml:space="preserve"> REF _Ref485277099 \h </w:instrText>
      </w:r>
      <w:r w:rsidR="004273A7">
        <w:fldChar w:fldCharType="separate"/>
      </w:r>
      <w:r w:rsidR="001175BB">
        <w:t xml:space="preserve">Table </w:t>
      </w:r>
      <w:r w:rsidR="001175BB">
        <w:rPr>
          <w:noProof/>
        </w:rPr>
        <w:t>2</w:t>
      </w:r>
      <w:r w:rsidR="001175BB">
        <w:t>.</w:t>
      </w:r>
      <w:r w:rsidR="001175BB">
        <w:rPr>
          <w:noProof/>
        </w:rPr>
        <w:t>3</w:t>
      </w:r>
      <w:r w:rsidR="004273A7">
        <w:fldChar w:fldCharType="end"/>
      </w:r>
      <w:r w:rsidRPr="00033E11">
        <w:t>). These results demonstrated that substantially more sulfate, but not U(VI), was recovered relative to bromide. These results also suggested that low nitrate had a noticeable effect on limiting the oxidation of sulfur and/or U(IV) as evident by the higher recovery factors for sulfate and U(VI) in the high nitrate (cluster 1) and high nitrate with ethanol (cluster 2) treatments (</w:t>
      </w:r>
      <w:r w:rsidR="004273A7">
        <w:fldChar w:fldCharType="begin"/>
      </w:r>
      <w:r w:rsidR="004273A7">
        <w:instrText xml:space="preserve"> REF _Ref485277099 \h </w:instrText>
      </w:r>
      <w:r w:rsidR="004273A7">
        <w:fldChar w:fldCharType="separate"/>
      </w:r>
      <w:r w:rsidR="001175BB">
        <w:t xml:space="preserve">Table </w:t>
      </w:r>
      <w:r w:rsidR="001175BB">
        <w:rPr>
          <w:noProof/>
        </w:rPr>
        <w:t>2</w:t>
      </w:r>
      <w:r w:rsidR="001175BB">
        <w:t>.</w:t>
      </w:r>
      <w:r w:rsidR="001175BB">
        <w:rPr>
          <w:noProof/>
        </w:rPr>
        <w:t>3</w:t>
      </w:r>
      <w:r w:rsidR="004273A7">
        <w:fldChar w:fldCharType="end"/>
      </w:r>
      <w:r w:rsidRPr="00033E11">
        <w:t xml:space="preserve">). </w:t>
      </w:r>
    </w:p>
    <w:p w14:paraId="41B05D73" w14:textId="77777777" w:rsidR="00F20517" w:rsidRPr="00033E11" w:rsidRDefault="00603CC9" w:rsidP="00603CC9">
      <w:pPr>
        <w:pStyle w:val="Heading3"/>
        <w:rPr>
          <w:rStyle w:val="Heading1Char"/>
          <w:b w:val="0"/>
          <w:sz w:val="24"/>
          <w:szCs w:val="26"/>
        </w:rPr>
      </w:pPr>
      <w:bookmarkStart w:id="88" w:name="_Toc475171402"/>
      <w:bookmarkStart w:id="89" w:name="_Toc475172179"/>
      <w:bookmarkStart w:id="90" w:name="_Toc475172682"/>
      <w:bookmarkStart w:id="91" w:name="_Toc475172759"/>
      <w:bookmarkStart w:id="92" w:name="_Toc498505032"/>
      <w:r>
        <w:rPr>
          <w:rStyle w:val="Heading1Char"/>
          <w:b w:val="0"/>
          <w:sz w:val="24"/>
          <w:szCs w:val="26"/>
        </w:rPr>
        <w:t>2.4.5.</w:t>
      </w:r>
      <w:r>
        <w:rPr>
          <w:rStyle w:val="Heading1Char"/>
          <w:b w:val="0"/>
          <w:sz w:val="24"/>
          <w:szCs w:val="26"/>
        </w:rPr>
        <w:tab/>
      </w:r>
      <w:r w:rsidR="00F20517" w:rsidRPr="00033E11">
        <w:rPr>
          <w:rStyle w:val="Heading1Char"/>
          <w:b w:val="0"/>
          <w:sz w:val="24"/>
          <w:szCs w:val="26"/>
        </w:rPr>
        <w:t>Thermodynamics</w:t>
      </w:r>
      <w:bookmarkEnd w:id="88"/>
      <w:bookmarkEnd w:id="89"/>
      <w:bookmarkEnd w:id="90"/>
      <w:bookmarkEnd w:id="91"/>
      <w:bookmarkEnd w:id="92"/>
      <w:r w:rsidR="00F20517" w:rsidRPr="00033E11">
        <w:rPr>
          <w:rStyle w:val="Heading1Char"/>
          <w:b w:val="0"/>
          <w:sz w:val="24"/>
          <w:szCs w:val="26"/>
        </w:rPr>
        <w:t xml:space="preserve"> </w:t>
      </w:r>
    </w:p>
    <w:p w14:paraId="25FDDED8" w14:textId="3F3226BC" w:rsidR="00A74CBF" w:rsidRDefault="00F20517" w:rsidP="00CC5639">
      <w:pPr>
        <w:ind w:firstLine="720"/>
      </w:pPr>
      <w:r w:rsidRPr="00033E11">
        <w:t>The standard-state Gibbs free energies of several simple redox reactions that may have occurred during the reoxidation tests were computed (</w:t>
      </w:r>
      <w:r w:rsidR="00E82237">
        <w:fldChar w:fldCharType="begin"/>
      </w:r>
      <w:r w:rsidR="00E82237">
        <w:instrText xml:space="preserve"> REF _Ref485277937 \h </w:instrText>
      </w:r>
      <w:r w:rsidR="00E82237">
        <w:fldChar w:fldCharType="separate"/>
      </w:r>
      <w:r w:rsidR="001175BB">
        <w:t xml:space="preserve">Table </w:t>
      </w:r>
      <w:r w:rsidR="001175BB">
        <w:rPr>
          <w:noProof/>
        </w:rPr>
        <w:t>2</w:t>
      </w:r>
      <w:r w:rsidR="001175BB">
        <w:t>.</w:t>
      </w:r>
      <w:r w:rsidR="001175BB">
        <w:rPr>
          <w:noProof/>
        </w:rPr>
        <w:t>4</w:t>
      </w:r>
      <w:r w:rsidR="00E82237">
        <w:fldChar w:fldCharType="end"/>
      </w:r>
      <w:r w:rsidRPr="00033E11">
        <w:t xml:space="preserve">) </w:t>
      </w:r>
      <w:proofErr w:type="gramStart"/>
      <w:r w:rsidRPr="00033E11">
        <w:t>in order to</w:t>
      </w:r>
      <w:proofErr w:type="gramEnd"/>
      <w:r w:rsidRPr="00033E11">
        <w:t xml:space="preserve"> compare to the experimental data from the reoxidation tests. It is important to recognize that standard-state </w:t>
      </w:r>
      <w:r w:rsidRPr="00033E11">
        <w:lastRenderedPageBreak/>
        <w:t>conditions (25</w:t>
      </w:r>
      <w:r w:rsidRPr="00033E11">
        <w:rPr>
          <w:rFonts w:cs="Times New Roman"/>
        </w:rPr>
        <w:t>°</w:t>
      </w:r>
      <w:r w:rsidRPr="00033E11">
        <w:t>C, 1atm, and unit molality) may yield Gibbs free energies that are different than those calculated under system-specific conditions. The energetics of nitrate oxidation of reduced sulfur-bearing species that were likely formed during the biostimulation tests (S</w:t>
      </w:r>
      <w:r w:rsidRPr="00033E11">
        <w:rPr>
          <w:vertAlign w:val="superscript"/>
        </w:rPr>
        <w:t>0</w:t>
      </w:r>
      <w:r w:rsidRPr="00033E11">
        <w:t>, FeS, FeS</w:t>
      </w:r>
      <w:r w:rsidRPr="00033E11">
        <w:rPr>
          <w:vertAlign w:val="subscript"/>
        </w:rPr>
        <w:t>2</w:t>
      </w:r>
      <w:r w:rsidRPr="00033E11">
        <w:t>, MnS,) were substantially more favorable than for the oxidation of uraninite (</w:t>
      </w:r>
      <w:r w:rsidR="00E82237">
        <w:fldChar w:fldCharType="begin"/>
      </w:r>
      <w:r w:rsidR="00E82237">
        <w:instrText xml:space="preserve"> REF _Ref485277937 \h </w:instrText>
      </w:r>
      <w:r w:rsidR="00E82237">
        <w:fldChar w:fldCharType="separate"/>
      </w:r>
      <w:r w:rsidR="001175BB">
        <w:t xml:space="preserve">Table </w:t>
      </w:r>
      <w:r w:rsidR="001175BB">
        <w:rPr>
          <w:noProof/>
        </w:rPr>
        <w:t>2</w:t>
      </w:r>
      <w:r w:rsidR="001175BB">
        <w:t>.</w:t>
      </w:r>
      <w:r w:rsidR="001175BB">
        <w:rPr>
          <w:noProof/>
        </w:rPr>
        <w:t>4</w:t>
      </w:r>
      <w:r w:rsidR="00E82237">
        <w:fldChar w:fldCharType="end"/>
      </w:r>
      <w:r w:rsidRPr="00033E11">
        <w:t>). Similar energetics were calculated for nitrite as the oxidant (</w:t>
      </w:r>
      <w:r w:rsidR="00E82237">
        <w:fldChar w:fldCharType="begin"/>
      </w:r>
      <w:r w:rsidR="00E82237">
        <w:instrText xml:space="preserve"> REF _Ref485277937 \h </w:instrText>
      </w:r>
      <w:r w:rsidR="00E82237">
        <w:fldChar w:fldCharType="separate"/>
      </w:r>
      <w:r w:rsidR="001175BB">
        <w:t xml:space="preserve">Table </w:t>
      </w:r>
      <w:r w:rsidR="001175BB">
        <w:rPr>
          <w:noProof/>
        </w:rPr>
        <w:t>2</w:t>
      </w:r>
      <w:r w:rsidR="001175BB">
        <w:t>.</w:t>
      </w:r>
      <w:r w:rsidR="001175BB">
        <w:rPr>
          <w:noProof/>
        </w:rPr>
        <w:t>4</w:t>
      </w:r>
      <w:r w:rsidR="00E82237">
        <w:fldChar w:fldCharType="end"/>
      </w:r>
      <w:r w:rsidRPr="00033E11">
        <w:t>). The energetics of the predicted reoxidation reactions were comparable to the computed recovery factors for sulfate and U(VI) under nitrate-reducing conditions as evident by substantially more sulfate recovered when compared to U(VI) during all three reoxidation tests (</w:t>
      </w:r>
      <w:r w:rsidR="00E82237">
        <w:fldChar w:fldCharType="begin"/>
      </w:r>
      <w:r w:rsidR="00E82237">
        <w:instrText xml:space="preserve"> REF _Ref485277099 \h </w:instrText>
      </w:r>
      <w:r w:rsidR="00E82237">
        <w:fldChar w:fldCharType="separate"/>
      </w:r>
      <w:r w:rsidR="001175BB">
        <w:t xml:space="preserve">Table </w:t>
      </w:r>
      <w:r w:rsidR="001175BB">
        <w:rPr>
          <w:noProof/>
        </w:rPr>
        <w:t>2</w:t>
      </w:r>
      <w:r w:rsidR="001175BB">
        <w:t>.</w:t>
      </w:r>
      <w:r w:rsidR="001175BB">
        <w:rPr>
          <w:noProof/>
        </w:rPr>
        <w:t>3</w:t>
      </w:r>
      <w:r w:rsidR="00E82237">
        <w:fldChar w:fldCharType="end"/>
      </w:r>
      <w:r w:rsidRPr="00033E11">
        <w:t xml:space="preserve">). This comparison further suggested that preferential oxidation of reduced sulfur-bearing species by nitrate and/or nitrite, as predicted thermodynamically, was also observed in this study under </w:t>
      </w:r>
      <w:r w:rsidR="00AF4FA9">
        <w:rPr>
          <w:i/>
          <w:iCs/>
        </w:rPr>
        <w:t>in situ</w:t>
      </w:r>
      <w:r w:rsidR="00AF4FA9">
        <w:t xml:space="preserve"> </w:t>
      </w:r>
      <w:r w:rsidRPr="00033E11">
        <w:t xml:space="preserve">conditions. However, the </w:t>
      </w:r>
      <w:r w:rsidR="00AF4FA9">
        <w:rPr>
          <w:i/>
          <w:iCs/>
        </w:rPr>
        <w:t>in situ</w:t>
      </w:r>
      <w:r w:rsidR="00AF4FA9">
        <w:t xml:space="preserve"> </w:t>
      </w:r>
      <w:r w:rsidRPr="00033E11">
        <w:t>data also suggested that concurrent reoxidation of reduced sulfur-bearing species and U(IV) did occur under both nitrate-reducing conditions and conditions in which nitrate and/or nitrite concentrations were not detectable (</w:t>
      </w:r>
      <w:r w:rsidR="005259D7">
        <w:fldChar w:fldCharType="begin"/>
      </w:r>
      <w:r w:rsidR="005259D7">
        <w:instrText xml:space="preserve"> REF _Ref485277244 \h </w:instrText>
      </w:r>
      <w:r w:rsidR="005259D7">
        <w:fldChar w:fldCharType="separate"/>
      </w:r>
      <w:r w:rsidR="001175BB">
        <w:t xml:space="preserve">Figure </w:t>
      </w:r>
      <w:r w:rsidR="001175BB">
        <w:rPr>
          <w:noProof/>
        </w:rPr>
        <w:t>2</w:t>
      </w:r>
      <w:r w:rsidR="001175BB">
        <w:t>.</w:t>
      </w:r>
      <w:r w:rsidR="001175BB">
        <w:rPr>
          <w:noProof/>
        </w:rPr>
        <w:t>2</w:t>
      </w:r>
      <w:r w:rsidR="005259D7">
        <w:fldChar w:fldCharType="end"/>
      </w:r>
      <w:r w:rsidR="005259D7">
        <w:t xml:space="preserve">, </w:t>
      </w:r>
      <w:r w:rsidR="005259D7">
        <w:fldChar w:fldCharType="begin"/>
      </w:r>
      <w:r w:rsidR="005259D7">
        <w:instrText xml:space="preserve"> REF _Ref485277699 \h </w:instrText>
      </w:r>
      <w:r w:rsidR="005259D7">
        <w:fldChar w:fldCharType="separate"/>
      </w:r>
      <w:r w:rsidR="001175BB">
        <w:t xml:space="preserve">Figure </w:t>
      </w:r>
      <w:r w:rsidR="001175BB">
        <w:rPr>
          <w:noProof/>
        </w:rPr>
        <w:t>2</w:t>
      </w:r>
      <w:r w:rsidR="001175BB">
        <w:t>.</w:t>
      </w:r>
      <w:r w:rsidR="001175BB">
        <w:rPr>
          <w:noProof/>
        </w:rPr>
        <w:t>3</w:t>
      </w:r>
      <w:r w:rsidR="005259D7">
        <w:fldChar w:fldCharType="end"/>
      </w:r>
      <w:r w:rsidR="005259D7">
        <w:t xml:space="preserve">, </w:t>
      </w:r>
      <w:r w:rsidR="005259D7">
        <w:fldChar w:fldCharType="begin"/>
      </w:r>
      <w:r w:rsidR="005259D7">
        <w:instrText xml:space="preserve"> REF _Ref485277845 \h </w:instrText>
      </w:r>
      <w:r w:rsidR="005259D7">
        <w:fldChar w:fldCharType="separate"/>
      </w:r>
      <w:r w:rsidR="001175BB">
        <w:t xml:space="preserve">Figure </w:t>
      </w:r>
      <w:r w:rsidR="001175BB">
        <w:rPr>
          <w:noProof/>
        </w:rPr>
        <w:t>2</w:t>
      </w:r>
      <w:r w:rsidR="001175BB">
        <w:t>.</w:t>
      </w:r>
      <w:r w:rsidR="001175BB">
        <w:rPr>
          <w:noProof/>
        </w:rPr>
        <w:t>4</w:t>
      </w:r>
      <w:r w:rsidR="005259D7">
        <w:fldChar w:fldCharType="end"/>
      </w:r>
      <w:r w:rsidRPr="00033E11">
        <w:t>); although to a much lesser extent for U(IV) (</w:t>
      </w:r>
      <w:r w:rsidR="00E82237">
        <w:fldChar w:fldCharType="begin"/>
      </w:r>
      <w:r w:rsidR="00E82237">
        <w:instrText xml:space="preserve"> REF _Ref485277099 \h </w:instrText>
      </w:r>
      <w:r w:rsidR="00E82237">
        <w:fldChar w:fldCharType="separate"/>
      </w:r>
      <w:r w:rsidR="001175BB">
        <w:t xml:space="preserve">Table </w:t>
      </w:r>
      <w:r w:rsidR="001175BB">
        <w:rPr>
          <w:noProof/>
        </w:rPr>
        <w:t>2</w:t>
      </w:r>
      <w:r w:rsidR="001175BB">
        <w:t>.</w:t>
      </w:r>
      <w:r w:rsidR="001175BB">
        <w:rPr>
          <w:noProof/>
        </w:rPr>
        <w:t>3</w:t>
      </w:r>
      <w:r w:rsidR="00E82237">
        <w:fldChar w:fldCharType="end"/>
      </w:r>
      <w:r w:rsidRPr="00033E11">
        <w:t>), which does not fully agree with the energetics (</w:t>
      </w:r>
      <w:r w:rsidR="00E82237">
        <w:fldChar w:fldCharType="begin"/>
      </w:r>
      <w:r w:rsidR="00E82237">
        <w:instrText xml:space="preserve"> REF _Ref485277937 \h </w:instrText>
      </w:r>
      <w:r w:rsidR="00E82237">
        <w:fldChar w:fldCharType="separate"/>
      </w:r>
      <w:r w:rsidR="001175BB">
        <w:t xml:space="preserve">Table </w:t>
      </w:r>
      <w:r w:rsidR="001175BB">
        <w:rPr>
          <w:noProof/>
        </w:rPr>
        <w:t>2</w:t>
      </w:r>
      <w:r w:rsidR="001175BB">
        <w:t>.</w:t>
      </w:r>
      <w:r w:rsidR="001175BB">
        <w:rPr>
          <w:noProof/>
        </w:rPr>
        <w:t>4</w:t>
      </w:r>
      <w:r w:rsidR="00E82237">
        <w:fldChar w:fldCharType="end"/>
      </w:r>
      <w:r w:rsidRPr="00033E11">
        <w:t xml:space="preserve">). This suggested that the system-specific conditions may yield different energetics and/or that we did not identify </w:t>
      </w:r>
      <w:proofErr w:type="gramStart"/>
      <w:r w:rsidRPr="00033E11">
        <w:t>all of</w:t>
      </w:r>
      <w:proofErr w:type="gramEnd"/>
      <w:r w:rsidRPr="00033E11">
        <w:t xml:space="preserve"> the predomina</w:t>
      </w:r>
      <w:r w:rsidR="00A74CBF">
        <w:t>nt redox reactions (</w:t>
      </w:r>
      <w:r w:rsidR="00E82237">
        <w:fldChar w:fldCharType="begin"/>
      </w:r>
      <w:r w:rsidR="00E82237">
        <w:instrText xml:space="preserve"> REF _Ref485277937 \h </w:instrText>
      </w:r>
      <w:r w:rsidR="00E82237">
        <w:fldChar w:fldCharType="separate"/>
      </w:r>
      <w:r w:rsidR="001175BB">
        <w:t xml:space="preserve">Table </w:t>
      </w:r>
      <w:r w:rsidR="001175BB">
        <w:rPr>
          <w:noProof/>
        </w:rPr>
        <w:t>2</w:t>
      </w:r>
      <w:r w:rsidR="001175BB">
        <w:t>.</w:t>
      </w:r>
      <w:r w:rsidR="001175BB">
        <w:rPr>
          <w:noProof/>
        </w:rPr>
        <w:t>4</w:t>
      </w:r>
      <w:r w:rsidR="00E82237">
        <w:fldChar w:fldCharType="end"/>
      </w:r>
      <w:r w:rsidR="00A74CBF">
        <w:t>)</w:t>
      </w:r>
      <w:r w:rsidR="000A5750">
        <w:t xml:space="preserve">. </w:t>
      </w:r>
    </w:p>
    <w:p w14:paraId="175AC4AF" w14:textId="77777777" w:rsidR="00094679" w:rsidRPr="00EC7321" w:rsidRDefault="00094679" w:rsidP="00094679">
      <w:pPr>
        <w:pStyle w:val="Heading2"/>
        <w:rPr>
          <w:rStyle w:val="Heading1Char"/>
          <w:b/>
          <w:bCs/>
          <w:sz w:val="24"/>
          <w:szCs w:val="26"/>
        </w:rPr>
      </w:pPr>
      <w:bookmarkStart w:id="93" w:name="_Toc475171403"/>
      <w:bookmarkStart w:id="94" w:name="_Toc475172180"/>
      <w:bookmarkStart w:id="95" w:name="_Toc475172683"/>
      <w:bookmarkStart w:id="96" w:name="_Toc475172760"/>
      <w:bookmarkStart w:id="97" w:name="_Toc498505033"/>
      <w:r>
        <w:rPr>
          <w:rStyle w:val="Heading1Char"/>
          <w:b/>
          <w:bCs/>
          <w:sz w:val="24"/>
          <w:szCs w:val="26"/>
        </w:rPr>
        <w:t>2.5.</w:t>
      </w:r>
      <w:r>
        <w:rPr>
          <w:rStyle w:val="Heading1Char"/>
          <w:b/>
          <w:bCs/>
          <w:sz w:val="24"/>
          <w:szCs w:val="26"/>
        </w:rPr>
        <w:tab/>
      </w:r>
      <w:r w:rsidRPr="00EC7321">
        <w:rPr>
          <w:rStyle w:val="Heading1Char"/>
          <w:b/>
          <w:bCs/>
          <w:sz w:val="24"/>
          <w:szCs w:val="26"/>
        </w:rPr>
        <w:t>Conclusions</w:t>
      </w:r>
      <w:bookmarkEnd w:id="93"/>
      <w:bookmarkEnd w:id="94"/>
      <w:bookmarkEnd w:id="95"/>
      <w:bookmarkEnd w:id="96"/>
      <w:bookmarkEnd w:id="97"/>
    </w:p>
    <w:p w14:paraId="10383A9B" w14:textId="77777777" w:rsidR="00094679" w:rsidRPr="00033E11" w:rsidRDefault="00094679" w:rsidP="00094679">
      <w:pPr>
        <w:ind w:firstLine="720"/>
      </w:pPr>
      <w:r w:rsidRPr="00033E11">
        <w:t xml:space="preserve">The results of this study suggested that the </w:t>
      </w:r>
      <w:proofErr w:type="gramStart"/>
      <w:r w:rsidR="00AF4FA9">
        <w:rPr>
          <w:i/>
          <w:iCs/>
        </w:rPr>
        <w:t>in situ</w:t>
      </w:r>
      <w:proofErr w:type="gramEnd"/>
      <w:r w:rsidR="00AF4FA9">
        <w:t xml:space="preserve"> </w:t>
      </w:r>
      <w:r w:rsidRPr="00033E11">
        <w:t>mobility of uranium under nitrate-reducing conditions can be substantially limited by preferential oxidation of reduced sulfur-bearing species. This study also suggested that the addition of ethanol can result in less reoxidation of uranium by nitrate if added in substantial excess of the stoichiometric demand of nitrate as an electron acceptor. The thermodynamics of the predicted reoxidation reactions were</w:t>
      </w:r>
      <w:r w:rsidR="00AD5A11">
        <w:t xml:space="preserve"> </w:t>
      </w:r>
      <w:r w:rsidR="00AD5A11" w:rsidRPr="00033E11">
        <w:t xml:space="preserve">supported by the </w:t>
      </w:r>
      <w:proofErr w:type="gramStart"/>
      <w:r w:rsidR="00AF4FA9">
        <w:rPr>
          <w:i/>
          <w:iCs/>
        </w:rPr>
        <w:t>in situ</w:t>
      </w:r>
      <w:proofErr w:type="gramEnd"/>
      <w:r w:rsidR="00AF4FA9">
        <w:t xml:space="preserve"> </w:t>
      </w:r>
      <w:r w:rsidR="00AD5A11" w:rsidRPr="00033E11">
        <w:t>data and suggested that thermodynamically-favorable oxidation of</w:t>
      </w:r>
      <w:r w:rsidR="00AD5A11">
        <w:t xml:space="preserve"> </w:t>
      </w:r>
      <w:r w:rsidRPr="00033E11">
        <w:t xml:space="preserve"> </w:t>
      </w:r>
    </w:p>
    <w:p w14:paraId="582CF54B" w14:textId="77777777" w:rsidR="00224206" w:rsidRPr="000A3930" w:rsidRDefault="002D1B51" w:rsidP="002D1B51">
      <w:pPr>
        <w:pStyle w:val="Caption"/>
        <w:rPr>
          <w:b w:val="0"/>
        </w:rPr>
      </w:pPr>
      <w:bookmarkStart w:id="98" w:name="_Ref485277937"/>
      <w:bookmarkStart w:id="99" w:name="_Toc498504882"/>
      <w:r>
        <w:lastRenderedPageBreak/>
        <w:t xml:space="preserve">Table </w:t>
      </w:r>
      <w:r w:rsidR="00CA2C3C">
        <w:fldChar w:fldCharType="begin"/>
      </w:r>
      <w:r w:rsidR="00CA2C3C">
        <w:instrText xml:space="preserve"> STYLEREF 1 \s </w:instrText>
      </w:r>
      <w:r w:rsidR="00CA2C3C">
        <w:fldChar w:fldCharType="separate"/>
      </w:r>
      <w:r w:rsidR="002105EE">
        <w:rPr>
          <w:noProof/>
        </w:rPr>
        <w:t>2</w:t>
      </w:r>
      <w:r w:rsidR="00CA2C3C">
        <w:rPr>
          <w:noProof/>
        </w:rPr>
        <w:fldChar w:fldCharType="end"/>
      </w:r>
      <w:r w:rsidR="002105EE">
        <w:t>.</w:t>
      </w:r>
      <w:r w:rsidR="00CA2C3C">
        <w:fldChar w:fldCharType="begin"/>
      </w:r>
      <w:r w:rsidR="00CA2C3C">
        <w:instrText xml:space="preserve"> SEQ Table \* ARABIC \s 1 </w:instrText>
      </w:r>
      <w:r w:rsidR="00CA2C3C">
        <w:fldChar w:fldCharType="separate"/>
      </w:r>
      <w:r w:rsidR="002105EE">
        <w:rPr>
          <w:noProof/>
        </w:rPr>
        <w:t>4</w:t>
      </w:r>
      <w:r w:rsidR="00CA2C3C">
        <w:rPr>
          <w:noProof/>
        </w:rPr>
        <w:fldChar w:fldCharType="end"/>
      </w:r>
      <w:bookmarkEnd w:id="98"/>
      <w:r>
        <w:t xml:space="preserve"> </w:t>
      </w:r>
      <w:r w:rsidR="00A74CBF" w:rsidRPr="005774C8">
        <w:rPr>
          <w:b w:val="0"/>
        </w:rPr>
        <w:t>Standard-state (25°C, 1 atm, and unit molality) Gibbs free energies of uraninite (UO</w:t>
      </w:r>
      <w:r w:rsidR="00A74CBF" w:rsidRPr="005774C8">
        <w:rPr>
          <w:b w:val="0"/>
          <w:vertAlign w:val="subscript"/>
        </w:rPr>
        <w:t>2</w:t>
      </w:r>
      <w:r w:rsidR="00A74CBF" w:rsidRPr="005774C8">
        <w:rPr>
          <w:b w:val="0"/>
        </w:rPr>
        <w:t>) and various reduced sulfur-bearing species (S</w:t>
      </w:r>
      <w:r w:rsidR="00A74CBF" w:rsidRPr="005774C8">
        <w:rPr>
          <w:b w:val="0"/>
          <w:vertAlign w:val="superscript"/>
        </w:rPr>
        <w:t>0</w:t>
      </w:r>
      <w:r w:rsidR="00A74CBF" w:rsidRPr="005774C8">
        <w:rPr>
          <w:b w:val="0"/>
        </w:rPr>
        <w:t>, FeS, FeS</w:t>
      </w:r>
      <w:r w:rsidR="00A74CBF" w:rsidRPr="005774C8">
        <w:rPr>
          <w:b w:val="0"/>
          <w:vertAlign w:val="subscript"/>
        </w:rPr>
        <w:t>2</w:t>
      </w:r>
      <w:r w:rsidR="00A74CBF" w:rsidRPr="005774C8">
        <w:rPr>
          <w:b w:val="0"/>
        </w:rPr>
        <w:t>, MnS) reoxidized by nitrate (NO</w:t>
      </w:r>
      <w:r w:rsidR="00A74CBF" w:rsidRPr="005774C8">
        <w:rPr>
          <w:b w:val="0"/>
          <w:vertAlign w:val="subscript"/>
        </w:rPr>
        <w:t>3</w:t>
      </w:r>
      <w:r w:rsidR="00A74CBF" w:rsidRPr="005774C8">
        <w:rPr>
          <w:b w:val="0"/>
          <w:vertAlign w:val="superscript"/>
        </w:rPr>
        <w:t>-</w:t>
      </w:r>
      <w:r w:rsidR="00A74CBF" w:rsidRPr="005774C8">
        <w:rPr>
          <w:b w:val="0"/>
        </w:rPr>
        <w:t>) and nitrite (NO</w:t>
      </w:r>
      <w:r w:rsidR="00A74CBF" w:rsidRPr="005774C8">
        <w:rPr>
          <w:b w:val="0"/>
          <w:vertAlign w:val="subscript"/>
        </w:rPr>
        <w:t>2</w:t>
      </w:r>
      <w:r w:rsidR="00A74CBF" w:rsidRPr="005774C8">
        <w:rPr>
          <w:b w:val="0"/>
          <w:vertAlign w:val="superscript"/>
        </w:rPr>
        <w:t>-</w:t>
      </w:r>
      <w:r w:rsidR="00161F2E" w:rsidRPr="005774C8">
        <w:rPr>
          <w:b w:val="0"/>
        </w:rPr>
        <w:t>),</w:t>
      </w:r>
      <w:r w:rsidR="00A74CBF" w:rsidRPr="005774C8">
        <w:rPr>
          <w:b w:val="0"/>
        </w:rPr>
        <w:t xml:space="preserve"> </w:t>
      </w:r>
      <w:r w:rsidR="00161F2E" w:rsidRPr="005774C8">
        <w:rPr>
          <w:b w:val="0"/>
        </w:rPr>
        <w:t>f</w:t>
      </w:r>
      <w:r w:rsidR="00A74CBF" w:rsidRPr="005774C8">
        <w:rPr>
          <w:b w:val="0"/>
        </w:rPr>
        <w:t>ree energy values for the formation of reactants and products were obtained from Dean (1999)</w:t>
      </w:r>
      <w:bookmarkEnd w:id="99"/>
      <w:r w:rsidR="00A74CBF" w:rsidRPr="000A3930">
        <w:t xml:space="preserve"> </w:t>
      </w:r>
    </w:p>
    <w:tbl>
      <w:tblPr>
        <w:tblW w:w="9360" w:type="dxa"/>
        <w:tblLook w:val="04A0" w:firstRow="1" w:lastRow="0" w:firstColumn="1" w:lastColumn="0" w:noHBand="0" w:noVBand="1"/>
      </w:tblPr>
      <w:tblGrid>
        <w:gridCol w:w="1167"/>
        <w:gridCol w:w="6723"/>
        <w:gridCol w:w="1470"/>
      </w:tblGrid>
      <w:tr w:rsidR="00F20517" w:rsidRPr="00033E11" w14:paraId="568DC72F" w14:textId="77777777" w:rsidTr="0063330E">
        <w:trPr>
          <w:trHeight w:val="375"/>
        </w:trPr>
        <w:tc>
          <w:tcPr>
            <w:tcW w:w="1080" w:type="dxa"/>
            <w:tcBorders>
              <w:top w:val="single" w:sz="4" w:space="0" w:color="auto"/>
              <w:left w:val="nil"/>
              <w:bottom w:val="single" w:sz="4" w:space="0" w:color="auto"/>
              <w:right w:val="nil"/>
            </w:tcBorders>
            <w:shd w:val="clear" w:color="auto" w:fill="auto"/>
            <w:noWrap/>
            <w:vAlign w:val="center"/>
            <w:hideMark/>
          </w:tcPr>
          <w:p w14:paraId="4FCB25CC"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Reaction #</w:t>
            </w:r>
          </w:p>
        </w:tc>
        <w:tc>
          <w:tcPr>
            <w:tcW w:w="6220" w:type="dxa"/>
            <w:tcBorders>
              <w:top w:val="single" w:sz="4" w:space="0" w:color="auto"/>
              <w:left w:val="nil"/>
              <w:bottom w:val="single" w:sz="4" w:space="0" w:color="auto"/>
              <w:right w:val="nil"/>
            </w:tcBorders>
            <w:shd w:val="clear" w:color="auto" w:fill="auto"/>
            <w:noWrap/>
            <w:vAlign w:val="center"/>
            <w:hideMark/>
          </w:tcPr>
          <w:p w14:paraId="3F75DDFF"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Reaction Stoichiometery</w:t>
            </w:r>
          </w:p>
        </w:tc>
        <w:tc>
          <w:tcPr>
            <w:tcW w:w="1360" w:type="dxa"/>
            <w:tcBorders>
              <w:top w:val="single" w:sz="4" w:space="0" w:color="auto"/>
              <w:left w:val="nil"/>
              <w:bottom w:val="single" w:sz="4" w:space="0" w:color="auto"/>
              <w:right w:val="nil"/>
            </w:tcBorders>
            <w:shd w:val="clear" w:color="auto" w:fill="auto"/>
            <w:noWrap/>
            <w:vAlign w:val="center"/>
            <w:hideMark/>
          </w:tcPr>
          <w:p w14:paraId="27D26624"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ΔG</w:t>
            </w:r>
            <w:r w:rsidRPr="00033E11">
              <w:rPr>
                <w:rFonts w:eastAsia="Times New Roman" w:cs="Times New Roman"/>
                <w:szCs w:val="24"/>
                <w:vertAlign w:val="subscript"/>
              </w:rPr>
              <w:t>r</w:t>
            </w:r>
            <w:r w:rsidRPr="00033E11">
              <w:rPr>
                <w:rFonts w:eastAsia="Times New Roman" w:cs="Times New Roman"/>
                <w:szCs w:val="24"/>
                <w:vertAlign w:val="superscript"/>
              </w:rPr>
              <w:t>o</w:t>
            </w:r>
            <w:r w:rsidRPr="00033E11">
              <w:rPr>
                <w:rFonts w:eastAsia="Times New Roman" w:cs="Times New Roman"/>
                <w:szCs w:val="24"/>
              </w:rPr>
              <w:t xml:space="preserve"> </w:t>
            </w:r>
          </w:p>
          <w:p w14:paraId="4DA53923"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(kJ)</w:t>
            </w:r>
          </w:p>
        </w:tc>
      </w:tr>
      <w:tr w:rsidR="00F20517" w:rsidRPr="00033E11" w14:paraId="6D25BF43" w14:textId="77777777" w:rsidTr="0063330E">
        <w:trPr>
          <w:trHeight w:val="315"/>
        </w:trPr>
        <w:tc>
          <w:tcPr>
            <w:tcW w:w="1080" w:type="dxa"/>
            <w:tcBorders>
              <w:top w:val="single" w:sz="4" w:space="0" w:color="auto"/>
              <w:left w:val="nil"/>
              <w:bottom w:val="single" w:sz="4" w:space="0" w:color="auto"/>
              <w:right w:val="nil"/>
            </w:tcBorders>
            <w:shd w:val="clear" w:color="auto" w:fill="auto"/>
            <w:noWrap/>
            <w:vAlign w:val="bottom"/>
            <w:hideMark/>
          </w:tcPr>
          <w:p w14:paraId="181F3D41"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 </w:t>
            </w:r>
          </w:p>
        </w:tc>
        <w:tc>
          <w:tcPr>
            <w:tcW w:w="6220" w:type="dxa"/>
            <w:tcBorders>
              <w:top w:val="single" w:sz="4" w:space="0" w:color="auto"/>
              <w:left w:val="nil"/>
              <w:bottom w:val="single" w:sz="4" w:space="0" w:color="auto"/>
              <w:right w:val="nil"/>
            </w:tcBorders>
            <w:shd w:val="clear" w:color="auto" w:fill="auto"/>
            <w:noWrap/>
            <w:vAlign w:val="bottom"/>
            <w:hideMark/>
          </w:tcPr>
          <w:p w14:paraId="017D9EAA"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Nitrate as Oxidant</w:t>
            </w:r>
          </w:p>
        </w:tc>
        <w:tc>
          <w:tcPr>
            <w:tcW w:w="1360" w:type="dxa"/>
            <w:tcBorders>
              <w:top w:val="single" w:sz="4" w:space="0" w:color="auto"/>
              <w:left w:val="nil"/>
              <w:bottom w:val="single" w:sz="4" w:space="0" w:color="auto"/>
              <w:right w:val="nil"/>
            </w:tcBorders>
            <w:shd w:val="clear" w:color="auto" w:fill="auto"/>
            <w:noWrap/>
            <w:vAlign w:val="bottom"/>
            <w:hideMark/>
          </w:tcPr>
          <w:p w14:paraId="4B3C8E23"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 </w:t>
            </w:r>
          </w:p>
        </w:tc>
      </w:tr>
      <w:tr w:rsidR="00F20517" w:rsidRPr="00033E11" w14:paraId="695750DE" w14:textId="77777777" w:rsidTr="0063330E">
        <w:trPr>
          <w:trHeight w:val="375"/>
        </w:trPr>
        <w:tc>
          <w:tcPr>
            <w:tcW w:w="1080" w:type="dxa"/>
            <w:tcBorders>
              <w:top w:val="nil"/>
              <w:left w:val="nil"/>
              <w:bottom w:val="nil"/>
              <w:right w:val="nil"/>
            </w:tcBorders>
            <w:shd w:val="clear" w:color="auto" w:fill="auto"/>
            <w:noWrap/>
            <w:vAlign w:val="bottom"/>
            <w:hideMark/>
          </w:tcPr>
          <w:p w14:paraId="5C275DE1"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1</w:t>
            </w:r>
          </w:p>
        </w:tc>
        <w:tc>
          <w:tcPr>
            <w:tcW w:w="6220" w:type="dxa"/>
            <w:tcBorders>
              <w:top w:val="nil"/>
              <w:left w:val="nil"/>
              <w:bottom w:val="nil"/>
              <w:right w:val="nil"/>
            </w:tcBorders>
            <w:shd w:val="clear" w:color="auto" w:fill="auto"/>
            <w:noWrap/>
            <w:vAlign w:val="center"/>
            <w:hideMark/>
          </w:tcPr>
          <w:p w14:paraId="6D497A58" w14:textId="77777777" w:rsidR="00F20517" w:rsidRPr="00AF4FA9" w:rsidRDefault="00F20517" w:rsidP="0063330E">
            <w:pPr>
              <w:spacing w:line="240" w:lineRule="auto"/>
              <w:jc w:val="center"/>
              <w:rPr>
                <w:rFonts w:eastAsia="Times New Roman" w:cs="Times New Roman"/>
                <w:szCs w:val="24"/>
                <w:lang w:val="pt-BR"/>
              </w:rPr>
            </w:pPr>
            <w:r w:rsidRPr="00AF4FA9">
              <w:rPr>
                <w:rFonts w:eastAsia="Times New Roman" w:cs="Times New Roman"/>
                <w:szCs w:val="24"/>
                <w:lang w:val="pt-BR"/>
              </w:rPr>
              <w:t>UO</w:t>
            </w:r>
            <w:r w:rsidRPr="00AF4FA9">
              <w:rPr>
                <w:rFonts w:eastAsia="Times New Roman" w:cs="Times New Roman"/>
                <w:szCs w:val="24"/>
                <w:vertAlign w:val="subscript"/>
                <w:lang w:val="pt-BR"/>
              </w:rPr>
              <w:t>2</w:t>
            </w:r>
            <w:r w:rsidRPr="00AF4FA9">
              <w:rPr>
                <w:rFonts w:eastAsia="Times New Roman" w:cs="Times New Roman"/>
                <w:szCs w:val="24"/>
                <w:lang w:val="pt-BR"/>
              </w:rPr>
              <w:t xml:space="preserve"> + 0.4NO</w:t>
            </w:r>
            <w:r w:rsidRPr="00AF4FA9">
              <w:rPr>
                <w:rFonts w:eastAsia="Times New Roman" w:cs="Times New Roman"/>
                <w:szCs w:val="24"/>
                <w:vertAlign w:val="subscript"/>
                <w:lang w:val="pt-BR"/>
              </w:rPr>
              <w:t>3</w:t>
            </w:r>
            <w:r w:rsidRPr="00AF4FA9">
              <w:rPr>
                <w:rFonts w:eastAsia="Times New Roman" w:cs="Times New Roman"/>
                <w:szCs w:val="24"/>
                <w:vertAlign w:val="superscript"/>
                <w:lang w:val="pt-BR"/>
              </w:rPr>
              <w:t>-</w:t>
            </w:r>
            <w:r w:rsidRPr="00AF4FA9">
              <w:rPr>
                <w:rFonts w:eastAsia="Times New Roman" w:cs="Times New Roman"/>
                <w:szCs w:val="24"/>
                <w:lang w:val="pt-BR"/>
              </w:rPr>
              <w:t xml:space="preserve"> + 2.4H</w:t>
            </w:r>
            <w:r w:rsidRPr="00AF4FA9">
              <w:rPr>
                <w:rFonts w:eastAsia="Times New Roman" w:cs="Times New Roman"/>
                <w:szCs w:val="24"/>
                <w:vertAlign w:val="superscript"/>
                <w:lang w:val="pt-BR"/>
              </w:rPr>
              <w:t xml:space="preserve">+ </w:t>
            </w:r>
            <w:r w:rsidRPr="00AF4FA9">
              <w:rPr>
                <w:rFonts w:eastAsia="Times New Roman" w:cs="Times New Roman"/>
                <w:szCs w:val="24"/>
                <w:lang w:val="pt-BR"/>
              </w:rPr>
              <w:t>→ UO</w:t>
            </w:r>
            <w:r w:rsidRPr="00AF4FA9">
              <w:rPr>
                <w:rFonts w:eastAsia="Times New Roman" w:cs="Times New Roman"/>
                <w:szCs w:val="24"/>
                <w:vertAlign w:val="subscript"/>
                <w:lang w:val="pt-BR"/>
              </w:rPr>
              <w:t>2</w:t>
            </w:r>
            <w:r w:rsidRPr="00AF4FA9">
              <w:rPr>
                <w:rFonts w:eastAsia="Times New Roman" w:cs="Times New Roman"/>
                <w:szCs w:val="24"/>
                <w:vertAlign w:val="superscript"/>
                <w:lang w:val="pt-BR"/>
              </w:rPr>
              <w:t xml:space="preserve">2+ </w:t>
            </w:r>
            <w:r w:rsidRPr="00AF4FA9">
              <w:rPr>
                <w:rFonts w:eastAsia="Times New Roman" w:cs="Times New Roman"/>
                <w:szCs w:val="24"/>
                <w:lang w:val="pt-BR"/>
              </w:rPr>
              <w:t>+ 0.2N</w:t>
            </w:r>
            <w:r w:rsidRPr="00AF4FA9">
              <w:rPr>
                <w:rFonts w:eastAsia="Times New Roman" w:cs="Times New Roman"/>
                <w:szCs w:val="24"/>
                <w:vertAlign w:val="subscript"/>
                <w:lang w:val="pt-BR"/>
              </w:rPr>
              <w:t>2</w:t>
            </w:r>
            <w:r w:rsidRPr="00AF4FA9">
              <w:rPr>
                <w:rFonts w:eastAsia="Times New Roman" w:cs="Times New Roman"/>
                <w:szCs w:val="24"/>
                <w:lang w:val="pt-BR"/>
              </w:rPr>
              <w:t xml:space="preserve"> + 1.2H</w:t>
            </w:r>
            <w:r w:rsidRPr="00AF4FA9">
              <w:rPr>
                <w:rFonts w:eastAsia="Times New Roman" w:cs="Times New Roman"/>
                <w:szCs w:val="24"/>
                <w:vertAlign w:val="subscript"/>
                <w:lang w:val="pt-BR"/>
              </w:rPr>
              <w:t>2</w:t>
            </w:r>
            <w:r w:rsidRPr="00AF4FA9">
              <w:rPr>
                <w:rFonts w:eastAsia="Times New Roman" w:cs="Times New Roman"/>
                <w:szCs w:val="24"/>
                <w:lang w:val="pt-BR"/>
              </w:rPr>
              <w:t>O</w:t>
            </w:r>
            <w:r w:rsidRPr="00AF4FA9">
              <w:rPr>
                <w:rFonts w:eastAsia="Times New Roman" w:cs="Times New Roman"/>
                <w:szCs w:val="24"/>
                <w:vertAlign w:val="subscript"/>
                <w:lang w:val="pt-BR"/>
              </w:rPr>
              <w:t xml:space="preserve"> </w:t>
            </w:r>
          </w:p>
        </w:tc>
        <w:tc>
          <w:tcPr>
            <w:tcW w:w="1360" w:type="dxa"/>
            <w:tcBorders>
              <w:top w:val="nil"/>
              <w:left w:val="nil"/>
              <w:bottom w:val="nil"/>
              <w:right w:val="nil"/>
            </w:tcBorders>
            <w:shd w:val="clear" w:color="auto" w:fill="auto"/>
            <w:noWrap/>
            <w:vAlign w:val="bottom"/>
            <w:hideMark/>
          </w:tcPr>
          <w:p w14:paraId="36E77A9B"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-162</w:t>
            </w:r>
          </w:p>
        </w:tc>
      </w:tr>
      <w:tr w:rsidR="00F20517" w:rsidRPr="00033E11" w14:paraId="581910ED" w14:textId="77777777" w:rsidTr="0063330E">
        <w:trPr>
          <w:trHeight w:val="375"/>
        </w:trPr>
        <w:tc>
          <w:tcPr>
            <w:tcW w:w="1080" w:type="dxa"/>
            <w:tcBorders>
              <w:top w:val="nil"/>
              <w:left w:val="nil"/>
              <w:bottom w:val="nil"/>
              <w:right w:val="nil"/>
            </w:tcBorders>
            <w:shd w:val="clear" w:color="auto" w:fill="auto"/>
            <w:noWrap/>
            <w:vAlign w:val="bottom"/>
            <w:hideMark/>
          </w:tcPr>
          <w:p w14:paraId="55C63634"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2</w:t>
            </w:r>
          </w:p>
        </w:tc>
        <w:tc>
          <w:tcPr>
            <w:tcW w:w="6220" w:type="dxa"/>
            <w:tcBorders>
              <w:top w:val="nil"/>
              <w:left w:val="nil"/>
              <w:bottom w:val="nil"/>
              <w:right w:val="nil"/>
            </w:tcBorders>
            <w:shd w:val="clear" w:color="auto" w:fill="auto"/>
            <w:noWrap/>
            <w:vAlign w:val="center"/>
            <w:hideMark/>
          </w:tcPr>
          <w:p w14:paraId="301A55C3"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S</w:t>
            </w:r>
            <w:r w:rsidRPr="00033E11">
              <w:rPr>
                <w:vertAlign w:val="superscript"/>
              </w:rPr>
              <w:t>0</w:t>
            </w:r>
            <w:r w:rsidRPr="00033E11">
              <w:rPr>
                <w:rFonts w:eastAsia="Times New Roman" w:cs="Times New Roman"/>
                <w:szCs w:val="24"/>
              </w:rPr>
              <w:t xml:space="preserve"> + 1.2NO</w:t>
            </w:r>
            <w:r w:rsidRPr="00033E11">
              <w:rPr>
                <w:rFonts w:eastAsia="Times New Roman" w:cs="Times New Roman"/>
                <w:szCs w:val="24"/>
                <w:vertAlign w:val="subscript"/>
              </w:rPr>
              <w:t>3</w:t>
            </w:r>
            <w:r w:rsidRPr="00033E11">
              <w:rPr>
                <w:rFonts w:eastAsia="Times New Roman" w:cs="Times New Roman"/>
                <w:szCs w:val="24"/>
                <w:vertAlign w:val="superscript"/>
              </w:rPr>
              <w:t>-</w:t>
            </w:r>
            <w:r w:rsidRPr="00033E11">
              <w:rPr>
                <w:rFonts w:eastAsia="Times New Roman" w:cs="Times New Roman"/>
                <w:szCs w:val="24"/>
              </w:rPr>
              <w:t xml:space="preserve"> + 0.4H</w:t>
            </w:r>
            <w:r w:rsidRPr="00033E11">
              <w:rPr>
                <w:rFonts w:eastAsia="Times New Roman" w:cs="Times New Roman"/>
                <w:szCs w:val="24"/>
                <w:vertAlign w:val="subscript"/>
              </w:rPr>
              <w:t>2</w:t>
            </w:r>
            <w:r w:rsidRPr="00033E11">
              <w:rPr>
                <w:rFonts w:eastAsia="Times New Roman" w:cs="Times New Roman"/>
                <w:szCs w:val="24"/>
              </w:rPr>
              <w:t>O → SO</w:t>
            </w:r>
            <w:r w:rsidRPr="00033E11">
              <w:rPr>
                <w:rFonts w:eastAsia="Times New Roman" w:cs="Times New Roman"/>
                <w:szCs w:val="24"/>
                <w:vertAlign w:val="subscript"/>
              </w:rPr>
              <w:t>4</w:t>
            </w:r>
            <w:r w:rsidRPr="00033E11">
              <w:rPr>
                <w:rFonts w:eastAsia="Times New Roman" w:cs="Times New Roman"/>
                <w:szCs w:val="24"/>
                <w:vertAlign w:val="superscript"/>
              </w:rPr>
              <w:t>2-</w:t>
            </w:r>
            <w:r w:rsidRPr="00033E11">
              <w:rPr>
                <w:rFonts w:eastAsia="Times New Roman" w:cs="Times New Roman"/>
                <w:szCs w:val="24"/>
              </w:rPr>
              <w:t xml:space="preserve"> + 0.6N</w:t>
            </w:r>
            <w:r w:rsidRPr="00033E11">
              <w:rPr>
                <w:rFonts w:eastAsia="Times New Roman" w:cs="Times New Roman"/>
                <w:szCs w:val="24"/>
                <w:vertAlign w:val="subscript"/>
              </w:rPr>
              <w:t>2</w:t>
            </w:r>
            <w:r w:rsidRPr="00033E11">
              <w:rPr>
                <w:rFonts w:eastAsia="Times New Roman" w:cs="Times New Roman"/>
                <w:szCs w:val="24"/>
              </w:rPr>
              <w:t xml:space="preserve"> + 0.8H</w:t>
            </w:r>
            <w:r w:rsidRPr="00033E11">
              <w:rPr>
                <w:rFonts w:eastAsia="Times New Roman" w:cs="Times New Roman"/>
                <w:szCs w:val="24"/>
                <w:vertAlign w:val="superscript"/>
              </w:rPr>
              <w:t>+</w:t>
            </w:r>
          </w:p>
        </w:tc>
        <w:tc>
          <w:tcPr>
            <w:tcW w:w="1360" w:type="dxa"/>
            <w:tcBorders>
              <w:top w:val="nil"/>
              <w:left w:val="nil"/>
              <w:bottom w:val="nil"/>
              <w:right w:val="nil"/>
            </w:tcBorders>
            <w:shd w:val="clear" w:color="auto" w:fill="auto"/>
            <w:noWrap/>
            <w:vAlign w:val="bottom"/>
            <w:hideMark/>
          </w:tcPr>
          <w:p w14:paraId="7D58F0C1"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-516</w:t>
            </w:r>
          </w:p>
        </w:tc>
      </w:tr>
      <w:tr w:rsidR="00F20517" w:rsidRPr="00033E11" w14:paraId="05A573F2" w14:textId="77777777" w:rsidTr="0063330E">
        <w:trPr>
          <w:trHeight w:val="375"/>
        </w:trPr>
        <w:tc>
          <w:tcPr>
            <w:tcW w:w="1080" w:type="dxa"/>
            <w:tcBorders>
              <w:top w:val="nil"/>
              <w:left w:val="nil"/>
              <w:bottom w:val="nil"/>
              <w:right w:val="nil"/>
            </w:tcBorders>
            <w:shd w:val="clear" w:color="auto" w:fill="auto"/>
            <w:noWrap/>
            <w:vAlign w:val="bottom"/>
            <w:hideMark/>
          </w:tcPr>
          <w:p w14:paraId="54AB34D4"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3</w:t>
            </w:r>
          </w:p>
        </w:tc>
        <w:tc>
          <w:tcPr>
            <w:tcW w:w="6220" w:type="dxa"/>
            <w:tcBorders>
              <w:top w:val="nil"/>
              <w:left w:val="nil"/>
              <w:bottom w:val="nil"/>
              <w:right w:val="nil"/>
            </w:tcBorders>
            <w:shd w:val="clear" w:color="auto" w:fill="auto"/>
            <w:noWrap/>
            <w:vAlign w:val="center"/>
            <w:hideMark/>
          </w:tcPr>
          <w:p w14:paraId="471695F6" w14:textId="77777777" w:rsidR="00F20517" w:rsidRPr="00AF4FA9" w:rsidRDefault="00F20517" w:rsidP="0063330E">
            <w:pPr>
              <w:spacing w:line="240" w:lineRule="auto"/>
              <w:jc w:val="center"/>
              <w:rPr>
                <w:rFonts w:eastAsia="Times New Roman" w:cs="Times New Roman"/>
                <w:szCs w:val="24"/>
                <w:lang w:val="pt-BR"/>
              </w:rPr>
            </w:pPr>
            <w:r w:rsidRPr="00AF4FA9">
              <w:rPr>
                <w:rFonts w:eastAsia="Times New Roman" w:cs="Times New Roman"/>
                <w:szCs w:val="24"/>
                <w:lang w:val="pt-BR"/>
              </w:rPr>
              <w:t>FeS + 1.6NO</w:t>
            </w:r>
            <w:r w:rsidRPr="00AF4FA9">
              <w:rPr>
                <w:rFonts w:eastAsia="Times New Roman" w:cs="Times New Roman"/>
                <w:szCs w:val="24"/>
                <w:vertAlign w:val="subscript"/>
                <w:lang w:val="pt-BR"/>
              </w:rPr>
              <w:t>3</w:t>
            </w:r>
            <w:r w:rsidRPr="00AF4FA9">
              <w:rPr>
                <w:rFonts w:eastAsia="Times New Roman" w:cs="Times New Roman"/>
                <w:szCs w:val="24"/>
                <w:vertAlign w:val="superscript"/>
                <w:lang w:val="pt-BR"/>
              </w:rPr>
              <w:t>-</w:t>
            </w:r>
            <w:r w:rsidRPr="00AF4FA9">
              <w:rPr>
                <w:rFonts w:eastAsia="Times New Roman" w:cs="Times New Roman"/>
                <w:szCs w:val="24"/>
                <w:lang w:val="pt-BR"/>
              </w:rPr>
              <w:t xml:space="preserve"> + 1.6H</w:t>
            </w:r>
            <w:r w:rsidRPr="00AF4FA9">
              <w:rPr>
                <w:rFonts w:eastAsia="Times New Roman" w:cs="Times New Roman"/>
                <w:szCs w:val="24"/>
                <w:vertAlign w:val="superscript"/>
                <w:lang w:val="pt-BR"/>
              </w:rPr>
              <w:t xml:space="preserve">+ </w:t>
            </w:r>
            <w:r w:rsidRPr="00AF4FA9">
              <w:rPr>
                <w:rFonts w:eastAsia="Times New Roman" w:cs="Times New Roman"/>
                <w:szCs w:val="24"/>
                <w:lang w:val="pt-BR"/>
              </w:rPr>
              <w:t>→ SO</w:t>
            </w:r>
            <w:r w:rsidRPr="00AF4FA9">
              <w:rPr>
                <w:rFonts w:eastAsia="Times New Roman" w:cs="Times New Roman"/>
                <w:szCs w:val="24"/>
                <w:vertAlign w:val="subscript"/>
                <w:lang w:val="pt-BR"/>
              </w:rPr>
              <w:t>4</w:t>
            </w:r>
            <w:r w:rsidRPr="00AF4FA9">
              <w:rPr>
                <w:rFonts w:eastAsia="Times New Roman" w:cs="Times New Roman"/>
                <w:szCs w:val="24"/>
                <w:vertAlign w:val="superscript"/>
                <w:lang w:val="pt-BR"/>
              </w:rPr>
              <w:t>2-</w:t>
            </w:r>
            <w:r w:rsidRPr="00AF4FA9">
              <w:rPr>
                <w:rFonts w:eastAsia="Times New Roman" w:cs="Times New Roman"/>
                <w:szCs w:val="24"/>
                <w:lang w:val="pt-BR"/>
              </w:rPr>
              <w:t xml:space="preserve"> + 0.8N</w:t>
            </w:r>
            <w:r w:rsidRPr="00AF4FA9">
              <w:rPr>
                <w:rFonts w:eastAsia="Times New Roman" w:cs="Times New Roman"/>
                <w:szCs w:val="24"/>
                <w:vertAlign w:val="subscript"/>
                <w:lang w:val="pt-BR"/>
              </w:rPr>
              <w:t>2</w:t>
            </w:r>
            <w:r w:rsidRPr="00AF4FA9">
              <w:rPr>
                <w:rFonts w:eastAsia="Times New Roman" w:cs="Times New Roman"/>
                <w:szCs w:val="24"/>
                <w:lang w:val="pt-BR"/>
              </w:rPr>
              <w:t xml:space="preserve"> + Fe</w:t>
            </w:r>
            <w:r w:rsidRPr="00AF4FA9">
              <w:rPr>
                <w:rFonts w:eastAsia="Times New Roman" w:cs="Times New Roman"/>
                <w:szCs w:val="24"/>
                <w:vertAlign w:val="superscript"/>
                <w:lang w:val="pt-BR"/>
              </w:rPr>
              <w:t>2+</w:t>
            </w:r>
            <w:r w:rsidRPr="00AF4FA9">
              <w:rPr>
                <w:rFonts w:eastAsia="Times New Roman" w:cs="Times New Roman"/>
                <w:szCs w:val="24"/>
                <w:lang w:val="pt-BR"/>
              </w:rPr>
              <w:t xml:space="preserve"> + 0.8H</w:t>
            </w:r>
            <w:r w:rsidRPr="00AF4FA9">
              <w:rPr>
                <w:rFonts w:eastAsia="Times New Roman" w:cs="Times New Roman"/>
                <w:szCs w:val="24"/>
                <w:vertAlign w:val="subscript"/>
                <w:lang w:val="pt-BR"/>
              </w:rPr>
              <w:t>2</w:t>
            </w:r>
            <w:r w:rsidRPr="00AF4FA9">
              <w:rPr>
                <w:rFonts w:eastAsia="Times New Roman" w:cs="Times New Roman"/>
                <w:szCs w:val="24"/>
                <w:lang w:val="pt-BR"/>
              </w:rPr>
              <w:t xml:space="preserve">O </w:t>
            </w:r>
          </w:p>
        </w:tc>
        <w:tc>
          <w:tcPr>
            <w:tcW w:w="1360" w:type="dxa"/>
            <w:tcBorders>
              <w:top w:val="nil"/>
              <w:left w:val="nil"/>
              <w:bottom w:val="nil"/>
              <w:right w:val="nil"/>
            </w:tcBorders>
            <w:shd w:val="clear" w:color="auto" w:fill="auto"/>
            <w:noWrap/>
            <w:vAlign w:val="bottom"/>
            <w:hideMark/>
          </w:tcPr>
          <w:p w14:paraId="4883DC41"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-735</w:t>
            </w:r>
          </w:p>
        </w:tc>
      </w:tr>
      <w:tr w:rsidR="00F20517" w:rsidRPr="00033E11" w14:paraId="00CA2706" w14:textId="77777777" w:rsidTr="0063330E">
        <w:trPr>
          <w:trHeight w:val="375"/>
        </w:trPr>
        <w:tc>
          <w:tcPr>
            <w:tcW w:w="1080" w:type="dxa"/>
            <w:tcBorders>
              <w:top w:val="nil"/>
              <w:left w:val="nil"/>
              <w:bottom w:val="nil"/>
              <w:right w:val="nil"/>
            </w:tcBorders>
            <w:shd w:val="clear" w:color="auto" w:fill="auto"/>
            <w:noWrap/>
            <w:vAlign w:val="bottom"/>
            <w:hideMark/>
          </w:tcPr>
          <w:p w14:paraId="375DC595"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4</w:t>
            </w:r>
          </w:p>
        </w:tc>
        <w:tc>
          <w:tcPr>
            <w:tcW w:w="6220" w:type="dxa"/>
            <w:tcBorders>
              <w:top w:val="nil"/>
              <w:left w:val="nil"/>
              <w:bottom w:val="nil"/>
              <w:right w:val="nil"/>
            </w:tcBorders>
            <w:shd w:val="clear" w:color="auto" w:fill="auto"/>
            <w:noWrap/>
            <w:vAlign w:val="center"/>
            <w:hideMark/>
          </w:tcPr>
          <w:p w14:paraId="2371C796" w14:textId="77777777" w:rsidR="00F20517" w:rsidRPr="00AF4FA9" w:rsidRDefault="00F20517" w:rsidP="0063330E">
            <w:pPr>
              <w:spacing w:line="240" w:lineRule="auto"/>
              <w:jc w:val="center"/>
              <w:rPr>
                <w:rFonts w:eastAsia="Times New Roman" w:cs="Times New Roman"/>
                <w:szCs w:val="24"/>
                <w:lang w:val="pt-BR"/>
              </w:rPr>
            </w:pPr>
            <w:r w:rsidRPr="00AF4FA9">
              <w:rPr>
                <w:rFonts w:eastAsia="Times New Roman" w:cs="Times New Roman"/>
                <w:szCs w:val="24"/>
                <w:lang w:val="pt-BR"/>
              </w:rPr>
              <w:t>FeS</w:t>
            </w:r>
            <w:r w:rsidRPr="00AF4FA9">
              <w:rPr>
                <w:rFonts w:eastAsia="Times New Roman" w:cs="Times New Roman"/>
                <w:szCs w:val="24"/>
                <w:vertAlign w:val="subscript"/>
                <w:lang w:val="pt-BR"/>
              </w:rPr>
              <w:t>2</w:t>
            </w:r>
            <w:r w:rsidRPr="00AF4FA9">
              <w:rPr>
                <w:rFonts w:eastAsia="Times New Roman" w:cs="Times New Roman"/>
                <w:szCs w:val="24"/>
                <w:lang w:val="pt-BR"/>
              </w:rPr>
              <w:t xml:space="preserve"> + 2.8NO</w:t>
            </w:r>
            <w:r w:rsidRPr="00AF4FA9">
              <w:rPr>
                <w:rFonts w:eastAsia="Times New Roman" w:cs="Times New Roman"/>
                <w:szCs w:val="24"/>
                <w:vertAlign w:val="subscript"/>
                <w:lang w:val="pt-BR"/>
              </w:rPr>
              <w:t>3</w:t>
            </w:r>
            <w:r w:rsidRPr="00AF4FA9">
              <w:rPr>
                <w:rFonts w:eastAsia="Times New Roman" w:cs="Times New Roman"/>
                <w:szCs w:val="24"/>
                <w:vertAlign w:val="superscript"/>
                <w:lang w:val="pt-BR"/>
              </w:rPr>
              <w:t>-</w:t>
            </w:r>
            <w:r w:rsidRPr="00AF4FA9">
              <w:rPr>
                <w:rFonts w:eastAsia="Times New Roman" w:cs="Times New Roman"/>
                <w:szCs w:val="24"/>
                <w:lang w:val="pt-BR"/>
              </w:rPr>
              <w:t xml:space="preserve"> + 0.8H</w:t>
            </w:r>
            <w:r w:rsidRPr="00AF4FA9">
              <w:rPr>
                <w:rFonts w:eastAsia="Times New Roman" w:cs="Times New Roman"/>
                <w:szCs w:val="24"/>
                <w:vertAlign w:val="superscript"/>
                <w:lang w:val="pt-BR"/>
              </w:rPr>
              <w:t>+</w:t>
            </w:r>
            <w:r w:rsidRPr="00AF4FA9">
              <w:rPr>
                <w:rFonts w:eastAsia="Times New Roman" w:cs="Times New Roman"/>
                <w:szCs w:val="24"/>
                <w:lang w:val="pt-BR"/>
              </w:rPr>
              <w:t xml:space="preserve"> → 2SO</w:t>
            </w:r>
            <w:r w:rsidRPr="00AF4FA9">
              <w:rPr>
                <w:rFonts w:eastAsia="Times New Roman" w:cs="Times New Roman"/>
                <w:szCs w:val="24"/>
                <w:vertAlign w:val="subscript"/>
                <w:lang w:val="pt-BR"/>
              </w:rPr>
              <w:t>4</w:t>
            </w:r>
            <w:r w:rsidRPr="00AF4FA9">
              <w:rPr>
                <w:rFonts w:eastAsia="Times New Roman" w:cs="Times New Roman"/>
                <w:szCs w:val="24"/>
                <w:vertAlign w:val="superscript"/>
                <w:lang w:val="pt-BR"/>
              </w:rPr>
              <w:t>2-</w:t>
            </w:r>
            <w:r w:rsidRPr="00AF4FA9">
              <w:rPr>
                <w:rFonts w:eastAsia="Times New Roman" w:cs="Times New Roman"/>
                <w:szCs w:val="24"/>
                <w:lang w:val="pt-BR"/>
              </w:rPr>
              <w:t xml:space="preserve"> + 1.4N</w:t>
            </w:r>
            <w:r w:rsidRPr="00AF4FA9">
              <w:rPr>
                <w:rFonts w:eastAsia="Times New Roman" w:cs="Times New Roman"/>
                <w:szCs w:val="24"/>
                <w:vertAlign w:val="subscript"/>
                <w:lang w:val="pt-BR"/>
              </w:rPr>
              <w:t xml:space="preserve">2 </w:t>
            </w:r>
            <w:r w:rsidRPr="00AF4FA9">
              <w:rPr>
                <w:rFonts w:eastAsia="Times New Roman" w:cs="Times New Roman"/>
                <w:szCs w:val="24"/>
                <w:lang w:val="pt-BR"/>
              </w:rPr>
              <w:t>+ Fe</w:t>
            </w:r>
            <w:r w:rsidRPr="00AF4FA9">
              <w:rPr>
                <w:rFonts w:eastAsia="Times New Roman" w:cs="Times New Roman"/>
                <w:szCs w:val="24"/>
                <w:vertAlign w:val="superscript"/>
                <w:lang w:val="pt-BR"/>
              </w:rPr>
              <w:t>2+</w:t>
            </w:r>
            <w:r w:rsidRPr="00AF4FA9">
              <w:rPr>
                <w:rFonts w:eastAsia="Times New Roman" w:cs="Times New Roman"/>
                <w:szCs w:val="24"/>
                <w:lang w:val="pt-BR"/>
              </w:rPr>
              <w:t xml:space="preserve"> + 0.4H</w:t>
            </w:r>
            <w:r w:rsidRPr="00AF4FA9">
              <w:rPr>
                <w:rFonts w:eastAsia="Times New Roman" w:cs="Times New Roman"/>
                <w:szCs w:val="24"/>
                <w:vertAlign w:val="subscript"/>
                <w:lang w:val="pt-BR"/>
              </w:rPr>
              <w:t>2</w:t>
            </w:r>
            <w:r w:rsidRPr="00AF4FA9">
              <w:rPr>
                <w:rFonts w:eastAsia="Times New Roman" w:cs="Times New Roman"/>
                <w:szCs w:val="24"/>
                <w:lang w:val="pt-BR"/>
              </w:rPr>
              <w:t>O</w:t>
            </w:r>
          </w:p>
        </w:tc>
        <w:tc>
          <w:tcPr>
            <w:tcW w:w="1360" w:type="dxa"/>
            <w:tcBorders>
              <w:top w:val="nil"/>
              <w:left w:val="nil"/>
              <w:bottom w:val="nil"/>
              <w:right w:val="nil"/>
            </w:tcBorders>
            <w:shd w:val="clear" w:color="auto" w:fill="auto"/>
            <w:noWrap/>
            <w:vAlign w:val="bottom"/>
            <w:hideMark/>
          </w:tcPr>
          <w:p w14:paraId="5F0292E4"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-1184</w:t>
            </w:r>
          </w:p>
        </w:tc>
      </w:tr>
      <w:tr w:rsidR="00F20517" w:rsidRPr="00033E11" w14:paraId="2FFA4C71" w14:textId="77777777" w:rsidTr="0063330E">
        <w:trPr>
          <w:trHeight w:val="375"/>
        </w:trPr>
        <w:tc>
          <w:tcPr>
            <w:tcW w:w="1080" w:type="dxa"/>
            <w:tcBorders>
              <w:top w:val="nil"/>
              <w:left w:val="nil"/>
              <w:bottom w:val="nil"/>
              <w:right w:val="nil"/>
            </w:tcBorders>
            <w:shd w:val="clear" w:color="auto" w:fill="auto"/>
            <w:noWrap/>
            <w:vAlign w:val="bottom"/>
            <w:hideMark/>
          </w:tcPr>
          <w:p w14:paraId="6647BDC3"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5</w:t>
            </w:r>
          </w:p>
        </w:tc>
        <w:tc>
          <w:tcPr>
            <w:tcW w:w="6220" w:type="dxa"/>
            <w:tcBorders>
              <w:top w:val="nil"/>
              <w:left w:val="nil"/>
              <w:bottom w:val="nil"/>
              <w:right w:val="nil"/>
            </w:tcBorders>
            <w:shd w:val="clear" w:color="auto" w:fill="auto"/>
            <w:noWrap/>
            <w:vAlign w:val="center"/>
            <w:hideMark/>
          </w:tcPr>
          <w:p w14:paraId="6947BE9A" w14:textId="77777777" w:rsidR="00F20517" w:rsidRPr="00AF4FA9" w:rsidRDefault="00F20517" w:rsidP="0063330E">
            <w:pPr>
              <w:spacing w:line="240" w:lineRule="auto"/>
              <w:jc w:val="center"/>
              <w:rPr>
                <w:rFonts w:eastAsia="Times New Roman" w:cs="Times New Roman"/>
                <w:szCs w:val="24"/>
                <w:lang w:val="pt-BR"/>
              </w:rPr>
            </w:pPr>
            <w:r w:rsidRPr="00AF4FA9">
              <w:rPr>
                <w:rFonts w:eastAsia="Times New Roman" w:cs="Times New Roman"/>
                <w:szCs w:val="24"/>
                <w:lang w:val="pt-BR"/>
              </w:rPr>
              <w:t>MnS + 1.6NO</w:t>
            </w:r>
            <w:r w:rsidRPr="00AF4FA9">
              <w:rPr>
                <w:rFonts w:eastAsia="Times New Roman" w:cs="Times New Roman"/>
                <w:szCs w:val="24"/>
                <w:vertAlign w:val="subscript"/>
                <w:lang w:val="pt-BR"/>
              </w:rPr>
              <w:t>3</w:t>
            </w:r>
            <w:r w:rsidRPr="00AF4FA9">
              <w:rPr>
                <w:rFonts w:eastAsia="Times New Roman" w:cs="Times New Roman"/>
                <w:szCs w:val="24"/>
                <w:vertAlign w:val="superscript"/>
                <w:lang w:val="pt-BR"/>
              </w:rPr>
              <w:t>-</w:t>
            </w:r>
            <w:r w:rsidRPr="00AF4FA9">
              <w:rPr>
                <w:rFonts w:eastAsia="Times New Roman" w:cs="Times New Roman"/>
                <w:szCs w:val="24"/>
                <w:lang w:val="pt-BR"/>
              </w:rPr>
              <w:t xml:space="preserve"> + 1.6H</w:t>
            </w:r>
            <w:r w:rsidRPr="00AF4FA9">
              <w:rPr>
                <w:rFonts w:eastAsia="Times New Roman" w:cs="Times New Roman"/>
                <w:szCs w:val="24"/>
                <w:vertAlign w:val="superscript"/>
                <w:lang w:val="pt-BR"/>
              </w:rPr>
              <w:t>+</w:t>
            </w:r>
            <w:r w:rsidRPr="00AF4FA9">
              <w:rPr>
                <w:rFonts w:eastAsia="Times New Roman" w:cs="Times New Roman"/>
                <w:szCs w:val="24"/>
                <w:lang w:val="pt-BR"/>
              </w:rPr>
              <w:t xml:space="preserve"> → SO</w:t>
            </w:r>
            <w:r w:rsidRPr="00AF4FA9">
              <w:rPr>
                <w:rFonts w:eastAsia="Times New Roman" w:cs="Times New Roman"/>
                <w:szCs w:val="24"/>
                <w:vertAlign w:val="subscript"/>
                <w:lang w:val="pt-BR"/>
              </w:rPr>
              <w:t>4</w:t>
            </w:r>
            <w:r w:rsidRPr="00AF4FA9">
              <w:rPr>
                <w:rFonts w:eastAsia="Times New Roman" w:cs="Times New Roman"/>
                <w:szCs w:val="24"/>
                <w:vertAlign w:val="superscript"/>
                <w:lang w:val="pt-BR"/>
              </w:rPr>
              <w:t xml:space="preserve">2- </w:t>
            </w:r>
            <w:r w:rsidRPr="00AF4FA9">
              <w:rPr>
                <w:rFonts w:eastAsia="Times New Roman" w:cs="Times New Roman"/>
                <w:szCs w:val="24"/>
                <w:lang w:val="pt-BR"/>
              </w:rPr>
              <w:t>+ 0.8N</w:t>
            </w:r>
            <w:r w:rsidRPr="00AF4FA9">
              <w:rPr>
                <w:rFonts w:eastAsia="Times New Roman" w:cs="Times New Roman"/>
                <w:szCs w:val="24"/>
                <w:vertAlign w:val="subscript"/>
                <w:lang w:val="pt-BR"/>
              </w:rPr>
              <w:t xml:space="preserve">2 </w:t>
            </w:r>
            <w:r w:rsidRPr="00AF4FA9">
              <w:rPr>
                <w:rFonts w:eastAsia="Times New Roman" w:cs="Times New Roman"/>
                <w:szCs w:val="24"/>
                <w:lang w:val="pt-BR"/>
              </w:rPr>
              <w:t>+ Mn</w:t>
            </w:r>
            <w:r w:rsidRPr="00AF4FA9">
              <w:rPr>
                <w:rFonts w:eastAsia="Times New Roman" w:cs="Times New Roman"/>
                <w:szCs w:val="24"/>
                <w:vertAlign w:val="superscript"/>
                <w:lang w:val="pt-BR"/>
              </w:rPr>
              <w:t>2+</w:t>
            </w:r>
            <w:r w:rsidRPr="00AF4FA9">
              <w:rPr>
                <w:rFonts w:eastAsia="Times New Roman" w:cs="Times New Roman"/>
                <w:szCs w:val="24"/>
                <w:lang w:val="pt-BR"/>
              </w:rPr>
              <w:t xml:space="preserve"> + 0.8H</w:t>
            </w:r>
            <w:r w:rsidRPr="00AF4FA9">
              <w:rPr>
                <w:rFonts w:eastAsia="Times New Roman" w:cs="Times New Roman"/>
                <w:szCs w:val="24"/>
                <w:vertAlign w:val="subscript"/>
                <w:lang w:val="pt-BR"/>
              </w:rPr>
              <w:t>2</w:t>
            </w:r>
            <w:r w:rsidRPr="00AF4FA9">
              <w:rPr>
                <w:rFonts w:eastAsia="Times New Roman" w:cs="Times New Roman"/>
                <w:szCs w:val="24"/>
                <w:lang w:val="pt-BR"/>
              </w:rPr>
              <w:t>O</w:t>
            </w:r>
          </w:p>
        </w:tc>
        <w:tc>
          <w:tcPr>
            <w:tcW w:w="1360" w:type="dxa"/>
            <w:tcBorders>
              <w:top w:val="nil"/>
              <w:left w:val="nil"/>
              <w:bottom w:val="nil"/>
              <w:right w:val="nil"/>
            </w:tcBorders>
            <w:shd w:val="clear" w:color="auto" w:fill="auto"/>
            <w:noWrap/>
            <w:vAlign w:val="bottom"/>
            <w:hideMark/>
          </w:tcPr>
          <w:p w14:paraId="0067FA4F"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-766</w:t>
            </w:r>
          </w:p>
        </w:tc>
      </w:tr>
      <w:tr w:rsidR="00F20517" w:rsidRPr="00033E11" w14:paraId="1FCE69F5" w14:textId="77777777" w:rsidTr="0063330E">
        <w:trPr>
          <w:trHeight w:val="315"/>
        </w:trPr>
        <w:tc>
          <w:tcPr>
            <w:tcW w:w="1080" w:type="dxa"/>
            <w:tcBorders>
              <w:top w:val="single" w:sz="4" w:space="0" w:color="auto"/>
              <w:left w:val="nil"/>
              <w:bottom w:val="single" w:sz="4" w:space="0" w:color="auto"/>
              <w:right w:val="nil"/>
            </w:tcBorders>
            <w:shd w:val="clear" w:color="auto" w:fill="auto"/>
            <w:noWrap/>
            <w:vAlign w:val="bottom"/>
            <w:hideMark/>
          </w:tcPr>
          <w:p w14:paraId="3053572E"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 </w:t>
            </w:r>
          </w:p>
        </w:tc>
        <w:tc>
          <w:tcPr>
            <w:tcW w:w="6220" w:type="dxa"/>
            <w:tcBorders>
              <w:top w:val="single" w:sz="4" w:space="0" w:color="auto"/>
              <w:left w:val="nil"/>
              <w:bottom w:val="single" w:sz="4" w:space="0" w:color="auto"/>
              <w:right w:val="nil"/>
            </w:tcBorders>
            <w:shd w:val="clear" w:color="auto" w:fill="auto"/>
            <w:noWrap/>
            <w:vAlign w:val="bottom"/>
            <w:hideMark/>
          </w:tcPr>
          <w:p w14:paraId="0844568E"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Nitrite as Oxidant</w:t>
            </w:r>
          </w:p>
        </w:tc>
        <w:tc>
          <w:tcPr>
            <w:tcW w:w="1360" w:type="dxa"/>
            <w:tcBorders>
              <w:top w:val="single" w:sz="4" w:space="0" w:color="auto"/>
              <w:left w:val="nil"/>
              <w:bottom w:val="single" w:sz="4" w:space="0" w:color="auto"/>
              <w:right w:val="nil"/>
            </w:tcBorders>
            <w:shd w:val="clear" w:color="auto" w:fill="auto"/>
            <w:noWrap/>
            <w:vAlign w:val="bottom"/>
            <w:hideMark/>
          </w:tcPr>
          <w:p w14:paraId="40B94D11"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 </w:t>
            </w:r>
          </w:p>
        </w:tc>
      </w:tr>
      <w:tr w:rsidR="00F20517" w:rsidRPr="00033E11" w14:paraId="2A4550D7" w14:textId="77777777" w:rsidTr="0063330E">
        <w:trPr>
          <w:trHeight w:val="375"/>
        </w:trPr>
        <w:tc>
          <w:tcPr>
            <w:tcW w:w="1080" w:type="dxa"/>
            <w:tcBorders>
              <w:top w:val="nil"/>
              <w:left w:val="nil"/>
              <w:bottom w:val="nil"/>
              <w:right w:val="nil"/>
            </w:tcBorders>
            <w:shd w:val="clear" w:color="auto" w:fill="auto"/>
            <w:noWrap/>
            <w:vAlign w:val="bottom"/>
            <w:hideMark/>
          </w:tcPr>
          <w:p w14:paraId="4CC39B3E"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6</w:t>
            </w:r>
          </w:p>
        </w:tc>
        <w:tc>
          <w:tcPr>
            <w:tcW w:w="6220" w:type="dxa"/>
            <w:tcBorders>
              <w:top w:val="nil"/>
              <w:left w:val="nil"/>
              <w:bottom w:val="nil"/>
              <w:right w:val="nil"/>
            </w:tcBorders>
            <w:shd w:val="clear" w:color="auto" w:fill="auto"/>
            <w:noWrap/>
            <w:vAlign w:val="center"/>
            <w:hideMark/>
          </w:tcPr>
          <w:p w14:paraId="07277F0E" w14:textId="77777777" w:rsidR="00F20517" w:rsidRPr="00AF4FA9" w:rsidRDefault="00F20517" w:rsidP="0063330E">
            <w:pPr>
              <w:spacing w:line="240" w:lineRule="auto"/>
              <w:jc w:val="center"/>
              <w:rPr>
                <w:rFonts w:eastAsia="Times New Roman" w:cs="Times New Roman"/>
                <w:szCs w:val="24"/>
                <w:lang w:val="pt-BR"/>
              </w:rPr>
            </w:pPr>
            <w:r w:rsidRPr="00AF4FA9">
              <w:rPr>
                <w:rFonts w:eastAsia="Times New Roman" w:cs="Times New Roman"/>
                <w:szCs w:val="24"/>
                <w:lang w:val="pt-BR"/>
              </w:rPr>
              <w:t>UO</w:t>
            </w:r>
            <w:r w:rsidRPr="00AF4FA9">
              <w:rPr>
                <w:rFonts w:eastAsia="Times New Roman" w:cs="Times New Roman"/>
                <w:szCs w:val="24"/>
                <w:vertAlign w:val="subscript"/>
                <w:lang w:val="pt-BR"/>
              </w:rPr>
              <w:t>2</w:t>
            </w:r>
            <w:r w:rsidRPr="00AF4FA9">
              <w:rPr>
                <w:rFonts w:eastAsia="Times New Roman" w:cs="Times New Roman"/>
                <w:szCs w:val="24"/>
                <w:lang w:val="pt-BR"/>
              </w:rPr>
              <w:t xml:space="preserve"> + 0.7NO</w:t>
            </w:r>
            <w:r w:rsidRPr="00AF4FA9">
              <w:rPr>
                <w:rFonts w:eastAsia="Times New Roman" w:cs="Times New Roman"/>
                <w:szCs w:val="24"/>
                <w:vertAlign w:val="subscript"/>
                <w:lang w:val="pt-BR"/>
              </w:rPr>
              <w:t>2</w:t>
            </w:r>
            <w:r w:rsidRPr="00AF4FA9">
              <w:rPr>
                <w:rFonts w:eastAsia="Times New Roman" w:cs="Times New Roman"/>
                <w:szCs w:val="24"/>
                <w:vertAlign w:val="superscript"/>
                <w:lang w:val="pt-BR"/>
              </w:rPr>
              <w:noBreakHyphen/>
            </w:r>
            <w:r w:rsidRPr="00AF4FA9">
              <w:rPr>
                <w:rFonts w:eastAsia="Times New Roman" w:cs="Times New Roman"/>
                <w:szCs w:val="24"/>
                <w:lang w:val="pt-BR"/>
              </w:rPr>
              <w:t xml:space="preserve"> + 2.7H</w:t>
            </w:r>
            <w:r w:rsidRPr="00AF4FA9">
              <w:rPr>
                <w:rFonts w:eastAsia="Times New Roman" w:cs="Times New Roman"/>
                <w:szCs w:val="24"/>
                <w:vertAlign w:val="superscript"/>
                <w:lang w:val="pt-BR"/>
              </w:rPr>
              <w:t>+</w:t>
            </w:r>
            <w:r w:rsidRPr="00AF4FA9">
              <w:rPr>
                <w:rFonts w:eastAsia="Times New Roman" w:cs="Times New Roman"/>
                <w:szCs w:val="24"/>
                <w:lang w:val="pt-BR"/>
              </w:rPr>
              <w:t xml:space="preserve"> → UO</w:t>
            </w:r>
            <w:r w:rsidRPr="00AF4FA9">
              <w:rPr>
                <w:rFonts w:eastAsia="Times New Roman" w:cs="Times New Roman"/>
                <w:szCs w:val="24"/>
                <w:vertAlign w:val="subscript"/>
                <w:lang w:val="pt-BR"/>
              </w:rPr>
              <w:t>2</w:t>
            </w:r>
            <w:r w:rsidRPr="00AF4FA9">
              <w:rPr>
                <w:rFonts w:eastAsia="Times New Roman" w:cs="Times New Roman"/>
                <w:szCs w:val="24"/>
                <w:vertAlign w:val="superscript"/>
                <w:lang w:val="pt-BR"/>
              </w:rPr>
              <w:t xml:space="preserve">2+ </w:t>
            </w:r>
            <w:r w:rsidRPr="00AF4FA9">
              <w:rPr>
                <w:rFonts w:eastAsia="Times New Roman" w:cs="Times New Roman"/>
                <w:szCs w:val="24"/>
                <w:lang w:val="pt-BR"/>
              </w:rPr>
              <w:t>+</w:t>
            </w:r>
            <w:r w:rsidRPr="00AF4FA9">
              <w:rPr>
                <w:rFonts w:eastAsia="Times New Roman" w:cs="Times New Roman"/>
                <w:szCs w:val="24"/>
                <w:vertAlign w:val="superscript"/>
                <w:lang w:val="pt-BR"/>
              </w:rPr>
              <w:t xml:space="preserve"> </w:t>
            </w:r>
            <w:r w:rsidRPr="00AF4FA9">
              <w:rPr>
                <w:rFonts w:eastAsia="Times New Roman" w:cs="Times New Roman"/>
                <w:szCs w:val="24"/>
                <w:lang w:val="pt-BR"/>
              </w:rPr>
              <w:t>0.3N</w:t>
            </w:r>
            <w:r w:rsidRPr="00AF4FA9">
              <w:rPr>
                <w:rFonts w:eastAsia="Times New Roman" w:cs="Times New Roman"/>
                <w:szCs w:val="24"/>
                <w:vertAlign w:val="subscript"/>
                <w:lang w:val="pt-BR"/>
              </w:rPr>
              <w:t>2</w:t>
            </w:r>
            <w:r w:rsidRPr="00AF4FA9">
              <w:rPr>
                <w:rFonts w:eastAsia="Times New Roman" w:cs="Times New Roman"/>
                <w:szCs w:val="24"/>
                <w:lang w:val="pt-BR"/>
              </w:rPr>
              <w:t xml:space="preserve"> + 1.3H</w:t>
            </w:r>
            <w:r w:rsidRPr="00AF4FA9">
              <w:rPr>
                <w:rFonts w:eastAsia="Times New Roman" w:cs="Times New Roman"/>
                <w:szCs w:val="24"/>
                <w:vertAlign w:val="subscript"/>
                <w:lang w:val="pt-BR"/>
              </w:rPr>
              <w:t>2</w:t>
            </w:r>
            <w:r w:rsidRPr="00AF4FA9">
              <w:rPr>
                <w:rFonts w:eastAsia="Times New Roman" w:cs="Times New Roman"/>
                <w:szCs w:val="24"/>
                <w:lang w:val="pt-BR"/>
              </w:rPr>
              <w:t xml:space="preserve">O </w:t>
            </w:r>
          </w:p>
        </w:tc>
        <w:tc>
          <w:tcPr>
            <w:tcW w:w="1360" w:type="dxa"/>
            <w:tcBorders>
              <w:top w:val="nil"/>
              <w:left w:val="nil"/>
              <w:bottom w:val="nil"/>
              <w:right w:val="nil"/>
            </w:tcBorders>
            <w:shd w:val="clear" w:color="auto" w:fill="auto"/>
            <w:noWrap/>
            <w:vAlign w:val="bottom"/>
            <w:hideMark/>
          </w:tcPr>
          <w:p w14:paraId="1141F449"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-216</w:t>
            </w:r>
          </w:p>
        </w:tc>
      </w:tr>
      <w:tr w:rsidR="00F20517" w:rsidRPr="00033E11" w14:paraId="785EF46B" w14:textId="77777777" w:rsidTr="0063330E">
        <w:trPr>
          <w:trHeight w:val="375"/>
        </w:trPr>
        <w:tc>
          <w:tcPr>
            <w:tcW w:w="1080" w:type="dxa"/>
            <w:tcBorders>
              <w:top w:val="nil"/>
              <w:left w:val="nil"/>
              <w:bottom w:val="nil"/>
              <w:right w:val="nil"/>
            </w:tcBorders>
            <w:shd w:val="clear" w:color="auto" w:fill="auto"/>
            <w:noWrap/>
            <w:vAlign w:val="bottom"/>
            <w:hideMark/>
          </w:tcPr>
          <w:p w14:paraId="403B040C"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7</w:t>
            </w:r>
          </w:p>
        </w:tc>
        <w:tc>
          <w:tcPr>
            <w:tcW w:w="6220" w:type="dxa"/>
            <w:tcBorders>
              <w:top w:val="nil"/>
              <w:left w:val="nil"/>
              <w:bottom w:val="nil"/>
              <w:right w:val="nil"/>
            </w:tcBorders>
            <w:shd w:val="clear" w:color="auto" w:fill="auto"/>
            <w:noWrap/>
            <w:vAlign w:val="center"/>
            <w:hideMark/>
          </w:tcPr>
          <w:p w14:paraId="33172630"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S</w:t>
            </w:r>
            <w:r w:rsidRPr="00033E11">
              <w:rPr>
                <w:vertAlign w:val="superscript"/>
              </w:rPr>
              <w:t>0</w:t>
            </w:r>
            <w:r w:rsidRPr="00033E11">
              <w:rPr>
                <w:rFonts w:eastAsia="Times New Roman" w:cs="Times New Roman"/>
                <w:szCs w:val="24"/>
              </w:rPr>
              <w:t xml:space="preserve"> + 2NO</w:t>
            </w:r>
            <w:r w:rsidRPr="00033E11">
              <w:rPr>
                <w:rFonts w:eastAsia="Times New Roman" w:cs="Times New Roman"/>
                <w:szCs w:val="24"/>
                <w:vertAlign w:val="subscript"/>
              </w:rPr>
              <w:t>2</w:t>
            </w:r>
            <w:r w:rsidRPr="00033E11">
              <w:rPr>
                <w:rFonts w:eastAsia="Times New Roman" w:cs="Times New Roman"/>
                <w:szCs w:val="24"/>
                <w:vertAlign w:val="superscript"/>
              </w:rPr>
              <w:noBreakHyphen/>
              <w:t xml:space="preserve"> </w:t>
            </w:r>
            <w:r w:rsidRPr="00033E11">
              <w:rPr>
                <w:rFonts w:eastAsia="Times New Roman" w:cs="Times New Roman"/>
                <w:szCs w:val="24"/>
              </w:rPr>
              <w:t>→ SO</w:t>
            </w:r>
            <w:r w:rsidRPr="00033E11">
              <w:rPr>
                <w:rFonts w:eastAsia="Times New Roman" w:cs="Times New Roman"/>
                <w:szCs w:val="24"/>
                <w:vertAlign w:val="subscript"/>
              </w:rPr>
              <w:t>4</w:t>
            </w:r>
            <w:r w:rsidRPr="00033E11">
              <w:rPr>
                <w:rFonts w:eastAsia="Times New Roman" w:cs="Times New Roman"/>
                <w:szCs w:val="24"/>
                <w:vertAlign w:val="superscript"/>
              </w:rPr>
              <w:t>2-</w:t>
            </w:r>
            <w:r w:rsidRPr="00033E11">
              <w:rPr>
                <w:rFonts w:eastAsia="Times New Roman" w:cs="Times New Roman"/>
                <w:szCs w:val="24"/>
              </w:rPr>
              <w:t xml:space="preserve"> + N</w:t>
            </w:r>
            <w:r w:rsidRPr="00033E11">
              <w:rPr>
                <w:rFonts w:eastAsia="Times New Roman" w:cs="Times New Roman"/>
                <w:szCs w:val="24"/>
                <w:vertAlign w:val="subscript"/>
              </w:rPr>
              <w:t>2</w:t>
            </w:r>
          </w:p>
        </w:tc>
        <w:tc>
          <w:tcPr>
            <w:tcW w:w="1360" w:type="dxa"/>
            <w:tcBorders>
              <w:top w:val="nil"/>
              <w:left w:val="nil"/>
              <w:bottom w:val="nil"/>
              <w:right w:val="nil"/>
            </w:tcBorders>
            <w:shd w:val="clear" w:color="auto" w:fill="auto"/>
            <w:noWrap/>
            <w:vAlign w:val="bottom"/>
            <w:hideMark/>
          </w:tcPr>
          <w:p w14:paraId="1A20D382"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-680</w:t>
            </w:r>
          </w:p>
        </w:tc>
      </w:tr>
      <w:tr w:rsidR="00F20517" w:rsidRPr="00033E11" w14:paraId="1BD7FFE3" w14:textId="77777777" w:rsidTr="0063330E">
        <w:trPr>
          <w:trHeight w:val="375"/>
        </w:trPr>
        <w:tc>
          <w:tcPr>
            <w:tcW w:w="1080" w:type="dxa"/>
            <w:tcBorders>
              <w:top w:val="nil"/>
              <w:left w:val="nil"/>
              <w:bottom w:val="nil"/>
              <w:right w:val="nil"/>
            </w:tcBorders>
            <w:shd w:val="clear" w:color="auto" w:fill="auto"/>
            <w:noWrap/>
            <w:vAlign w:val="bottom"/>
            <w:hideMark/>
          </w:tcPr>
          <w:p w14:paraId="6DD3B709"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8</w:t>
            </w:r>
          </w:p>
        </w:tc>
        <w:tc>
          <w:tcPr>
            <w:tcW w:w="6220" w:type="dxa"/>
            <w:tcBorders>
              <w:top w:val="nil"/>
              <w:left w:val="nil"/>
              <w:bottom w:val="nil"/>
              <w:right w:val="nil"/>
            </w:tcBorders>
            <w:shd w:val="clear" w:color="auto" w:fill="auto"/>
            <w:noWrap/>
            <w:vAlign w:val="center"/>
            <w:hideMark/>
          </w:tcPr>
          <w:p w14:paraId="6E21D25F" w14:textId="77777777" w:rsidR="00F20517" w:rsidRPr="00AF4FA9" w:rsidRDefault="00F20517" w:rsidP="0063330E">
            <w:pPr>
              <w:spacing w:line="240" w:lineRule="auto"/>
              <w:jc w:val="center"/>
              <w:rPr>
                <w:rFonts w:eastAsia="Times New Roman" w:cs="Times New Roman"/>
                <w:szCs w:val="24"/>
                <w:lang w:val="pt-BR"/>
              </w:rPr>
            </w:pPr>
            <w:r w:rsidRPr="00AF4FA9">
              <w:rPr>
                <w:rFonts w:eastAsia="Times New Roman" w:cs="Times New Roman"/>
                <w:szCs w:val="24"/>
                <w:lang w:val="pt-BR"/>
              </w:rPr>
              <w:t>FeS + 2.7NO</w:t>
            </w:r>
            <w:r w:rsidRPr="00AF4FA9">
              <w:rPr>
                <w:rFonts w:eastAsia="Times New Roman" w:cs="Times New Roman"/>
                <w:szCs w:val="24"/>
                <w:vertAlign w:val="subscript"/>
                <w:lang w:val="pt-BR"/>
              </w:rPr>
              <w:t>2</w:t>
            </w:r>
            <w:r w:rsidRPr="00AF4FA9">
              <w:rPr>
                <w:rFonts w:eastAsia="Times New Roman" w:cs="Times New Roman"/>
                <w:szCs w:val="24"/>
                <w:vertAlign w:val="superscript"/>
                <w:lang w:val="pt-BR"/>
              </w:rPr>
              <w:noBreakHyphen/>
            </w:r>
            <w:r w:rsidRPr="00AF4FA9">
              <w:rPr>
                <w:rFonts w:eastAsia="Times New Roman" w:cs="Times New Roman"/>
                <w:szCs w:val="24"/>
                <w:lang w:val="pt-BR"/>
              </w:rPr>
              <w:t xml:space="preserve"> + 2.8H</w:t>
            </w:r>
            <w:r w:rsidRPr="00AF4FA9">
              <w:rPr>
                <w:rFonts w:eastAsia="Times New Roman" w:cs="Times New Roman"/>
                <w:szCs w:val="24"/>
                <w:vertAlign w:val="superscript"/>
                <w:lang w:val="pt-BR"/>
              </w:rPr>
              <w:t>+</w:t>
            </w:r>
            <w:r w:rsidRPr="00AF4FA9">
              <w:rPr>
                <w:rFonts w:eastAsia="Times New Roman" w:cs="Times New Roman"/>
                <w:szCs w:val="24"/>
                <w:lang w:val="pt-BR"/>
              </w:rPr>
              <w:t xml:space="preserve"> → SO</w:t>
            </w:r>
            <w:r w:rsidRPr="00AF4FA9">
              <w:rPr>
                <w:rFonts w:eastAsia="Times New Roman" w:cs="Times New Roman"/>
                <w:szCs w:val="24"/>
                <w:vertAlign w:val="subscript"/>
                <w:lang w:val="pt-BR"/>
              </w:rPr>
              <w:t>4</w:t>
            </w:r>
            <w:r w:rsidRPr="00AF4FA9">
              <w:rPr>
                <w:rFonts w:eastAsia="Times New Roman" w:cs="Times New Roman"/>
                <w:szCs w:val="24"/>
                <w:vertAlign w:val="superscript"/>
                <w:lang w:val="pt-BR"/>
              </w:rPr>
              <w:t>2-</w:t>
            </w:r>
            <w:r w:rsidRPr="00AF4FA9">
              <w:rPr>
                <w:rFonts w:eastAsia="Times New Roman" w:cs="Times New Roman"/>
                <w:szCs w:val="24"/>
                <w:lang w:val="pt-BR"/>
              </w:rPr>
              <w:t xml:space="preserve"> + 1.35N</w:t>
            </w:r>
            <w:r w:rsidRPr="00AF4FA9">
              <w:rPr>
                <w:rFonts w:eastAsia="Times New Roman" w:cs="Times New Roman"/>
                <w:szCs w:val="24"/>
                <w:vertAlign w:val="subscript"/>
                <w:lang w:val="pt-BR"/>
              </w:rPr>
              <w:t>2</w:t>
            </w:r>
            <w:r w:rsidRPr="00AF4FA9">
              <w:rPr>
                <w:rFonts w:eastAsia="Times New Roman" w:cs="Times New Roman"/>
                <w:szCs w:val="24"/>
                <w:lang w:val="pt-BR"/>
              </w:rPr>
              <w:t xml:space="preserve"> + Fe</w:t>
            </w:r>
            <w:r w:rsidRPr="00AF4FA9">
              <w:rPr>
                <w:rFonts w:eastAsia="Times New Roman" w:cs="Times New Roman"/>
                <w:szCs w:val="24"/>
                <w:vertAlign w:val="superscript"/>
                <w:lang w:val="pt-BR"/>
              </w:rPr>
              <w:t xml:space="preserve">2+ </w:t>
            </w:r>
            <w:r w:rsidRPr="00AF4FA9">
              <w:rPr>
                <w:rFonts w:eastAsia="Times New Roman" w:cs="Times New Roman"/>
                <w:szCs w:val="24"/>
                <w:lang w:val="pt-BR"/>
              </w:rPr>
              <w:t>+ 1.4H</w:t>
            </w:r>
            <w:r w:rsidRPr="00AF4FA9">
              <w:rPr>
                <w:rFonts w:eastAsia="Times New Roman" w:cs="Times New Roman"/>
                <w:szCs w:val="24"/>
                <w:vertAlign w:val="subscript"/>
                <w:lang w:val="pt-BR"/>
              </w:rPr>
              <w:t>2</w:t>
            </w:r>
            <w:r w:rsidRPr="00AF4FA9">
              <w:rPr>
                <w:rFonts w:eastAsia="Times New Roman" w:cs="Times New Roman"/>
                <w:szCs w:val="24"/>
                <w:lang w:val="pt-BR"/>
              </w:rPr>
              <w:t>O</w:t>
            </w:r>
          </w:p>
        </w:tc>
        <w:tc>
          <w:tcPr>
            <w:tcW w:w="1360" w:type="dxa"/>
            <w:tcBorders>
              <w:top w:val="nil"/>
              <w:left w:val="nil"/>
              <w:bottom w:val="nil"/>
              <w:right w:val="nil"/>
            </w:tcBorders>
            <w:shd w:val="clear" w:color="auto" w:fill="auto"/>
            <w:noWrap/>
            <w:vAlign w:val="bottom"/>
            <w:hideMark/>
          </w:tcPr>
          <w:p w14:paraId="22907B54"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-968</w:t>
            </w:r>
          </w:p>
        </w:tc>
      </w:tr>
      <w:tr w:rsidR="00F20517" w:rsidRPr="00033E11" w14:paraId="11622E05" w14:textId="77777777" w:rsidTr="0063330E">
        <w:trPr>
          <w:trHeight w:val="375"/>
        </w:trPr>
        <w:tc>
          <w:tcPr>
            <w:tcW w:w="1080" w:type="dxa"/>
            <w:tcBorders>
              <w:top w:val="nil"/>
              <w:left w:val="nil"/>
              <w:bottom w:val="nil"/>
              <w:right w:val="nil"/>
            </w:tcBorders>
            <w:shd w:val="clear" w:color="auto" w:fill="auto"/>
            <w:noWrap/>
            <w:vAlign w:val="bottom"/>
            <w:hideMark/>
          </w:tcPr>
          <w:p w14:paraId="48806E0C"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9</w:t>
            </w:r>
          </w:p>
        </w:tc>
        <w:tc>
          <w:tcPr>
            <w:tcW w:w="6220" w:type="dxa"/>
            <w:tcBorders>
              <w:top w:val="nil"/>
              <w:left w:val="nil"/>
              <w:bottom w:val="nil"/>
              <w:right w:val="nil"/>
            </w:tcBorders>
            <w:shd w:val="clear" w:color="auto" w:fill="auto"/>
            <w:noWrap/>
            <w:vAlign w:val="center"/>
            <w:hideMark/>
          </w:tcPr>
          <w:p w14:paraId="020AA040" w14:textId="77777777" w:rsidR="00F20517" w:rsidRPr="00AF4FA9" w:rsidRDefault="00F20517" w:rsidP="0063330E">
            <w:pPr>
              <w:spacing w:line="240" w:lineRule="auto"/>
              <w:jc w:val="center"/>
              <w:rPr>
                <w:rFonts w:eastAsia="Times New Roman" w:cs="Times New Roman"/>
                <w:szCs w:val="24"/>
                <w:lang w:val="pt-BR"/>
              </w:rPr>
            </w:pPr>
            <w:r w:rsidRPr="00AF4FA9">
              <w:rPr>
                <w:rFonts w:eastAsia="Times New Roman" w:cs="Times New Roman"/>
                <w:szCs w:val="24"/>
                <w:lang w:val="pt-BR"/>
              </w:rPr>
              <w:t>FeS</w:t>
            </w:r>
            <w:r w:rsidRPr="00AF4FA9">
              <w:rPr>
                <w:rFonts w:eastAsia="Times New Roman" w:cs="Times New Roman"/>
                <w:szCs w:val="24"/>
                <w:vertAlign w:val="subscript"/>
                <w:lang w:val="pt-BR"/>
              </w:rPr>
              <w:t>2</w:t>
            </w:r>
            <w:r w:rsidRPr="00AF4FA9">
              <w:rPr>
                <w:rFonts w:eastAsia="Times New Roman" w:cs="Times New Roman"/>
                <w:szCs w:val="24"/>
                <w:lang w:val="pt-BR"/>
              </w:rPr>
              <w:t xml:space="preserve"> + 4.7NO</w:t>
            </w:r>
            <w:r w:rsidRPr="00AF4FA9">
              <w:rPr>
                <w:rFonts w:eastAsia="Times New Roman" w:cs="Times New Roman"/>
                <w:szCs w:val="24"/>
                <w:vertAlign w:val="subscript"/>
                <w:lang w:val="pt-BR"/>
              </w:rPr>
              <w:t>2</w:t>
            </w:r>
            <w:r w:rsidRPr="00AF4FA9">
              <w:rPr>
                <w:rFonts w:eastAsia="Times New Roman" w:cs="Times New Roman"/>
                <w:szCs w:val="24"/>
                <w:vertAlign w:val="superscript"/>
                <w:lang w:val="pt-BR"/>
              </w:rPr>
              <w:noBreakHyphen/>
            </w:r>
            <w:r w:rsidRPr="00AF4FA9">
              <w:rPr>
                <w:rFonts w:eastAsia="Times New Roman" w:cs="Times New Roman"/>
                <w:szCs w:val="24"/>
                <w:lang w:val="pt-BR"/>
              </w:rPr>
              <w:t xml:space="preserve"> + 2.8H</w:t>
            </w:r>
            <w:r w:rsidRPr="00AF4FA9">
              <w:rPr>
                <w:rFonts w:eastAsia="Times New Roman" w:cs="Times New Roman"/>
                <w:szCs w:val="24"/>
                <w:vertAlign w:val="superscript"/>
                <w:lang w:val="pt-BR"/>
              </w:rPr>
              <w:t>+</w:t>
            </w:r>
            <w:r w:rsidRPr="00AF4FA9">
              <w:rPr>
                <w:rFonts w:eastAsia="Times New Roman" w:cs="Times New Roman"/>
                <w:szCs w:val="24"/>
                <w:lang w:val="pt-BR"/>
              </w:rPr>
              <w:t xml:space="preserve"> → 2SO</w:t>
            </w:r>
            <w:r w:rsidRPr="00AF4FA9">
              <w:rPr>
                <w:rFonts w:eastAsia="Times New Roman" w:cs="Times New Roman"/>
                <w:szCs w:val="24"/>
                <w:vertAlign w:val="subscript"/>
                <w:lang w:val="pt-BR"/>
              </w:rPr>
              <w:t>4</w:t>
            </w:r>
            <w:r w:rsidRPr="00AF4FA9">
              <w:rPr>
                <w:rFonts w:eastAsia="Times New Roman" w:cs="Times New Roman"/>
                <w:szCs w:val="24"/>
                <w:vertAlign w:val="superscript"/>
                <w:lang w:val="pt-BR"/>
              </w:rPr>
              <w:t>2-</w:t>
            </w:r>
            <w:r w:rsidRPr="00AF4FA9">
              <w:rPr>
                <w:rFonts w:eastAsia="Times New Roman" w:cs="Times New Roman"/>
                <w:szCs w:val="24"/>
                <w:lang w:val="pt-BR"/>
              </w:rPr>
              <w:t xml:space="preserve"> 2.35N</w:t>
            </w:r>
            <w:r w:rsidRPr="00AF4FA9">
              <w:rPr>
                <w:rFonts w:eastAsia="Times New Roman" w:cs="Times New Roman"/>
                <w:szCs w:val="24"/>
                <w:vertAlign w:val="subscript"/>
                <w:lang w:val="pt-BR"/>
              </w:rPr>
              <w:t>2</w:t>
            </w:r>
            <w:r w:rsidRPr="00AF4FA9">
              <w:rPr>
                <w:rFonts w:eastAsia="Times New Roman" w:cs="Times New Roman"/>
                <w:szCs w:val="24"/>
                <w:lang w:val="pt-BR"/>
              </w:rPr>
              <w:t xml:space="preserve"> + Fe</w:t>
            </w:r>
            <w:r w:rsidRPr="00AF4FA9">
              <w:rPr>
                <w:rFonts w:eastAsia="Times New Roman" w:cs="Times New Roman"/>
                <w:szCs w:val="24"/>
                <w:vertAlign w:val="superscript"/>
                <w:lang w:val="pt-BR"/>
              </w:rPr>
              <w:t xml:space="preserve">2+ </w:t>
            </w:r>
            <w:r w:rsidRPr="00AF4FA9">
              <w:rPr>
                <w:rFonts w:eastAsia="Times New Roman" w:cs="Times New Roman"/>
                <w:szCs w:val="24"/>
                <w:lang w:val="pt-BR"/>
              </w:rPr>
              <w:t>+ 1.4H</w:t>
            </w:r>
            <w:r w:rsidRPr="00AF4FA9">
              <w:rPr>
                <w:rFonts w:eastAsia="Times New Roman" w:cs="Times New Roman"/>
                <w:szCs w:val="24"/>
                <w:vertAlign w:val="subscript"/>
                <w:lang w:val="pt-BR"/>
              </w:rPr>
              <w:t>2</w:t>
            </w:r>
            <w:r w:rsidRPr="00AF4FA9">
              <w:rPr>
                <w:rFonts w:eastAsia="Times New Roman" w:cs="Times New Roman"/>
                <w:szCs w:val="24"/>
                <w:lang w:val="pt-BR"/>
              </w:rPr>
              <w:t>O</w:t>
            </w:r>
          </w:p>
        </w:tc>
        <w:tc>
          <w:tcPr>
            <w:tcW w:w="1360" w:type="dxa"/>
            <w:tcBorders>
              <w:top w:val="nil"/>
              <w:left w:val="nil"/>
              <w:bottom w:val="nil"/>
              <w:right w:val="nil"/>
            </w:tcBorders>
            <w:shd w:val="clear" w:color="auto" w:fill="auto"/>
            <w:noWrap/>
            <w:vAlign w:val="bottom"/>
            <w:hideMark/>
          </w:tcPr>
          <w:p w14:paraId="6CB25B37"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-1582</w:t>
            </w:r>
          </w:p>
        </w:tc>
      </w:tr>
      <w:tr w:rsidR="00F20517" w:rsidRPr="00033E11" w14:paraId="33296FD1" w14:textId="77777777" w:rsidTr="0063330E">
        <w:trPr>
          <w:trHeight w:val="375"/>
        </w:trPr>
        <w:tc>
          <w:tcPr>
            <w:tcW w:w="1080" w:type="dxa"/>
            <w:tcBorders>
              <w:top w:val="nil"/>
              <w:left w:val="nil"/>
              <w:bottom w:val="single" w:sz="4" w:space="0" w:color="auto"/>
              <w:right w:val="nil"/>
            </w:tcBorders>
            <w:shd w:val="clear" w:color="auto" w:fill="auto"/>
            <w:noWrap/>
            <w:vAlign w:val="bottom"/>
            <w:hideMark/>
          </w:tcPr>
          <w:p w14:paraId="7E8C228C"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10</w:t>
            </w:r>
          </w:p>
        </w:tc>
        <w:tc>
          <w:tcPr>
            <w:tcW w:w="6220" w:type="dxa"/>
            <w:tcBorders>
              <w:top w:val="nil"/>
              <w:left w:val="nil"/>
              <w:bottom w:val="single" w:sz="4" w:space="0" w:color="auto"/>
              <w:right w:val="nil"/>
            </w:tcBorders>
            <w:shd w:val="clear" w:color="auto" w:fill="auto"/>
            <w:noWrap/>
            <w:vAlign w:val="center"/>
            <w:hideMark/>
          </w:tcPr>
          <w:p w14:paraId="61163F8E" w14:textId="77777777" w:rsidR="00F20517" w:rsidRPr="00AF4FA9" w:rsidRDefault="00F20517" w:rsidP="0063330E">
            <w:pPr>
              <w:spacing w:line="240" w:lineRule="auto"/>
              <w:jc w:val="center"/>
              <w:rPr>
                <w:rFonts w:eastAsia="Times New Roman" w:cs="Times New Roman"/>
                <w:szCs w:val="24"/>
                <w:lang w:val="pt-BR"/>
              </w:rPr>
            </w:pPr>
            <w:r w:rsidRPr="00AF4FA9">
              <w:rPr>
                <w:rFonts w:eastAsia="Times New Roman" w:cs="Times New Roman"/>
                <w:szCs w:val="24"/>
                <w:lang w:val="pt-BR"/>
              </w:rPr>
              <w:t>MnS + 2.7NO</w:t>
            </w:r>
            <w:r w:rsidRPr="00AF4FA9">
              <w:rPr>
                <w:rFonts w:eastAsia="Times New Roman" w:cs="Times New Roman"/>
                <w:szCs w:val="24"/>
                <w:vertAlign w:val="subscript"/>
                <w:lang w:val="pt-BR"/>
              </w:rPr>
              <w:t>2</w:t>
            </w:r>
            <w:r w:rsidRPr="00AF4FA9">
              <w:rPr>
                <w:rFonts w:eastAsia="Times New Roman" w:cs="Times New Roman"/>
                <w:szCs w:val="24"/>
                <w:vertAlign w:val="superscript"/>
                <w:lang w:val="pt-BR"/>
              </w:rPr>
              <w:noBreakHyphen/>
            </w:r>
            <w:r w:rsidRPr="00AF4FA9">
              <w:rPr>
                <w:rFonts w:eastAsia="Times New Roman" w:cs="Times New Roman"/>
                <w:szCs w:val="24"/>
                <w:lang w:val="pt-BR"/>
              </w:rPr>
              <w:t xml:space="preserve"> + 2.8H</w:t>
            </w:r>
            <w:r w:rsidRPr="00AF4FA9">
              <w:rPr>
                <w:rFonts w:eastAsia="Times New Roman" w:cs="Times New Roman"/>
                <w:szCs w:val="24"/>
                <w:vertAlign w:val="superscript"/>
                <w:lang w:val="pt-BR"/>
              </w:rPr>
              <w:t>+</w:t>
            </w:r>
            <w:r w:rsidRPr="00AF4FA9">
              <w:rPr>
                <w:rFonts w:eastAsia="Times New Roman" w:cs="Times New Roman"/>
                <w:szCs w:val="24"/>
                <w:lang w:val="pt-BR"/>
              </w:rPr>
              <w:t xml:space="preserve"> → SO</w:t>
            </w:r>
            <w:r w:rsidRPr="00AF4FA9">
              <w:rPr>
                <w:rFonts w:eastAsia="Times New Roman" w:cs="Times New Roman"/>
                <w:szCs w:val="24"/>
                <w:vertAlign w:val="subscript"/>
                <w:lang w:val="pt-BR"/>
              </w:rPr>
              <w:t>4</w:t>
            </w:r>
            <w:r w:rsidRPr="00AF4FA9">
              <w:rPr>
                <w:rFonts w:eastAsia="Times New Roman" w:cs="Times New Roman"/>
                <w:szCs w:val="24"/>
                <w:vertAlign w:val="superscript"/>
                <w:lang w:val="pt-BR"/>
              </w:rPr>
              <w:t xml:space="preserve">2- </w:t>
            </w:r>
            <w:r w:rsidRPr="00AF4FA9">
              <w:rPr>
                <w:rFonts w:eastAsia="Times New Roman" w:cs="Times New Roman"/>
                <w:szCs w:val="24"/>
                <w:lang w:val="pt-BR"/>
              </w:rPr>
              <w:t>+ 1.35N</w:t>
            </w:r>
            <w:r w:rsidRPr="00AF4FA9">
              <w:rPr>
                <w:rFonts w:eastAsia="Times New Roman" w:cs="Times New Roman"/>
                <w:szCs w:val="24"/>
                <w:vertAlign w:val="subscript"/>
                <w:lang w:val="pt-BR"/>
              </w:rPr>
              <w:t>2</w:t>
            </w:r>
            <w:r w:rsidRPr="00AF4FA9">
              <w:rPr>
                <w:rFonts w:eastAsia="Times New Roman" w:cs="Times New Roman"/>
                <w:szCs w:val="24"/>
                <w:lang w:val="pt-BR"/>
              </w:rPr>
              <w:t xml:space="preserve"> + Mn</w:t>
            </w:r>
            <w:r w:rsidRPr="00AF4FA9">
              <w:rPr>
                <w:rFonts w:eastAsia="Times New Roman" w:cs="Times New Roman"/>
                <w:szCs w:val="24"/>
                <w:vertAlign w:val="superscript"/>
                <w:lang w:val="pt-BR"/>
              </w:rPr>
              <w:t xml:space="preserve">2+ </w:t>
            </w:r>
            <w:r w:rsidRPr="00AF4FA9">
              <w:rPr>
                <w:rFonts w:eastAsia="Times New Roman" w:cs="Times New Roman"/>
                <w:szCs w:val="24"/>
                <w:lang w:val="pt-BR"/>
              </w:rPr>
              <w:t>+ 1.4H</w:t>
            </w:r>
            <w:r w:rsidRPr="00AF4FA9">
              <w:rPr>
                <w:rFonts w:eastAsia="Times New Roman" w:cs="Times New Roman"/>
                <w:szCs w:val="24"/>
                <w:vertAlign w:val="subscript"/>
                <w:lang w:val="pt-BR"/>
              </w:rPr>
              <w:t>2</w:t>
            </w:r>
            <w:r w:rsidRPr="00AF4FA9">
              <w:rPr>
                <w:rFonts w:eastAsia="Times New Roman" w:cs="Times New Roman"/>
                <w:szCs w:val="24"/>
                <w:lang w:val="pt-BR"/>
              </w:rPr>
              <w:t xml:space="preserve">O </w:t>
            </w:r>
          </w:p>
        </w:tc>
        <w:tc>
          <w:tcPr>
            <w:tcW w:w="1360" w:type="dxa"/>
            <w:tcBorders>
              <w:top w:val="nil"/>
              <w:left w:val="nil"/>
              <w:bottom w:val="single" w:sz="4" w:space="0" w:color="auto"/>
              <w:right w:val="nil"/>
            </w:tcBorders>
            <w:shd w:val="clear" w:color="auto" w:fill="auto"/>
            <w:noWrap/>
            <w:vAlign w:val="bottom"/>
            <w:hideMark/>
          </w:tcPr>
          <w:p w14:paraId="2D911D9A" w14:textId="77777777" w:rsidR="00F20517" w:rsidRPr="00033E11" w:rsidRDefault="00F20517" w:rsidP="0063330E">
            <w:pPr>
              <w:spacing w:line="240" w:lineRule="auto"/>
              <w:jc w:val="center"/>
              <w:rPr>
                <w:rFonts w:eastAsia="Times New Roman" w:cs="Times New Roman"/>
                <w:szCs w:val="24"/>
              </w:rPr>
            </w:pPr>
            <w:r w:rsidRPr="00033E11">
              <w:rPr>
                <w:rFonts w:eastAsia="Times New Roman" w:cs="Times New Roman"/>
                <w:szCs w:val="24"/>
              </w:rPr>
              <w:t>-999</w:t>
            </w:r>
          </w:p>
        </w:tc>
      </w:tr>
    </w:tbl>
    <w:p w14:paraId="57B37AB8" w14:textId="77777777" w:rsidR="00F20517" w:rsidRDefault="00F20517" w:rsidP="00F20517">
      <w:pPr>
        <w:pStyle w:val="NoSpacing"/>
      </w:pPr>
      <w:r w:rsidRPr="00033E11">
        <w:t xml:space="preserve">  </w:t>
      </w:r>
    </w:p>
    <w:p w14:paraId="1B77BDDC" w14:textId="77777777" w:rsidR="0026391F" w:rsidRDefault="0026391F" w:rsidP="00F20517">
      <w:pPr>
        <w:pStyle w:val="NoSpacing"/>
      </w:pPr>
    </w:p>
    <w:p w14:paraId="5BBB72AB" w14:textId="77777777" w:rsidR="00CC5639" w:rsidRDefault="00CC5639" w:rsidP="00F20517">
      <w:pPr>
        <w:pStyle w:val="NoSpacing"/>
      </w:pPr>
    </w:p>
    <w:p w14:paraId="412AEA7B" w14:textId="77777777" w:rsidR="00CC5639" w:rsidRDefault="00CC5639" w:rsidP="00F20517">
      <w:pPr>
        <w:pStyle w:val="NoSpacing"/>
      </w:pPr>
    </w:p>
    <w:p w14:paraId="26723ACA" w14:textId="77777777" w:rsidR="00CC5639" w:rsidRDefault="00CC5639" w:rsidP="00F20517">
      <w:pPr>
        <w:pStyle w:val="NoSpacing"/>
      </w:pPr>
    </w:p>
    <w:p w14:paraId="07462384" w14:textId="77777777" w:rsidR="00CC5639" w:rsidRDefault="00CC5639" w:rsidP="00F20517">
      <w:pPr>
        <w:pStyle w:val="NoSpacing"/>
      </w:pPr>
    </w:p>
    <w:p w14:paraId="28CD210C" w14:textId="77777777" w:rsidR="00CC5639" w:rsidRDefault="00CC5639" w:rsidP="00F20517">
      <w:pPr>
        <w:pStyle w:val="NoSpacing"/>
      </w:pPr>
    </w:p>
    <w:p w14:paraId="607995A2" w14:textId="77777777" w:rsidR="00CC5639" w:rsidRDefault="00CC5639" w:rsidP="00F20517">
      <w:pPr>
        <w:pStyle w:val="NoSpacing"/>
      </w:pPr>
    </w:p>
    <w:p w14:paraId="336E649C" w14:textId="77777777" w:rsidR="00CC5639" w:rsidRDefault="00CC5639" w:rsidP="00F20517">
      <w:pPr>
        <w:pStyle w:val="NoSpacing"/>
      </w:pPr>
    </w:p>
    <w:p w14:paraId="2D1678B5" w14:textId="77777777" w:rsidR="00CC5639" w:rsidRDefault="00CC5639" w:rsidP="00F20517">
      <w:pPr>
        <w:pStyle w:val="NoSpacing"/>
      </w:pPr>
    </w:p>
    <w:p w14:paraId="52218EE5" w14:textId="77777777" w:rsidR="00CC5639" w:rsidRDefault="00CC5639" w:rsidP="00F20517">
      <w:pPr>
        <w:pStyle w:val="NoSpacing"/>
      </w:pPr>
    </w:p>
    <w:p w14:paraId="6C73CA8B" w14:textId="77777777" w:rsidR="00CC5639" w:rsidRDefault="00CC5639" w:rsidP="00F20517">
      <w:pPr>
        <w:pStyle w:val="NoSpacing"/>
      </w:pPr>
    </w:p>
    <w:p w14:paraId="312E3128" w14:textId="77777777" w:rsidR="00CC5639" w:rsidRDefault="00CC5639" w:rsidP="00F20517">
      <w:pPr>
        <w:pStyle w:val="NoSpacing"/>
      </w:pPr>
    </w:p>
    <w:p w14:paraId="54208C58" w14:textId="77777777" w:rsidR="0026391F" w:rsidRPr="00033E11" w:rsidRDefault="0026391F" w:rsidP="00F20517">
      <w:pPr>
        <w:pStyle w:val="NoSpacing"/>
      </w:pPr>
    </w:p>
    <w:p w14:paraId="7FB4EA60" w14:textId="77777777" w:rsidR="00706D07" w:rsidRDefault="00706D07" w:rsidP="00410B28">
      <w:pPr>
        <w:pStyle w:val="Heading2"/>
        <w:rPr>
          <w:rFonts w:eastAsiaTheme="minorEastAsia" w:cstheme="minorBidi"/>
          <w:b w:val="0"/>
          <w:bCs w:val="0"/>
          <w:szCs w:val="22"/>
        </w:rPr>
      </w:pPr>
      <w:bookmarkStart w:id="100" w:name="_Toc475171405"/>
    </w:p>
    <w:p w14:paraId="5A905FFB" w14:textId="77777777" w:rsidR="0026391F" w:rsidRDefault="0026391F" w:rsidP="0026391F"/>
    <w:p w14:paraId="6FBF0ACE" w14:textId="77777777" w:rsidR="0026391F" w:rsidRDefault="0026391F" w:rsidP="0026391F"/>
    <w:p w14:paraId="0F0E6CE3" w14:textId="0E4314E5" w:rsidR="003C26CE" w:rsidRDefault="00EE59D6" w:rsidP="0026391F">
      <w:r w:rsidRPr="00033E11">
        <w:lastRenderedPageBreak/>
        <w:t>common reduced sulfur-bearing minerals by nitrate and/or nitrite, as opposed to oxidation of uraninite, likely occurred. However, concurrent oxidation of red</w:t>
      </w:r>
      <w:r>
        <w:t xml:space="preserve">uced sulfur-bearing species and </w:t>
      </w:r>
      <w:r w:rsidR="00094679" w:rsidRPr="00033E11">
        <w:t xml:space="preserve">to a much lesser extent, U(IV), was also observed under nitrate-reducing conditions and in the absence of detectable nitrate and/or nitrite. This suggested that reduced sulfur-bearing species were not fully effective at limiting the mobility of uranium in the presence of dissolved and/or solid-phase oxidants. Therefore, future </w:t>
      </w:r>
      <w:r w:rsidR="00AF4FA9">
        <w:rPr>
          <w:i/>
          <w:iCs/>
        </w:rPr>
        <w:t>in situ</w:t>
      </w:r>
      <w:r w:rsidR="00AF4FA9">
        <w:t xml:space="preserve"> </w:t>
      </w:r>
      <w:r w:rsidR="00094679" w:rsidRPr="00033E11">
        <w:t xml:space="preserve">studies designed to test the effectiveness and long-term sustainability of this approach under natural-gradient conditions and to elucidate the predominant redox reactions are needed. Nevertheless, this </w:t>
      </w:r>
      <w:r w:rsidR="00AF4FA9">
        <w:rPr>
          <w:i/>
          <w:iCs/>
        </w:rPr>
        <w:t>in situ</w:t>
      </w:r>
      <w:r w:rsidR="00AF4FA9">
        <w:t xml:space="preserve"> </w:t>
      </w:r>
      <w:r w:rsidR="00094679" w:rsidRPr="00033E11">
        <w:t>study confirmed the results of previous laboratory studies and demonstrated that establishing sulfate-reducing conditions following U(VI) reduction can substantially limit the extent of uranium mobility in the presence of nitrate oxidant</w:t>
      </w:r>
      <w:r w:rsidR="000A5750">
        <w:t xml:space="preserve">. </w:t>
      </w:r>
    </w:p>
    <w:p w14:paraId="3773F13E" w14:textId="77777777" w:rsidR="004367CB" w:rsidRDefault="004367CB" w:rsidP="0026391F"/>
    <w:p w14:paraId="75FABAE0" w14:textId="77777777" w:rsidR="004367CB" w:rsidRDefault="004367CB" w:rsidP="0026391F"/>
    <w:p w14:paraId="2EE01E09" w14:textId="77777777" w:rsidR="004367CB" w:rsidRDefault="004367CB" w:rsidP="0026391F"/>
    <w:p w14:paraId="66ED0015" w14:textId="77777777" w:rsidR="004367CB" w:rsidRDefault="004367CB" w:rsidP="0026391F"/>
    <w:p w14:paraId="2D29040A" w14:textId="77777777" w:rsidR="004367CB" w:rsidRDefault="004367CB" w:rsidP="0026391F"/>
    <w:p w14:paraId="198CC861" w14:textId="77777777" w:rsidR="004367CB" w:rsidRDefault="004367CB" w:rsidP="0026391F"/>
    <w:p w14:paraId="48EFF56C" w14:textId="77777777" w:rsidR="004367CB" w:rsidRDefault="004367CB" w:rsidP="0026391F"/>
    <w:p w14:paraId="38A71550" w14:textId="77777777" w:rsidR="004367CB" w:rsidRDefault="004367CB" w:rsidP="0026391F"/>
    <w:p w14:paraId="7CE9792C" w14:textId="77777777" w:rsidR="004367CB" w:rsidRDefault="004367CB" w:rsidP="0026391F"/>
    <w:p w14:paraId="23DA8865" w14:textId="77777777" w:rsidR="004367CB" w:rsidRDefault="004367CB" w:rsidP="0026391F"/>
    <w:p w14:paraId="11AF4477" w14:textId="77777777" w:rsidR="004367CB" w:rsidRDefault="004367CB" w:rsidP="0026391F"/>
    <w:p w14:paraId="0BE23E6F" w14:textId="77777777" w:rsidR="0084334E" w:rsidRPr="0026391F" w:rsidRDefault="0084334E" w:rsidP="0026391F"/>
    <w:p w14:paraId="0181DA75" w14:textId="77777777" w:rsidR="00736D3D" w:rsidRPr="00736D3D" w:rsidRDefault="00410B28" w:rsidP="00736D3D">
      <w:pPr>
        <w:pStyle w:val="Heading2"/>
      </w:pPr>
      <w:bookmarkStart w:id="101" w:name="_Toc475172181"/>
      <w:bookmarkStart w:id="102" w:name="_Toc475172684"/>
      <w:bookmarkStart w:id="103" w:name="_Toc475172761"/>
      <w:bookmarkStart w:id="104" w:name="_Toc498505034"/>
      <w:r>
        <w:lastRenderedPageBreak/>
        <w:t>2.</w:t>
      </w:r>
      <w:r w:rsidR="00706D07">
        <w:t>6</w:t>
      </w:r>
      <w:r w:rsidR="00EF724E">
        <w:t>.</w:t>
      </w:r>
      <w:r w:rsidR="00EF724E">
        <w:tab/>
      </w:r>
      <w:r w:rsidRPr="00033E11">
        <w:t>References</w:t>
      </w:r>
      <w:bookmarkEnd w:id="100"/>
      <w:bookmarkEnd w:id="101"/>
      <w:bookmarkEnd w:id="102"/>
      <w:bookmarkEnd w:id="103"/>
      <w:bookmarkEnd w:id="104"/>
    </w:p>
    <w:p w14:paraId="6DA65B78" w14:textId="77777777" w:rsidR="006E1592" w:rsidRPr="00AF4FA9" w:rsidRDefault="00736D3D" w:rsidP="006E1592">
      <w:pPr>
        <w:ind w:left="720" w:hanging="720"/>
        <w:rPr>
          <w:rFonts w:cs="Times New Roman"/>
          <w:noProof/>
          <w:lang w:val="fr-FR"/>
        </w:rPr>
      </w:pPr>
      <w:r>
        <w:fldChar w:fldCharType="begin"/>
      </w:r>
      <w:r>
        <w:instrText xml:space="preserve"> ADDIN EN.SECTION.REFLIST </w:instrText>
      </w:r>
      <w:r>
        <w:fldChar w:fldCharType="separate"/>
      </w:r>
      <w:r w:rsidR="006E1592" w:rsidRPr="006E1592">
        <w:rPr>
          <w:rFonts w:cs="Times New Roman"/>
          <w:noProof/>
        </w:rPr>
        <w:t xml:space="preserve">Abdelouas, A., W. Lutze, W. L. Gong, E. H. Nuttall, B. A. Strietelmeier &amp; B. J. Travis, 2000. Biological reduction of uranium in groundwater and subsurface soil. </w:t>
      </w:r>
      <w:r w:rsidR="006E1592" w:rsidRPr="00AF4FA9">
        <w:rPr>
          <w:rFonts w:cs="Times New Roman"/>
          <w:noProof/>
          <w:lang w:val="fr-FR"/>
        </w:rPr>
        <w:t>Sci Total Environ 250(1-3):21-35 doi:10.1016/s0048-9697(99)00549-5.</w:t>
      </w:r>
    </w:p>
    <w:p w14:paraId="221007CD" w14:textId="77777777" w:rsidR="006E1592" w:rsidRPr="00AF4FA9" w:rsidRDefault="006E1592" w:rsidP="006E1592">
      <w:pPr>
        <w:ind w:left="720" w:hanging="720"/>
        <w:rPr>
          <w:rFonts w:cs="Times New Roman"/>
          <w:noProof/>
          <w:lang w:val="pt-BR"/>
        </w:rPr>
      </w:pPr>
      <w:r w:rsidRPr="00AF4FA9">
        <w:rPr>
          <w:rFonts w:cs="Times New Roman"/>
          <w:noProof/>
          <w:lang w:val="fr-FR"/>
        </w:rPr>
        <w:t xml:space="preserve">Abdelouas, A., W. Lutze &amp; H. E. Nuttall, 1999. </w:t>
      </w:r>
      <w:r w:rsidRPr="006E1592">
        <w:rPr>
          <w:rFonts w:cs="Times New Roman"/>
          <w:noProof/>
        </w:rPr>
        <w:t xml:space="preserve">Oxidative dissolution of uraninite precipitated on Navajo sandstone. </w:t>
      </w:r>
      <w:r w:rsidRPr="00AF4FA9">
        <w:rPr>
          <w:rFonts w:cs="Times New Roman"/>
          <w:noProof/>
          <w:lang w:val="pt-BR"/>
        </w:rPr>
        <w:t>J Contam Hydrol 36(3-4):353-375 doi:10.1016/s0169-7722(98)00151-x.</w:t>
      </w:r>
    </w:p>
    <w:p w14:paraId="5C081691" w14:textId="77777777" w:rsidR="006E1592" w:rsidRPr="006E1592" w:rsidRDefault="006E1592" w:rsidP="006E1592">
      <w:pPr>
        <w:ind w:left="720" w:hanging="720"/>
        <w:rPr>
          <w:rFonts w:cs="Times New Roman"/>
          <w:noProof/>
        </w:rPr>
      </w:pPr>
      <w:r w:rsidRPr="00AF4FA9">
        <w:rPr>
          <w:rFonts w:cs="Times New Roman"/>
          <w:noProof/>
          <w:lang w:val="pt-BR"/>
        </w:rPr>
        <w:t xml:space="preserve">Aller, R. C. &amp; P. D. Rude, 1988. </w:t>
      </w:r>
      <w:r w:rsidRPr="006E1592">
        <w:rPr>
          <w:rFonts w:cs="Times New Roman"/>
          <w:noProof/>
        </w:rPr>
        <w:t>Complete oxidation of solid-phase sulfides by manganese and bacteria in anoxic marine-sediments. Geochim Cosmochim Ac 52(3):751-765 doi:10.1016/0016-7037(88)90335-3.</w:t>
      </w:r>
    </w:p>
    <w:p w14:paraId="3D56A360" w14:textId="77777777" w:rsidR="006E1592" w:rsidRPr="006E1592" w:rsidRDefault="006E1592" w:rsidP="006E1592">
      <w:pPr>
        <w:ind w:left="720" w:hanging="720"/>
        <w:rPr>
          <w:rFonts w:cs="Times New Roman"/>
          <w:noProof/>
        </w:rPr>
      </w:pPr>
      <w:r w:rsidRPr="006E1592">
        <w:rPr>
          <w:rFonts w:cs="Times New Roman"/>
          <w:noProof/>
        </w:rPr>
        <w:t xml:space="preserve">Anderson, R. T., H. A. Vrionis, I. Ortiz-Bernad, C. T. Resch, P. E. Long, R. Dayvault, K. Karp, S. Marutzky, D. R. Metzler, A. Peacock, D. C. White, M. Lowe &amp; D. R. Lovley, 2003. Stimulating the </w:t>
      </w:r>
      <w:proofErr w:type="gramStart"/>
      <w:r w:rsidR="00AF4FA9">
        <w:rPr>
          <w:i/>
          <w:iCs/>
        </w:rPr>
        <w:t>in situ</w:t>
      </w:r>
      <w:proofErr w:type="gramEnd"/>
      <w:r w:rsidR="00AF4FA9">
        <w:t xml:space="preserve"> </w:t>
      </w:r>
      <w:r w:rsidRPr="006E1592">
        <w:rPr>
          <w:rFonts w:cs="Times New Roman"/>
          <w:noProof/>
        </w:rPr>
        <w:t>activity of Geobacter species to remove uranium from the groundwater of a uranium-contaminated aquifer. Appl Environ Microb 69(10):5884-5891 doi:10.1128/aem.69.10.5884-5891.2003.</w:t>
      </w:r>
    </w:p>
    <w:p w14:paraId="3FC66687" w14:textId="77777777" w:rsidR="006E1592" w:rsidRPr="006E1592" w:rsidRDefault="006E1592" w:rsidP="006E1592">
      <w:pPr>
        <w:ind w:left="720" w:hanging="720"/>
        <w:rPr>
          <w:rFonts w:cs="Times New Roman"/>
          <w:noProof/>
        </w:rPr>
      </w:pPr>
      <w:r w:rsidRPr="006E1592">
        <w:rPr>
          <w:rFonts w:cs="Times New Roman"/>
          <w:noProof/>
        </w:rPr>
        <w:t>Arthur, R. C., T. Iwatsuki, E. Sasao, R. Metcalfe, K. Amano &amp; K. Ota, 2006. Geochemical constraints on the origin and stability of the Tono Uranium Deposit, Japan. Geochem-Explor Env A 6:33-48 doi:10.1144/1467-7873/05-081.</w:t>
      </w:r>
    </w:p>
    <w:p w14:paraId="39581BEA" w14:textId="77777777" w:rsidR="006E1592" w:rsidRPr="00AF4FA9" w:rsidRDefault="006E1592" w:rsidP="006E1592">
      <w:pPr>
        <w:ind w:left="720" w:hanging="720"/>
        <w:rPr>
          <w:rFonts w:cs="Times New Roman"/>
          <w:noProof/>
          <w:lang w:val="fr-FR"/>
        </w:rPr>
      </w:pPr>
      <w:r w:rsidRPr="006E1592">
        <w:rPr>
          <w:rFonts w:cs="Times New Roman"/>
          <w:noProof/>
        </w:rPr>
        <w:t xml:space="preserve">Barnett, M. O., P. M. Jardine &amp; S. C. Brooks, 2002. U(VI) adsorption to heterogeneous subsurface media: Application of a surface complexation model. </w:t>
      </w:r>
      <w:r w:rsidRPr="00AF4FA9">
        <w:rPr>
          <w:rFonts w:cs="Times New Roman"/>
          <w:noProof/>
          <w:lang w:val="fr-FR"/>
        </w:rPr>
        <w:t>Environ Sci Technol 36(5):937-942 doi:Doi 10.1021/Es010846i.</w:t>
      </w:r>
    </w:p>
    <w:p w14:paraId="0433B5CE" w14:textId="77777777" w:rsidR="006E1592" w:rsidRPr="00AF4FA9" w:rsidRDefault="006E1592" w:rsidP="006E1592">
      <w:pPr>
        <w:ind w:left="720" w:hanging="720"/>
        <w:rPr>
          <w:rFonts w:cs="Times New Roman"/>
          <w:noProof/>
          <w:lang w:val="fr-FR"/>
        </w:rPr>
      </w:pPr>
      <w:r w:rsidRPr="00AF4FA9">
        <w:rPr>
          <w:rFonts w:cs="Times New Roman"/>
          <w:noProof/>
          <w:lang w:val="fr-FR"/>
        </w:rPr>
        <w:t xml:space="preserve">Bi, Y. Q. &amp; K. F. Hayes, 2014a. </w:t>
      </w:r>
      <w:r w:rsidRPr="006E1592">
        <w:rPr>
          <w:rFonts w:cs="Times New Roman"/>
          <w:noProof/>
        </w:rPr>
        <w:t xml:space="preserve">Nano-FeS Inhibits UO2 Reoxidation under Varied Oxic Conditions. </w:t>
      </w:r>
      <w:r w:rsidRPr="00AF4FA9">
        <w:rPr>
          <w:rFonts w:cs="Times New Roman"/>
          <w:noProof/>
          <w:lang w:val="fr-FR"/>
        </w:rPr>
        <w:t>Environ Sci Technol 48(1):632-640 doi:10.1021/es4043353.</w:t>
      </w:r>
    </w:p>
    <w:p w14:paraId="4ED2527D" w14:textId="77777777" w:rsidR="006E1592" w:rsidRPr="00AF4FA9" w:rsidRDefault="006E1592" w:rsidP="006E1592">
      <w:pPr>
        <w:ind w:left="720" w:hanging="720"/>
        <w:rPr>
          <w:rFonts w:cs="Times New Roman"/>
          <w:noProof/>
          <w:lang w:val="fr-FR"/>
        </w:rPr>
      </w:pPr>
      <w:r w:rsidRPr="00AF4FA9">
        <w:rPr>
          <w:rFonts w:cs="Times New Roman"/>
          <w:noProof/>
          <w:lang w:val="fr-FR"/>
        </w:rPr>
        <w:lastRenderedPageBreak/>
        <w:t xml:space="preserve">Bi, Y. Q. &amp; K. F. Hayes, 2014b. </w:t>
      </w:r>
      <w:r w:rsidRPr="006E1592">
        <w:rPr>
          <w:rFonts w:cs="Times New Roman"/>
          <w:noProof/>
        </w:rPr>
        <w:t xml:space="preserve">Surface Passivation Limited UO2 Oxidative Dissolution in the Presence of FeS. </w:t>
      </w:r>
      <w:r w:rsidRPr="00AF4FA9">
        <w:rPr>
          <w:rFonts w:cs="Times New Roman"/>
          <w:noProof/>
          <w:lang w:val="fr-FR"/>
        </w:rPr>
        <w:t>Environ Sci Technol 48(22):13402-13411 doi:10.1021/es5041392.</w:t>
      </w:r>
    </w:p>
    <w:p w14:paraId="75B35727" w14:textId="77777777" w:rsidR="006E1592" w:rsidRPr="00AF4FA9" w:rsidRDefault="006E1592" w:rsidP="006E1592">
      <w:pPr>
        <w:ind w:left="720" w:hanging="720"/>
        <w:rPr>
          <w:rFonts w:cs="Times New Roman"/>
          <w:noProof/>
          <w:lang w:val="pt-BR"/>
        </w:rPr>
      </w:pPr>
      <w:r w:rsidRPr="00AF4FA9">
        <w:rPr>
          <w:rFonts w:cs="Times New Roman"/>
          <w:noProof/>
          <w:lang w:val="fr-FR"/>
        </w:rPr>
        <w:t xml:space="preserve">Bi, Y. Q., S. P. Hyun, R. K. Kukkadapu &amp; K. F. Hayes, 2013. </w:t>
      </w:r>
      <w:r w:rsidRPr="006E1592">
        <w:rPr>
          <w:rFonts w:cs="Times New Roman"/>
          <w:noProof/>
        </w:rPr>
        <w:t xml:space="preserve">Oxidative dissolution of UO2 in a simulated groundwater containing synthetic nanocrystalline mackinawite. </w:t>
      </w:r>
      <w:r w:rsidRPr="00AF4FA9">
        <w:rPr>
          <w:rFonts w:cs="Times New Roman"/>
          <w:noProof/>
          <w:lang w:val="pt-BR"/>
        </w:rPr>
        <w:t>Geochim Cosmochim Ac 102:175-190 doi:10.1016/j.gca.2012.10.032.</w:t>
      </w:r>
    </w:p>
    <w:p w14:paraId="7C2379E3" w14:textId="77777777" w:rsidR="006E1592" w:rsidRPr="006E1592" w:rsidRDefault="006E1592" w:rsidP="006E1592">
      <w:pPr>
        <w:ind w:left="720" w:hanging="720"/>
        <w:rPr>
          <w:rFonts w:cs="Times New Roman"/>
          <w:noProof/>
        </w:rPr>
      </w:pPr>
      <w:r w:rsidRPr="00AF4FA9">
        <w:rPr>
          <w:rFonts w:cs="Times New Roman"/>
          <w:noProof/>
          <w:lang w:val="pt-BR"/>
        </w:rPr>
        <w:t xml:space="preserve">Brugge, D., J. L. de Lemos &amp; B. Oldmixon, 2005. </w:t>
      </w:r>
      <w:r w:rsidRPr="006E1592">
        <w:rPr>
          <w:rFonts w:cs="Times New Roman"/>
          <w:noProof/>
        </w:rPr>
        <w:t>Exposure pathways and health effects associated with chemical and radiological toxicity of natural uranium: A review. Reviews on Environmental Health 20(3):177-193.</w:t>
      </w:r>
    </w:p>
    <w:p w14:paraId="7807EA14" w14:textId="77777777" w:rsidR="006E1592" w:rsidRPr="00AF4FA9" w:rsidRDefault="006E1592" w:rsidP="006E1592">
      <w:pPr>
        <w:ind w:left="720" w:hanging="720"/>
        <w:rPr>
          <w:rFonts w:cs="Times New Roman"/>
          <w:noProof/>
          <w:lang w:val="fr-FR"/>
        </w:rPr>
      </w:pPr>
      <w:r w:rsidRPr="006E1592">
        <w:rPr>
          <w:rFonts w:cs="Times New Roman"/>
          <w:noProof/>
        </w:rPr>
        <w:t xml:space="preserve">Campbell, K. M., H. Veeramani, K. U. Urich, L. Y. Blue, D. E. Giammar, R. Bernier-Latmani, J. E. Stubbs, E. Suvorova, S. Yabusaki, J. S. Lezama-Pacheco, A. Mehta, P. E. Long &amp; J. R. Bargar, 2011. Oxidative Dissolution of Biogenic Uraninite in Groundwater at Old Rifle, CO. </w:t>
      </w:r>
      <w:r w:rsidRPr="00AF4FA9">
        <w:rPr>
          <w:rFonts w:cs="Times New Roman"/>
          <w:noProof/>
          <w:lang w:val="fr-FR"/>
        </w:rPr>
        <w:t>Environ Sci Technol 45(20):8748-8754 doi:10.1021/es200482f.</w:t>
      </w:r>
    </w:p>
    <w:p w14:paraId="62AC01C4" w14:textId="77777777" w:rsidR="006E1592" w:rsidRPr="006E1592" w:rsidRDefault="006E1592" w:rsidP="006E1592">
      <w:pPr>
        <w:ind w:left="720" w:hanging="720"/>
        <w:rPr>
          <w:rFonts w:cs="Times New Roman"/>
          <w:noProof/>
        </w:rPr>
      </w:pPr>
      <w:r w:rsidRPr="00AF4FA9">
        <w:rPr>
          <w:rFonts w:cs="Times New Roman"/>
          <w:noProof/>
          <w:lang w:val="fr-FR"/>
        </w:rPr>
        <w:t xml:space="preserve">Carpenter, J., Y. Q. Bi &amp; K. F. Hayes, 2015. </w:t>
      </w:r>
      <w:r w:rsidRPr="006E1592">
        <w:rPr>
          <w:rFonts w:cs="Times New Roman"/>
          <w:noProof/>
        </w:rPr>
        <w:t>Influence of Iron Sulfides on Abiotic Oxidation of UO2 by Nitrite and Dissolved Oxygen in Natural Sediments. Environ Sci Technol 49(2):1078-1085 doi:10.1021/es504481n.</w:t>
      </w:r>
    </w:p>
    <w:p w14:paraId="7BCCA9D2" w14:textId="77777777" w:rsidR="006E1592" w:rsidRPr="006E1592" w:rsidRDefault="006E1592" w:rsidP="006E1592">
      <w:pPr>
        <w:ind w:left="720" w:hanging="720"/>
        <w:rPr>
          <w:rFonts w:cs="Times New Roman"/>
          <w:noProof/>
        </w:rPr>
      </w:pPr>
      <w:r w:rsidRPr="006E1592">
        <w:rPr>
          <w:rFonts w:cs="Times New Roman"/>
          <w:noProof/>
        </w:rPr>
        <w:t>Chakraborty, S., F. Favre, D. Banerjee, A. C. Scheinost, M. Mullet, J.-J. Ehrhardt, J. Brendle, L. Vidal &amp; L. Charlet, 2010. U(VI) Sorption and Reduction by Fe(II) Sorbed on Montmorillonite. Environ Sci Technol 44(10):3779-3785 doi:10.1021/es903493n.</w:t>
      </w:r>
    </w:p>
    <w:p w14:paraId="759BD386" w14:textId="77777777" w:rsidR="006E1592" w:rsidRPr="006E1592" w:rsidRDefault="006E1592" w:rsidP="006E1592">
      <w:pPr>
        <w:ind w:left="720" w:hanging="720"/>
        <w:rPr>
          <w:rFonts w:cs="Times New Roman"/>
          <w:noProof/>
        </w:rPr>
      </w:pPr>
      <w:r w:rsidRPr="006E1592">
        <w:rPr>
          <w:rFonts w:cs="Times New Roman"/>
          <w:noProof/>
        </w:rPr>
        <w:t>Dean, J. A., 1999. Lange's Handbook of Chemistry, Fifteenth edn. McGRAW-HILL, INC.</w:t>
      </w:r>
    </w:p>
    <w:p w14:paraId="760EADCB" w14:textId="77777777" w:rsidR="006E1592" w:rsidRPr="006E1592" w:rsidRDefault="006E1592" w:rsidP="006E1592">
      <w:pPr>
        <w:ind w:left="720" w:hanging="720"/>
        <w:rPr>
          <w:rFonts w:cs="Times New Roman"/>
          <w:noProof/>
        </w:rPr>
      </w:pPr>
      <w:r w:rsidRPr="006E1592">
        <w:rPr>
          <w:rFonts w:cs="Times New Roman"/>
          <w:noProof/>
        </w:rPr>
        <w:t>Dullies, F., W. Lutze, W. L. Gong &amp; H. E. Nuttall, 2010. Biological reduction of uranium-From the laboratory to the field. Sci Total Environ 408(24):6260-6271 doi:10.1016/j.scitotenv.2010.08.018.</w:t>
      </w:r>
    </w:p>
    <w:p w14:paraId="2C2E372A" w14:textId="77777777" w:rsidR="006E1592" w:rsidRPr="00AF4FA9" w:rsidRDefault="006E1592" w:rsidP="006E1592">
      <w:pPr>
        <w:ind w:left="720" w:hanging="720"/>
        <w:rPr>
          <w:rFonts w:cs="Times New Roman"/>
          <w:noProof/>
          <w:lang w:val="de-DE"/>
        </w:rPr>
      </w:pPr>
      <w:r w:rsidRPr="006E1592">
        <w:rPr>
          <w:rFonts w:cs="Times New Roman"/>
          <w:noProof/>
        </w:rPr>
        <w:lastRenderedPageBreak/>
        <w:t xml:space="preserve">Fang, Y., T. D. Scheibe, E. E. Roden, W. Kamolpornwijit &amp; S. C. Brooks, 3D Field-Scale Reactive Transport Modeling of </w:t>
      </w:r>
      <w:r w:rsidR="00AF4FA9">
        <w:rPr>
          <w:i/>
          <w:iCs/>
        </w:rPr>
        <w:t>in situ</w:t>
      </w:r>
      <w:r w:rsidR="00AF4FA9">
        <w:t xml:space="preserve"> </w:t>
      </w:r>
      <w:r w:rsidRPr="006E1592">
        <w:rPr>
          <w:rFonts w:cs="Times New Roman"/>
          <w:noProof/>
        </w:rPr>
        <w:t xml:space="preserve">Immobilization of Uranium in Structured Porous Media via Biostimulation. </w:t>
      </w:r>
      <w:r w:rsidRPr="00AF4FA9">
        <w:rPr>
          <w:rFonts w:cs="Times New Roman"/>
          <w:noProof/>
          <w:lang w:val="de-DE"/>
        </w:rPr>
        <w:t>In: CMWR-XVI Copenhagen, Denmark, 2006.</w:t>
      </w:r>
    </w:p>
    <w:p w14:paraId="040707D3" w14:textId="77777777" w:rsidR="006E1592" w:rsidRPr="006E1592" w:rsidRDefault="006E1592" w:rsidP="006E1592">
      <w:pPr>
        <w:ind w:left="720" w:hanging="720"/>
        <w:rPr>
          <w:rFonts w:cs="Times New Roman"/>
          <w:noProof/>
        </w:rPr>
      </w:pPr>
      <w:r w:rsidRPr="00AF4FA9">
        <w:rPr>
          <w:rFonts w:cs="Times New Roman"/>
          <w:noProof/>
          <w:lang w:val="de-DE"/>
        </w:rPr>
        <w:t xml:space="preserve">Finster, K., W. Liesack &amp; B. Thamdrup, 1998. Elemental sulfur and thiosulfate disproportionation by Desulfocapsa sulfoexigens sp nov, a new anaerobic bacterium isolated from marine surface sediment. </w:t>
      </w:r>
      <w:r w:rsidRPr="006E1592">
        <w:rPr>
          <w:rFonts w:cs="Times New Roman"/>
          <w:noProof/>
        </w:rPr>
        <w:t>Appl Environ Microb 64(1):119-125.</w:t>
      </w:r>
    </w:p>
    <w:p w14:paraId="1CC3DAA8" w14:textId="77777777" w:rsidR="006E1592" w:rsidRPr="00AF4FA9" w:rsidRDefault="006E1592" w:rsidP="006E1592">
      <w:pPr>
        <w:ind w:left="720" w:hanging="720"/>
        <w:rPr>
          <w:rFonts w:cs="Times New Roman"/>
          <w:noProof/>
          <w:lang w:val="de-DE"/>
        </w:rPr>
      </w:pPr>
      <w:r w:rsidRPr="006E1592">
        <w:rPr>
          <w:rFonts w:cs="Times New Roman"/>
          <w:noProof/>
        </w:rPr>
        <w:t xml:space="preserve">Goodwin, B., 1982. Calculated Uranium Solubility in Groundwater - Implications for Nuclear-Fuel Waste-Disposal. </w:t>
      </w:r>
      <w:r w:rsidRPr="00AF4FA9">
        <w:rPr>
          <w:rFonts w:cs="Times New Roman"/>
          <w:noProof/>
          <w:lang w:val="de-DE"/>
        </w:rPr>
        <w:t>Can J Chem 60(13):1759-1766 doi:10.1139/v82-241.</w:t>
      </w:r>
    </w:p>
    <w:p w14:paraId="20A830EE" w14:textId="77777777" w:rsidR="006E1592" w:rsidRPr="006E1592" w:rsidRDefault="006E1592" w:rsidP="006E1592">
      <w:pPr>
        <w:ind w:left="720" w:hanging="720"/>
        <w:rPr>
          <w:rFonts w:cs="Times New Roman"/>
          <w:noProof/>
        </w:rPr>
      </w:pPr>
      <w:r w:rsidRPr="00AF4FA9">
        <w:rPr>
          <w:rFonts w:cs="Times New Roman"/>
          <w:noProof/>
          <w:lang w:val="de-DE"/>
        </w:rPr>
        <w:t xml:space="preserve">Grenthe, I. J., R. J. M. Fuger, R. J. Konings, A. B. Lemire, C. Muller, Nguyen-Trung &amp; H. Wanner, 1992. </w:t>
      </w:r>
      <w:r w:rsidRPr="006E1592">
        <w:rPr>
          <w:rFonts w:cs="Times New Roman"/>
          <w:noProof/>
        </w:rPr>
        <w:t>Chemical Thermodynamics of Uranium. Nuclear Energy Agency, North-Holland NY.</w:t>
      </w:r>
    </w:p>
    <w:p w14:paraId="6F69E264" w14:textId="77777777" w:rsidR="006E1592" w:rsidRPr="006E1592" w:rsidRDefault="006E1592" w:rsidP="006E1592">
      <w:pPr>
        <w:ind w:left="720" w:hanging="720"/>
        <w:rPr>
          <w:rFonts w:cs="Times New Roman"/>
          <w:noProof/>
        </w:rPr>
      </w:pPr>
      <w:r w:rsidRPr="00AF4FA9">
        <w:rPr>
          <w:rFonts w:cs="Times New Roman"/>
          <w:noProof/>
          <w:lang w:val="es-US"/>
        </w:rPr>
        <w:t xml:space="preserve">Hyun, S. P., J. A. Davis &amp; K. F. Hayes, 2014. </w:t>
      </w:r>
      <w:r w:rsidRPr="006E1592">
        <w:rPr>
          <w:rFonts w:cs="Times New Roman"/>
          <w:noProof/>
        </w:rPr>
        <w:t>Abiotic U(VI) reduction by aqueous sulfide. Appl Geochem 50:7-15 doi:10.1016/j.apgeochem.2014.07.021.</w:t>
      </w:r>
    </w:p>
    <w:p w14:paraId="4C1EFE8E" w14:textId="77777777" w:rsidR="006E1592" w:rsidRPr="006E1592" w:rsidRDefault="006E1592" w:rsidP="006E1592">
      <w:pPr>
        <w:ind w:left="720" w:hanging="720"/>
        <w:rPr>
          <w:rFonts w:cs="Times New Roman"/>
          <w:noProof/>
        </w:rPr>
      </w:pPr>
      <w:r w:rsidRPr="006E1592">
        <w:rPr>
          <w:rFonts w:cs="Times New Roman"/>
          <w:noProof/>
        </w:rPr>
        <w:t>Hyun, S. P., J. A. Davis, K. Sun &amp; K. F. Hayes, 2012. Uranium(VI) Reduction by Iron(II) Monosulfide Mackinawite. Environ Sci Technol 46(6):3369-3376 doi:10.1021/es203786p.</w:t>
      </w:r>
    </w:p>
    <w:p w14:paraId="5C185A89" w14:textId="77777777" w:rsidR="006E1592" w:rsidRPr="00AF4FA9" w:rsidRDefault="006E1592" w:rsidP="006E1592">
      <w:pPr>
        <w:ind w:left="720" w:hanging="720"/>
        <w:rPr>
          <w:rFonts w:cs="Times New Roman"/>
          <w:noProof/>
          <w:lang w:val="de-DE"/>
        </w:rPr>
      </w:pPr>
      <w:r w:rsidRPr="006E1592">
        <w:rPr>
          <w:rFonts w:cs="Times New Roman"/>
          <w:noProof/>
        </w:rPr>
        <w:t xml:space="preserve">Istok, J. D., 2013. Push-Pull Tests for Site Characterization, vol 144. </w:t>
      </w:r>
      <w:r w:rsidRPr="00AF4FA9">
        <w:rPr>
          <w:rFonts w:cs="Times New Roman"/>
          <w:noProof/>
          <w:lang w:val="de-DE"/>
        </w:rPr>
        <w:t>Springer-Verlag Berlin Heidelberg.</w:t>
      </w:r>
    </w:p>
    <w:p w14:paraId="2D562884" w14:textId="77777777" w:rsidR="006E1592" w:rsidRPr="006E1592" w:rsidRDefault="006E1592" w:rsidP="006E1592">
      <w:pPr>
        <w:ind w:left="720" w:hanging="720"/>
        <w:rPr>
          <w:rFonts w:cs="Times New Roman"/>
          <w:noProof/>
        </w:rPr>
      </w:pPr>
      <w:r w:rsidRPr="00AF4FA9">
        <w:rPr>
          <w:rFonts w:cs="Times New Roman"/>
          <w:noProof/>
        </w:rPr>
        <w:t xml:space="preserve">Istok, J. D., J. M. Senko, L. R. Krumholz, D. Watson, M. A. Bogle, A. Peacock, Y. J. Chang &amp; D. C. White, 2004. </w:t>
      </w:r>
      <w:r w:rsidR="00466C9C">
        <w:rPr>
          <w:i/>
          <w:iCs/>
        </w:rPr>
        <w:t>I</w:t>
      </w:r>
      <w:r w:rsidR="00AF4FA9">
        <w:rPr>
          <w:i/>
          <w:iCs/>
        </w:rPr>
        <w:t>n situ</w:t>
      </w:r>
      <w:r w:rsidR="00AF4FA9">
        <w:t xml:space="preserve"> </w:t>
      </w:r>
      <w:r w:rsidRPr="006E1592">
        <w:rPr>
          <w:rFonts w:cs="Times New Roman"/>
          <w:noProof/>
        </w:rPr>
        <w:t>bioreduction of technetium and uranium in a nitrate-contaminated aquifer. Environ Sci Technol 38(2):468-475 doi:Doi 10.1021/Es034639p.</w:t>
      </w:r>
    </w:p>
    <w:p w14:paraId="5D5D1543" w14:textId="77777777" w:rsidR="006E1592" w:rsidRPr="006E1592" w:rsidRDefault="006E1592" w:rsidP="006E1592">
      <w:pPr>
        <w:ind w:left="720" w:hanging="720"/>
        <w:rPr>
          <w:rFonts w:cs="Times New Roman"/>
          <w:noProof/>
        </w:rPr>
      </w:pPr>
      <w:r w:rsidRPr="006E1592">
        <w:rPr>
          <w:rFonts w:cs="Times New Roman"/>
          <w:noProof/>
        </w:rPr>
        <w:lastRenderedPageBreak/>
        <w:t>Iwatsuki, T., R. Arthur, K. Ota &amp; R. Metcalfe, 2004. Solubility constraints on uranium concentrations in groundwaters of the Tono uranium deposit, Japan. Radiochim Acta 92(9-11):789-796 doi:10.1524/ract.92.9.789.54986.</w:t>
      </w:r>
    </w:p>
    <w:p w14:paraId="570585DA" w14:textId="77777777" w:rsidR="006E1592" w:rsidRPr="006E1592" w:rsidRDefault="006E1592" w:rsidP="006E1592">
      <w:pPr>
        <w:ind w:left="720" w:hanging="720"/>
        <w:rPr>
          <w:rFonts w:cs="Times New Roman"/>
          <w:noProof/>
        </w:rPr>
      </w:pPr>
      <w:r w:rsidRPr="006E1592">
        <w:rPr>
          <w:rFonts w:cs="Times New Roman"/>
          <w:noProof/>
        </w:rPr>
        <w:t>Jeon, B. H., B. A. Dempsey, W. D. Burgos, M. O. Barnett &amp; E. E. Roden, 2005. Chemical reduction of U(VI) by Fe(II) at the solid-water interface using natural and synthetic Fe(III) oxides. Environ Sci Technol 39(15):5642-5649 doi:10.1021/es0487527.</w:t>
      </w:r>
    </w:p>
    <w:p w14:paraId="09ECE639" w14:textId="77777777" w:rsidR="006E1592" w:rsidRPr="006E1592" w:rsidRDefault="006E1592" w:rsidP="006E1592">
      <w:pPr>
        <w:ind w:left="720" w:hanging="720"/>
        <w:rPr>
          <w:rFonts w:cs="Times New Roman"/>
          <w:noProof/>
        </w:rPr>
      </w:pPr>
      <w:r w:rsidRPr="006E1592">
        <w:rPr>
          <w:rFonts w:cs="Times New Roman"/>
          <w:noProof/>
        </w:rPr>
        <w:t>Kelly, D. P. &amp; A. P. Wood, 2000. Confirmation of Thiobacillus denitrificans as a species of the genus Thiobacillus, in the beta-subclass of the Proteobacteria, with strain NCIMB 9548 as the type strain. International Journal of Systematic and Evolutionary Microbiology 50:547-550.</w:t>
      </w:r>
    </w:p>
    <w:p w14:paraId="6048CD01" w14:textId="77777777" w:rsidR="006E1592" w:rsidRPr="006E1592" w:rsidRDefault="006E1592" w:rsidP="006E1592">
      <w:pPr>
        <w:ind w:left="720" w:hanging="720"/>
        <w:rPr>
          <w:rFonts w:cs="Times New Roman"/>
          <w:noProof/>
        </w:rPr>
      </w:pPr>
      <w:r w:rsidRPr="006E1592">
        <w:rPr>
          <w:rFonts w:cs="Times New Roman"/>
          <w:noProof/>
        </w:rPr>
        <w:t xml:space="preserve">Kelly, S. D., K. M. Kemner, J. Carley, C. Criddle, P. M. Jardine, T. L. Marsh, D. Phillips, D. Watson &amp; W.-M. Wu, 2008. Speciation of uranium in sediments before and after </w:t>
      </w:r>
      <w:r w:rsidR="00AF4FA9">
        <w:rPr>
          <w:i/>
          <w:iCs/>
        </w:rPr>
        <w:t>in situ</w:t>
      </w:r>
      <w:r w:rsidR="00AF4FA9">
        <w:t xml:space="preserve"> </w:t>
      </w:r>
      <w:r w:rsidRPr="006E1592">
        <w:rPr>
          <w:rFonts w:cs="Times New Roman"/>
          <w:noProof/>
        </w:rPr>
        <w:t>biostimulation. Environ Sci Technol 42(5):1558-1564 doi:10.1021/es071764i.</w:t>
      </w:r>
    </w:p>
    <w:p w14:paraId="63ED9752" w14:textId="77777777" w:rsidR="006E1592" w:rsidRPr="00AF4FA9" w:rsidRDefault="006E1592" w:rsidP="006E1592">
      <w:pPr>
        <w:ind w:left="720" w:hanging="720"/>
        <w:rPr>
          <w:rFonts w:cs="Times New Roman"/>
          <w:noProof/>
          <w:lang w:val="fr-FR"/>
        </w:rPr>
      </w:pPr>
      <w:r w:rsidRPr="006E1592">
        <w:rPr>
          <w:rFonts w:cs="Times New Roman"/>
          <w:noProof/>
        </w:rPr>
        <w:t xml:space="preserve">Kelly, S. D., W.-M. Wu, F. Yang, C. S. Criddle, T. L. Marsh, E. J. O'Loughlin, B. Ravel, D. Watson, P. M. Jardine &amp; K. M. Kemner, 2010. </w:t>
      </w:r>
      <w:r w:rsidRPr="00AF4FA9">
        <w:rPr>
          <w:rFonts w:cs="Times New Roman"/>
          <w:noProof/>
          <w:lang w:val="fr-FR"/>
        </w:rPr>
        <w:t>Uranium Transformations in Static Microcosms. Environ Sci Technol 44(1):236-242 doi:10.1021/es902191s.</w:t>
      </w:r>
    </w:p>
    <w:p w14:paraId="2CD31D93" w14:textId="77777777" w:rsidR="006E1592" w:rsidRPr="006E1592" w:rsidRDefault="006E1592" w:rsidP="006E1592">
      <w:pPr>
        <w:ind w:left="720" w:hanging="720"/>
        <w:rPr>
          <w:rFonts w:cs="Times New Roman"/>
          <w:noProof/>
        </w:rPr>
      </w:pPr>
      <w:r w:rsidRPr="00AF4FA9">
        <w:rPr>
          <w:rFonts w:cs="Times New Roman"/>
          <w:noProof/>
          <w:lang w:val="it-IT"/>
        </w:rPr>
        <w:t xml:space="preserve">Li, D. &amp; D. I. Kaplan, 2012. </w:t>
      </w:r>
      <w:r w:rsidRPr="006E1592">
        <w:rPr>
          <w:rFonts w:cs="Times New Roman"/>
          <w:noProof/>
        </w:rPr>
        <w:t>Sorption coefficients and molecular mechanisms of Pu, U, Np, Am and Tc to Fe (hydr)oxides: A review. J Hazard Mater 243:1-18 doi:10.1016/j.jhazmat.2012.09.011.</w:t>
      </w:r>
    </w:p>
    <w:p w14:paraId="3A2262C0" w14:textId="77777777" w:rsidR="006E1592" w:rsidRPr="006E1592" w:rsidRDefault="006E1592" w:rsidP="006E1592">
      <w:pPr>
        <w:ind w:left="720" w:hanging="720"/>
        <w:rPr>
          <w:rFonts w:cs="Times New Roman"/>
          <w:noProof/>
        </w:rPr>
      </w:pPr>
      <w:r w:rsidRPr="006E1592">
        <w:rPr>
          <w:rFonts w:cs="Times New Roman"/>
          <w:noProof/>
        </w:rPr>
        <w:t>Lloyd, J. R. &amp; J. C. Renshaw, 2005. Bioremediation of radioactive waste: radionuclide-microbe interactions in laboratory and field-scale studies. Curr Opin Biotech 16(3):254-260 doi:10.1016/j.copbio.2005.04.012.</w:t>
      </w:r>
    </w:p>
    <w:p w14:paraId="54332B21" w14:textId="77777777" w:rsidR="006E1592" w:rsidRPr="006E1592" w:rsidRDefault="006E1592" w:rsidP="006E1592">
      <w:pPr>
        <w:ind w:left="720" w:hanging="720"/>
        <w:rPr>
          <w:rFonts w:cs="Times New Roman"/>
          <w:noProof/>
        </w:rPr>
      </w:pPr>
      <w:r w:rsidRPr="006E1592">
        <w:rPr>
          <w:rFonts w:cs="Times New Roman"/>
          <w:noProof/>
        </w:rPr>
        <w:lastRenderedPageBreak/>
        <w:t>Luan, F. B., G. X. Zhang, J. M. Senko &amp; W. D. Burgos, 2015. Effects of supplemental organic carbon on long-term reduction and reoxidation of uranium. Rsc Advances 5(41):32210-32216 doi:10.1039/c5ra02550h.</w:t>
      </w:r>
    </w:p>
    <w:p w14:paraId="4A0A607D" w14:textId="77777777" w:rsidR="006E1592" w:rsidRPr="006E1592" w:rsidRDefault="006E1592" w:rsidP="006E1592">
      <w:pPr>
        <w:ind w:left="720" w:hanging="720"/>
        <w:rPr>
          <w:rFonts w:cs="Times New Roman"/>
          <w:noProof/>
        </w:rPr>
      </w:pPr>
      <w:r w:rsidRPr="006E1592">
        <w:rPr>
          <w:rFonts w:cs="Times New Roman"/>
          <w:noProof/>
        </w:rPr>
        <w:t>Mohanty, S. R., B. Kollah, D. B. Hedrick, A. D. Peacock, R. K. Kukkadapu &amp; E. E. Roden, 2008. Biogeochemical processes in ethanol stimulated uranium-contaminated subsurface sediments. Environ Sci Technol 42(12):4384-4390 doi:10.1021/es703082v.</w:t>
      </w:r>
    </w:p>
    <w:p w14:paraId="0B246A8A" w14:textId="77777777" w:rsidR="006E1592" w:rsidRPr="006E1592" w:rsidRDefault="006E1592" w:rsidP="006E1592">
      <w:pPr>
        <w:ind w:left="720" w:hanging="720"/>
        <w:rPr>
          <w:rFonts w:cs="Times New Roman"/>
          <w:noProof/>
        </w:rPr>
      </w:pPr>
      <w:r w:rsidRPr="006E1592">
        <w:rPr>
          <w:rFonts w:cs="Times New Roman"/>
          <w:noProof/>
        </w:rPr>
        <w:t>Moon, H. S., J. Komlos &amp; P. R. Jaffe, 2007. Uranium reoxidation in previously bioreduced sediment by dissolved oxygen and nitrate. Environ Sci Technol 41(13):4587-4592 doi:10.1021/es063063b.</w:t>
      </w:r>
    </w:p>
    <w:p w14:paraId="0F17DC6B" w14:textId="77777777" w:rsidR="006E1592" w:rsidRPr="006E1592" w:rsidRDefault="006E1592" w:rsidP="006E1592">
      <w:pPr>
        <w:ind w:left="720" w:hanging="720"/>
        <w:rPr>
          <w:rFonts w:cs="Times New Roman"/>
          <w:noProof/>
        </w:rPr>
      </w:pPr>
      <w:r w:rsidRPr="006E1592">
        <w:rPr>
          <w:rFonts w:cs="Times New Roman"/>
          <w:noProof/>
        </w:rPr>
        <w:t>Moon, H. S., J. Komlos &amp; P. R. Jaffe, 2009. Biogenic U(IV) oxidation by dissolved oxygen and nitrate in sediment after prolonged U(VI)/Fe(III)/SO42- reduction. J Contam Hydrol 105(1-2):18-27 doi:10.1016/j.jconhyd.2008.10.014.</w:t>
      </w:r>
    </w:p>
    <w:p w14:paraId="216FB5C3" w14:textId="77777777" w:rsidR="006E1592" w:rsidRPr="006E1592" w:rsidRDefault="006E1592" w:rsidP="006E1592">
      <w:pPr>
        <w:ind w:left="720" w:hanging="720"/>
        <w:rPr>
          <w:rFonts w:cs="Times New Roman"/>
          <w:noProof/>
        </w:rPr>
      </w:pPr>
      <w:r w:rsidRPr="006E1592">
        <w:rPr>
          <w:rFonts w:cs="Times New Roman"/>
          <w:noProof/>
        </w:rPr>
        <w:t>Moon, J.-W., Y. Roh, T. J. Phelps, D. H. Phillips, D. B. Watson, Y.-J. Kim &amp; S. C. Brooks, 2006. Physicochemical and mineralogical characterization of soil-saprolite cores from a field research site, Tennessee. J Environ Qual 35(5):1731-1741 doi:10.2134/jeq2005.0123.</w:t>
      </w:r>
    </w:p>
    <w:p w14:paraId="559CB8DB" w14:textId="77777777" w:rsidR="006E1592" w:rsidRPr="006E1592" w:rsidRDefault="006E1592" w:rsidP="006E1592">
      <w:pPr>
        <w:ind w:left="720" w:hanging="720"/>
        <w:rPr>
          <w:rFonts w:cs="Times New Roman"/>
          <w:noProof/>
        </w:rPr>
      </w:pPr>
      <w:r w:rsidRPr="006E1592">
        <w:rPr>
          <w:rFonts w:cs="Times New Roman"/>
          <w:noProof/>
        </w:rPr>
        <w:t>N'Guessan, A. L., H. S. Moon, A. D. Peacock, H. Tan, M. Sinha, P. E. Long &amp; P. R. Jaffe, 2010. Postbiostimulation microbial community structure changes that control the reoxidation of uranium. Fems Microbiol Ecol 74(1):184-195 doi:10.1111/j.1574-6941.2010.00933.x.</w:t>
      </w:r>
    </w:p>
    <w:p w14:paraId="786C7A2E" w14:textId="77777777" w:rsidR="006E1592" w:rsidRPr="006E1592" w:rsidRDefault="006E1592" w:rsidP="006E1592">
      <w:pPr>
        <w:ind w:left="720" w:hanging="720"/>
        <w:rPr>
          <w:rFonts w:cs="Times New Roman"/>
          <w:noProof/>
        </w:rPr>
      </w:pPr>
      <w:r w:rsidRPr="006E1592">
        <w:rPr>
          <w:rFonts w:cs="Times New Roman"/>
          <w:noProof/>
        </w:rPr>
        <w:t>Newsome, L., K. Morris &amp; J. R. Lloyd, 2014. The biogeochemistry and bioremediation of uranium and other priority radionuclides. Chem Geol 363:164-184 doi:10.1016/j.chemgeo.2013.10.034.</w:t>
      </w:r>
    </w:p>
    <w:p w14:paraId="749821A1" w14:textId="77777777" w:rsidR="006E1592" w:rsidRPr="006E1592" w:rsidRDefault="006E1592" w:rsidP="006E1592">
      <w:pPr>
        <w:ind w:left="720" w:hanging="720"/>
        <w:rPr>
          <w:rFonts w:cs="Times New Roman"/>
          <w:noProof/>
        </w:rPr>
      </w:pPr>
      <w:r w:rsidRPr="006E1592">
        <w:rPr>
          <w:rFonts w:cs="Times New Roman"/>
          <w:noProof/>
        </w:rPr>
        <w:lastRenderedPageBreak/>
        <w:t>Noseck, U., E.-L. Tullborg, J. Suksi, M. Laaksoharju, V. Havlova, M. A. Denecke &amp; G. Buckau, 2012. Real system analyses/natural analogues. Appl Geochem 27(2):490-500 doi:10.1016/j.apgeochem.2011.09.017.</w:t>
      </w:r>
    </w:p>
    <w:p w14:paraId="0B4F257D" w14:textId="77777777" w:rsidR="006E1592" w:rsidRPr="006E1592" w:rsidRDefault="006E1592" w:rsidP="006E1592">
      <w:pPr>
        <w:ind w:left="720" w:hanging="720"/>
        <w:rPr>
          <w:rFonts w:cs="Times New Roman"/>
          <w:noProof/>
        </w:rPr>
      </w:pPr>
      <w:r w:rsidRPr="006E1592">
        <w:rPr>
          <w:rFonts w:cs="Times New Roman"/>
          <w:noProof/>
        </w:rPr>
        <w:t>O'Loughlin, E. J., M. I. Boyanov, D. A. Antonopoulos &amp; K. M. Kemner, 2011. Redox Processes Affecting the Speciation of Technetium, Uranium, Neptunium, and Plutonium in Aquatic and Terrestrial Environments. In Tratnyek, P. G., T. J. Grundl &amp; S. B. Haderlein (eds) Aquatic Redox Chemistry. ACS Symposium Series, vol 1071, 477-517.</w:t>
      </w:r>
    </w:p>
    <w:p w14:paraId="765DD398" w14:textId="77777777" w:rsidR="006E1592" w:rsidRPr="00AF4FA9" w:rsidRDefault="006E1592" w:rsidP="006E1592">
      <w:pPr>
        <w:ind w:left="720" w:hanging="720"/>
        <w:rPr>
          <w:rFonts w:cs="Times New Roman"/>
          <w:noProof/>
          <w:lang w:val="fr-FR"/>
        </w:rPr>
      </w:pPr>
      <w:r w:rsidRPr="006E1592">
        <w:rPr>
          <w:rFonts w:cs="Times New Roman"/>
          <w:noProof/>
        </w:rPr>
        <w:t xml:space="preserve">Rose, S. &amp; A. M. Ghazi, 1997. Release of sorbed sulfate from iron oxyhydroxides precipitated from acid mine drainage associated with coal mining. </w:t>
      </w:r>
      <w:r w:rsidRPr="00AF4FA9">
        <w:rPr>
          <w:rFonts w:cs="Times New Roman"/>
          <w:noProof/>
          <w:lang w:val="fr-FR"/>
        </w:rPr>
        <w:t>Environ Sci Technol 31(7):2136-2140 doi:10.1021/es960970f.</w:t>
      </w:r>
    </w:p>
    <w:p w14:paraId="088B6E5A" w14:textId="77777777" w:rsidR="006E1592" w:rsidRPr="006E1592" w:rsidRDefault="006E1592" w:rsidP="006E1592">
      <w:pPr>
        <w:ind w:left="720" w:hanging="720"/>
        <w:rPr>
          <w:rFonts w:cs="Times New Roman"/>
          <w:noProof/>
        </w:rPr>
      </w:pPr>
      <w:r w:rsidRPr="00AF4FA9">
        <w:rPr>
          <w:rFonts w:cs="Times New Roman"/>
          <w:noProof/>
          <w:lang w:val="fr-FR"/>
        </w:rPr>
        <w:t xml:space="preserve">Schippers, A. &amp; B. B. Jorgensen, 2001. </w:t>
      </w:r>
      <w:r w:rsidRPr="006E1592">
        <w:rPr>
          <w:rFonts w:cs="Times New Roman"/>
          <w:noProof/>
        </w:rPr>
        <w:t>Oxidation of pyrite and iron sulfide by manganese dioxide in marine sediments. Geochim Cosmochim Ac 65(6):915-922 doi:10.1016/s0016-7037(00)00589-5.</w:t>
      </w:r>
    </w:p>
    <w:p w14:paraId="6815172F" w14:textId="77777777" w:rsidR="006E1592" w:rsidRPr="006E1592" w:rsidRDefault="006E1592" w:rsidP="006E1592">
      <w:pPr>
        <w:ind w:left="720" w:hanging="720"/>
        <w:rPr>
          <w:rFonts w:cs="Times New Roman"/>
          <w:noProof/>
        </w:rPr>
      </w:pPr>
      <w:r w:rsidRPr="006E1592">
        <w:rPr>
          <w:rFonts w:cs="Times New Roman"/>
          <w:noProof/>
        </w:rPr>
        <w:t>Schippers, A. &amp; B. B. Jorgensen, 2002. Biogeochemistry of pyrite and iron sulfide oxidation in marine sediments. Geochim Cosmochim Ac 66(1):85-92 doi:10.1016/s0016-7037(01)00745-1.</w:t>
      </w:r>
    </w:p>
    <w:p w14:paraId="0C275186" w14:textId="77777777" w:rsidR="006E1592" w:rsidRPr="006E1592" w:rsidRDefault="006E1592" w:rsidP="006E1592">
      <w:pPr>
        <w:ind w:left="720" w:hanging="720"/>
        <w:rPr>
          <w:rFonts w:cs="Times New Roman"/>
          <w:noProof/>
        </w:rPr>
      </w:pPr>
      <w:r w:rsidRPr="006E1592">
        <w:rPr>
          <w:rFonts w:cs="Times New Roman"/>
          <w:noProof/>
        </w:rPr>
        <w:t>Senko, J. M., J. D. Istok, J. M. Suflita &amp; L. R. Krumholz, 2002. In-situ evidence for uranium immobilization and remobilization. Environ Sci Technol 36(7):1491-1496 doi:10.1021/es011240x.</w:t>
      </w:r>
    </w:p>
    <w:p w14:paraId="5B6F4749" w14:textId="77777777" w:rsidR="006E1592" w:rsidRPr="006E1592" w:rsidRDefault="006E1592" w:rsidP="006E1592">
      <w:pPr>
        <w:ind w:left="720" w:hanging="720"/>
        <w:rPr>
          <w:rFonts w:cs="Times New Roman"/>
          <w:noProof/>
        </w:rPr>
      </w:pPr>
      <w:r w:rsidRPr="006E1592">
        <w:rPr>
          <w:rFonts w:cs="Times New Roman"/>
          <w:noProof/>
        </w:rPr>
        <w:t xml:space="preserve">Sharp, J. O., J. S. Lezama-Pacheco, E. J. Schofield, P. Junier, K.-U. Ulrich, S. Chinni, H. Veeramani, C. Margot-Roquier, S. M. Webb, B. M. Tebo, D. E. Giammar, J. R. Bargar &amp; R. Bernier-Latmani, 2011. Uranium speciation and stability after reductive </w:t>
      </w:r>
      <w:r w:rsidRPr="006E1592">
        <w:rPr>
          <w:rFonts w:cs="Times New Roman"/>
          <w:noProof/>
        </w:rPr>
        <w:lastRenderedPageBreak/>
        <w:t>immobilization in aquifer sediments. Geochim Cosmochim Ac 75(21):6497-6510 doi:10.1016/j.gca.2011.08.022.</w:t>
      </w:r>
    </w:p>
    <w:p w14:paraId="570EB1E8" w14:textId="77777777" w:rsidR="006E1592" w:rsidRPr="006E1592" w:rsidRDefault="006E1592" w:rsidP="006E1592">
      <w:pPr>
        <w:ind w:left="720" w:hanging="720"/>
        <w:rPr>
          <w:rFonts w:cs="Times New Roman"/>
          <w:noProof/>
        </w:rPr>
      </w:pPr>
      <w:r w:rsidRPr="006E1592">
        <w:rPr>
          <w:rFonts w:cs="Times New Roman"/>
          <w:noProof/>
        </w:rPr>
        <w:t>Singh, G., S. S. Sengor, A. Bhalla, S. Kumar, J. De, B. Stewart, N. Spycher, T. M. Ginn, B. M. Peyton &amp; R. K. Sani, 2014. Reoxidation of Biogenic Reduced Uranium: A Challenge Toward Bioremediation. Critical Reviews in Environmental Science and Technology 44(4):391-415 doi:10.1080/10643389.2012.728522.</w:t>
      </w:r>
    </w:p>
    <w:p w14:paraId="69CBEAD1" w14:textId="77777777" w:rsidR="006E1592" w:rsidRPr="006E1592" w:rsidRDefault="006E1592" w:rsidP="006E1592">
      <w:pPr>
        <w:ind w:left="720" w:hanging="720"/>
        <w:rPr>
          <w:rFonts w:cs="Times New Roman"/>
          <w:noProof/>
        </w:rPr>
      </w:pPr>
      <w:r w:rsidRPr="006E1592">
        <w:rPr>
          <w:rFonts w:cs="Times New Roman"/>
          <w:noProof/>
        </w:rPr>
        <w:t>Smith, M. B., A. M. Rocha, C. S. Smillie, S. W. Olesen, C. Paradis, L. Wu, J. H. Campbell, J. L. Fortney, T. L. Mehlhorn, K. A. Lowe, J. E. Earles, J. Phillips, S. M. Techtmann, D. C. Joyner, D. A. Elias, K. L. Bailey, R. A. Hurt, Jr., S. P. Preheim, M. C. Sanders, J. Yang, M. A. Mueller, S. Brooks, D. B. Watson, P. Zhang, Z. He, E. A. Dubinsky, P. D. Adams, A. P. Arkin, M. W. Fields, J. Zhou, E. J. Alm &amp; T. C. Hazen, 2015. Natural Bacterial Communities Serve as Quantitative Geochemical Biosensors. Mbio 6(3) doi:10.1128/mBio.00326-15.</w:t>
      </w:r>
    </w:p>
    <w:p w14:paraId="4EFC5673" w14:textId="77777777" w:rsidR="006E1592" w:rsidRPr="00AF4FA9" w:rsidRDefault="006E1592" w:rsidP="006E1592">
      <w:pPr>
        <w:ind w:left="720" w:hanging="720"/>
        <w:rPr>
          <w:rFonts w:cs="Times New Roman"/>
          <w:noProof/>
          <w:lang w:val="nl-NL"/>
        </w:rPr>
      </w:pPr>
      <w:r w:rsidRPr="006E1592">
        <w:rPr>
          <w:rFonts w:cs="Times New Roman"/>
          <w:noProof/>
        </w:rPr>
        <w:t xml:space="preserve">Spain, A. M. &amp; L. R. Krumholz, 2011. Nitrate-Reducing Bacteria at the Nitrate and Radionuclide Contaminated Oak Ridge Integrated Field Research Challenge Site: A Review. </w:t>
      </w:r>
      <w:r w:rsidRPr="00AF4FA9">
        <w:rPr>
          <w:rFonts w:cs="Times New Roman"/>
          <w:noProof/>
          <w:lang w:val="nl-NL"/>
        </w:rPr>
        <w:t>Geomicrobiol J 28(5-6):418-429 doi:10.1080/01490451.2010.507642.</w:t>
      </w:r>
    </w:p>
    <w:p w14:paraId="418D63A7" w14:textId="77777777" w:rsidR="006E1592" w:rsidRPr="006E1592" w:rsidRDefault="006E1592" w:rsidP="006E1592">
      <w:pPr>
        <w:ind w:left="720" w:hanging="720"/>
        <w:rPr>
          <w:rFonts w:cs="Times New Roman"/>
          <w:noProof/>
        </w:rPr>
      </w:pPr>
      <w:r w:rsidRPr="00AF4FA9">
        <w:rPr>
          <w:rFonts w:cs="Times New Roman"/>
          <w:noProof/>
          <w:lang w:val="nl-NL"/>
        </w:rPr>
        <w:t xml:space="preserve">Thamdrup, B., K. Finster, J. W. Hansen &amp; F. Bak, 1993. </w:t>
      </w:r>
      <w:r w:rsidRPr="006E1592">
        <w:rPr>
          <w:rFonts w:cs="Times New Roman"/>
          <w:noProof/>
        </w:rPr>
        <w:t>Bacterial disproportionation of elemental sulfur coupled to chemical-reduction of iron or manganese. Appl Environ Microb 59(1):101-108.</w:t>
      </w:r>
    </w:p>
    <w:p w14:paraId="6834CA64" w14:textId="77777777" w:rsidR="006E1592" w:rsidRPr="006E1592" w:rsidRDefault="006E1592" w:rsidP="006E1592">
      <w:pPr>
        <w:ind w:left="720" w:hanging="720"/>
        <w:rPr>
          <w:rFonts w:cs="Times New Roman"/>
          <w:noProof/>
        </w:rPr>
      </w:pPr>
      <w:r w:rsidRPr="006E1592">
        <w:rPr>
          <w:rFonts w:cs="Times New Roman"/>
          <w:noProof/>
        </w:rPr>
        <w:t xml:space="preserve">Vrionis, H. A., R. T. Anderson, I. Ortiz-Bernad, K. R. O'Neill, C. T. Resch, A. D. Peacock, R. Dayvault, D. C. White, P. E. Long &amp; D. R. Lovley, 2005. Microbiological and geochemical heterogeneity in an </w:t>
      </w:r>
      <w:proofErr w:type="gramStart"/>
      <w:r w:rsidR="00AF4FA9">
        <w:rPr>
          <w:i/>
          <w:iCs/>
        </w:rPr>
        <w:t>in situ</w:t>
      </w:r>
      <w:proofErr w:type="gramEnd"/>
      <w:r w:rsidR="00AF4FA9">
        <w:t xml:space="preserve"> </w:t>
      </w:r>
      <w:r w:rsidRPr="006E1592">
        <w:rPr>
          <w:rFonts w:cs="Times New Roman"/>
          <w:noProof/>
        </w:rPr>
        <w:t>uranium bioremediation field site. Appl Environ Microb 71(10):6308-6318 doi:Doi 10.1128/Aem.71.10.6308-6318.2005.</w:t>
      </w:r>
    </w:p>
    <w:p w14:paraId="4C455E88" w14:textId="77777777" w:rsidR="006E1592" w:rsidRPr="006E1592" w:rsidRDefault="006E1592" w:rsidP="006E1592">
      <w:pPr>
        <w:ind w:left="720" w:hanging="720"/>
        <w:rPr>
          <w:rFonts w:cs="Times New Roman"/>
          <w:noProof/>
        </w:rPr>
      </w:pPr>
      <w:r w:rsidRPr="006E1592">
        <w:rPr>
          <w:rFonts w:cs="Times New Roman"/>
          <w:noProof/>
        </w:rPr>
        <w:lastRenderedPageBreak/>
        <w:t>Wall, J. D. &amp; L. R. Krumholz, 2006. Uranium reduction Annu Rev Microbiol. Annual Review of Microbiology, vol 60, 149-166.</w:t>
      </w:r>
    </w:p>
    <w:p w14:paraId="1C485915" w14:textId="77777777" w:rsidR="006E1592" w:rsidRPr="006E1592" w:rsidRDefault="006E1592" w:rsidP="006E1592">
      <w:pPr>
        <w:ind w:left="720" w:hanging="720"/>
        <w:rPr>
          <w:rFonts w:cs="Times New Roman"/>
          <w:noProof/>
        </w:rPr>
      </w:pPr>
      <w:r w:rsidRPr="006E1592">
        <w:rPr>
          <w:rFonts w:cs="Times New Roman"/>
          <w:noProof/>
        </w:rPr>
        <w:t>Wan, J. M., T. K. Tokunaga, E. Brodie, Z. M. Wang, Z. P. Zheng, D. Herman, T. C. Hazen, M. K. Firestone &amp; S. R. Sutton, 2005. Reoxidation of bioreduced uranium under reducing conditions. Environ Sci Technol 39(16):6162-6169 doi:10.1021/es048236g.</w:t>
      </w:r>
    </w:p>
    <w:p w14:paraId="1E8E2DA8" w14:textId="77777777" w:rsidR="006E1592" w:rsidRPr="006E1592" w:rsidRDefault="006E1592" w:rsidP="006E1592">
      <w:pPr>
        <w:ind w:left="720" w:hanging="720"/>
        <w:rPr>
          <w:rFonts w:cs="Times New Roman"/>
          <w:noProof/>
        </w:rPr>
      </w:pPr>
      <w:r w:rsidRPr="00AF4FA9">
        <w:rPr>
          <w:rFonts w:cs="Times New Roman"/>
          <w:noProof/>
          <w:lang w:val="nl-NL"/>
        </w:rPr>
        <w:t xml:space="preserve">Watson, D. B., J. E. Kostka, M. W. Fields &amp; P. M. Jardine, 2004. </w:t>
      </w:r>
      <w:r w:rsidRPr="006E1592">
        <w:rPr>
          <w:rFonts w:cs="Times New Roman"/>
          <w:noProof/>
        </w:rPr>
        <w:t>The Oak Ridge Field Research Center Conceptual Model. In: Energy, U. S. D. o. (ed). United States Department of Energy, Oak Ridge, TN.</w:t>
      </w:r>
    </w:p>
    <w:p w14:paraId="4F7A5441" w14:textId="77777777" w:rsidR="006E1592" w:rsidRPr="006E1592" w:rsidRDefault="006E1592" w:rsidP="006E1592">
      <w:pPr>
        <w:ind w:left="720" w:hanging="720"/>
        <w:rPr>
          <w:rFonts w:cs="Times New Roman"/>
          <w:noProof/>
        </w:rPr>
      </w:pPr>
      <w:r w:rsidRPr="006E1592">
        <w:rPr>
          <w:rFonts w:cs="Times New Roman"/>
          <w:noProof/>
        </w:rPr>
        <w:t xml:space="preserve">Watson, D. B., W. M. Wu, T. Mehlhorn, G. P. Tang, J. Earles, K. Lowe, T. M. Gihring, G. X. Zhang, J. Phillips, M. I. Boyanov, B. P. Spalding, C. Schadt, K. M. Kemner, C. S. Criddle, P. M. Jardine &amp; S. C. Brooks, 2013. </w:t>
      </w:r>
      <w:r w:rsidR="00466C9C">
        <w:rPr>
          <w:i/>
          <w:iCs/>
        </w:rPr>
        <w:t>I</w:t>
      </w:r>
      <w:r w:rsidR="00AF4FA9">
        <w:rPr>
          <w:i/>
          <w:iCs/>
        </w:rPr>
        <w:t>n situ</w:t>
      </w:r>
      <w:r w:rsidR="00AF4FA9">
        <w:t xml:space="preserve"> </w:t>
      </w:r>
      <w:r w:rsidRPr="006E1592">
        <w:rPr>
          <w:rFonts w:cs="Times New Roman"/>
          <w:noProof/>
        </w:rPr>
        <w:t>Bioremediation of Uranium with Emulsified Vegetable Oil as the Electron Donor. Environmental Science &amp; Technology 47(12):6440-6448 doi:10.1021/es3033555.</w:t>
      </w:r>
    </w:p>
    <w:p w14:paraId="22FF33BB" w14:textId="77777777" w:rsidR="006E1592" w:rsidRPr="006E1592" w:rsidRDefault="006E1592" w:rsidP="006E1592">
      <w:pPr>
        <w:ind w:left="720" w:hanging="720"/>
        <w:rPr>
          <w:rFonts w:cs="Times New Roman"/>
          <w:noProof/>
        </w:rPr>
      </w:pPr>
      <w:r w:rsidRPr="006E1592">
        <w:rPr>
          <w:rFonts w:cs="Times New Roman"/>
          <w:noProof/>
        </w:rPr>
        <w:t xml:space="preserve">Wu, W.-M., J. Carley, T. Gentry, M. A. Ginder-Vogel, M. Fienen, T. Mehlhorn, H. Yan, S. Caroll, M. N. Pace, J. Nyman, J. Luo, M. E. Gentile, M. W. Fields, R. F. Hickey, B. Gu, D. Watson, O. A. Cirpka, J. Zhou, S. Fendorf, P. K. Kitanidis, P. M. Jardine &amp; C. S. Criddle, 2006. Pilot-scale </w:t>
      </w:r>
      <w:r w:rsidR="00AF4FA9">
        <w:rPr>
          <w:i/>
          <w:iCs/>
        </w:rPr>
        <w:t>in situ</w:t>
      </w:r>
      <w:r w:rsidR="00AF4FA9">
        <w:t xml:space="preserve"> </w:t>
      </w:r>
      <w:r w:rsidRPr="006E1592">
        <w:rPr>
          <w:rFonts w:cs="Times New Roman"/>
          <w:noProof/>
        </w:rPr>
        <w:t>bioremedation of uranium in a highly contaminated aquifer. 2. Reduction of U(VI) and geochemical control of U(VI) bioavailability. Environ Sci Technol 40(12):3986-3995 doi:10.1021/es051960u.</w:t>
      </w:r>
    </w:p>
    <w:p w14:paraId="337058E9" w14:textId="77777777" w:rsidR="006E1592" w:rsidRPr="006E1592" w:rsidRDefault="006E1592" w:rsidP="006E1592">
      <w:pPr>
        <w:ind w:left="720" w:hanging="720"/>
        <w:rPr>
          <w:rFonts w:cs="Times New Roman"/>
          <w:noProof/>
        </w:rPr>
      </w:pPr>
      <w:r w:rsidRPr="006E1592">
        <w:rPr>
          <w:rFonts w:cs="Times New Roman"/>
          <w:noProof/>
        </w:rPr>
        <w:t xml:space="preserve">Wu, W.-M., J. Carley, J. Luo, M. A. Ginder-Vogel, E. Cardenas, M. B. Leigh, C. Hwang, S. D. Kelly, C. Ruan, L. Wu, J. Van Nostrand, T. Gentry, K. Lowe, T. Mehlhorn, S. Carroll, W. Luo, M. W. Fields, B. Gu, D. Watson, K. M. Kemner, T. Marsh, J. Tiedje, J. Zhou, S. Fendorf, P. K. Kitanidis, P. M. Jardine &amp; C. S. Criddle, 2007. </w:t>
      </w:r>
      <w:r w:rsidR="00466C9C">
        <w:rPr>
          <w:i/>
          <w:iCs/>
        </w:rPr>
        <w:t>In situ</w:t>
      </w:r>
      <w:r w:rsidR="00466C9C">
        <w:t xml:space="preserve"> </w:t>
      </w:r>
      <w:r w:rsidRPr="006E1592">
        <w:rPr>
          <w:rFonts w:cs="Times New Roman"/>
          <w:noProof/>
        </w:rPr>
        <w:t xml:space="preserve">bioreduction of </w:t>
      </w:r>
      <w:r w:rsidRPr="006E1592">
        <w:rPr>
          <w:rFonts w:cs="Times New Roman"/>
          <w:noProof/>
        </w:rPr>
        <w:lastRenderedPageBreak/>
        <w:t>uranium (VI) to submicromolar levels and reoxidation by dissolved oxygen. Environ Sci Technol 41(16):5716-5723 doi:10.1021/es062657b.</w:t>
      </w:r>
    </w:p>
    <w:p w14:paraId="780FC386" w14:textId="77777777" w:rsidR="006E1592" w:rsidRPr="006E1592" w:rsidRDefault="006E1592" w:rsidP="006E1592">
      <w:pPr>
        <w:ind w:left="720" w:hanging="720"/>
        <w:rPr>
          <w:rFonts w:cs="Times New Roman"/>
          <w:noProof/>
        </w:rPr>
      </w:pPr>
      <w:r w:rsidRPr="006E1592">
        <w:rPr>
          <w:rFonts w:cs="Times New Roman"/>
          <w:noProof/>
        </w:rPr>
        <w:t>Wu, W. M., J. Carley, S. J. Green, J. Luo, S. D. Kelly, J. Van Nostrand, K. Lowe, T. Mehlhorn, S. Carroll, B. Boonchayanant, F. E. Lofller, D. Watson, K. M. Kemner, J. Z. Zhou, P. K. Kitanidis, J. E. Kostka, P. M. Jardine &amp; C. S. Criddle, 2010. Effects of Nitrate on the Stability of Uranium in a Bioreduced Region of the Subsurface. Environ Sci Technol 44(13):5104-5111 doi:10.1021/es1000837.</w:t>
      </w:r>
    </w:p>
    <w:p w14:paraId="0FCCE691" w14:textId="77777777" w:rsidR="006E1592" w:rsidRDefault="006E1592" w:rsidP="006E1592">
      <w:pPr>
        <w:rPr>
          <w:rFonts w:cs="Times New Roman"/>
          <w:noProof/>
        </w:rPr>
      </w:pPr>
    </w:p>
    <w:p w14:paraId="42B5F7F5" w14:textId="77777777" w:rsidR="00706D07" w:rsidRPr="007257CF" w:rsidRDefault="00736D3D" w:rsidP="00736D3D">
      <w:r>
        <w:fldChar w:fldCharType="end"/>
      </w:r>
    </w:p>
    <w:p w14:paraId="59F63D15" w14:textId="77777777" w:rsidR="007257CF" w:rsidRDefault="007257CF" w:rsidP="00706D07">
      <w:pPr>
        <w:pStyle w:val="Heading2"/>
      </w:pPr>
      <w:bookmarkStart w:id="105" w:name="_Toc475171406"/>
      <w:bookmarkStart w:id="106" w:name="_Toc475172182"/>
      <w:bookmarkStart w:id="107" w:name="_Toc475172685"/>
      <w:bookmarkStart w:id="108" w:name="_Toc475172762"/>
    </w:p>
    <w:p w14:paraId="5692289E" w14:textId="77777777" w:rsidR="007257CF" w:rsidRDefault="007257CF" w:rsidP="00706D07">
      <w:pPr>
        <w:pStyle w:val="Heading2"/>
      </w:pPr>
    </w:p>
    <w:p w14:paraId="402D1502" w14:textId="77777777" w:rsidR="007257CF" w:rsidRDefault="007257CF" w:rsidP="00706D07">
      <w:pPr>
        <w:pStyle w:val="Heading2"/>
      </w:pPr>
    </w:p>
    <w:p w14:paraId="1C8BBEE0" w14:textId="77777777" w:rsidR="003C26CE" w:rsidRDefault="003C26CE" w:rsidP="00094679">
      <w:pPr>
        <w:pStyle w:val="Heading2"/>
      </w:pPr>
    </w:p>
    <w:p w14:paraId="3826665A" w14:textId="77777777" w:rsidR="00263C44" w:rsidRDefault="00263C44" w:rsidP="00263C44"/>
    <w:p w14:paraId="34314F68" w14:textId="77777777" w:rsidR="00263C44" w:rsidRDefault="00263C44" w:rsidP="00263C44"/>
    <w:p w14:paraId="62C011E9" w14:textId="77777777" w:rsidR="00263C44" w:rsidRDefault="00263C44" w:rsidP="00263C44"/>
    <w:p w14:paraId="7D7BFC45" w14:textId="77777777" w:rsidR="00263C44" w:rsidRDefault="00263C44" w:rsidP="00263C44"/>
    <w:p w14:paraId="1889E119" w14:textId="77777777" w:rsidR="00263C44" w:rsidRDefault="00263C44" w:rsidP="00263C44"/>
    <w:p w14:paraId="7C8D43A3" w14:textId="77777777" w:rsidR="00263C44" w:rsidRDefault="00263C44" w:rsidP="00263C44"/>
    <w:p w14:paraId="5268AFF6" w14:textId="77777777" w:rsidR="00263C44" w:rsidRDefault="00263C44" w:rsidP="00263C44"/>
    <w:p w14:paraId="15335200" w14:textId="77777777" w:rsidR="00263C44" w:rsidRDefault="00263C44" w:rsidP="00263C44"/>
    <w:p w14:paraId="6CDD9779" w14:textId="77777777" w:rsidR="00263C44" w:rsidRDefault="00263C44" w:rsidP="00263C44"/>
    <w:p w14:paraId="0C08F61F" w14:textId="77777777" w:rsidR="00263C44" w:rsidRPr="00263C44" w:rsidRDefault="00263C44" w:rsidP="00263C44"/>
    <w:p w14:paraId="4ED6ABCC" w14:textId="77777777" w:rsidR="00F20517" w:rsidRPr="00033E11" w:rsidRDefault="00EC7321" w:rsidP="00706D07">
      <w:pPr>
        <w:pStyle w:val="Heading2"/>
      </w:pPr>
      <w:bookmarkStart w:id="109" w:name="_Toc498505035"/>
      <w:r>
        <w:lastRenderedPageBreak/>
        <w:t>2.</w:t>
      </w:r>
      <w:r w:rsidR="00847DBF">
        <w:t>7</w:t>
      </w:r>
      <w:r w:rsidR="00EF724E">
        <w:t>.</w:t>
      </w:r>
      <w:r w:rsidR="00EF724E">
        <w:tab/>
      </w:r>
      <w:bookmarkEnd w:id="105"/>
      <w:bookmarkEnd w:id="106"/>
      <w:bookmarkEnd w:id="107"/>
      <w:bookmarkEnd w:id="108"/>
      <w:r w:rsidR="00DD07B7">
        <w:t>Appendix</w:t>
      </w:r>
      <w:bookmarkEnd w:id="109"/>
    </w:p>
    <w:p w14:paraId="1C899537" w14:textId="77777777" w:rsidR="00F20517" w:rsidRPr="00033E11" w:rsidRDefault="00F20517" w:rsidP="00F20517">
      <w:pPr>
        <w:pStyle w:val="NoSpacing"/>
        <w:jc w:val="center"/>
      </w:pPr>
      <w:r w:rsidRPr="00033E11">
        <w:rPr>
          <w:noProof/>
          <w:lang w:eastAsia="zh-CN" w:bidi="ar-SA"/>
        </w:rPr>
        <w:drawing>
          <wp:inline distT="0" distB="0" distL="0" distR="0" wp14:anchorId="24F02F72" wp14:editId="2D58F12C">
            <wp:extent cx="5029200" cy="726598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29200" cy="7265984"/>
                    </a:xfrm>
                    <a:prstGeom prst="rect">
                      <a:avLst/>
                    </a:prstGeom>
                    <a:noFill/>
                  </pic:spPr>
                </pic:pic>
              </a:graphicData>
            </a:graphic>
          </wp:inline>
        </w:drawing>
      </w:r>
    </w:p>
    <w:p w14:paraId="652E2C3B" w14:textId="77777777" w:rsidR="005857C4" w:rsidRDefault="005857C4" w:rsidP="00736D3D">
      <w:pPr>
        <w:sectPr w:rsidR="005857C4" w:rsidSect="004A396A">
          <w:type w:val="continuous"/>
          <w:pgSz w:w="12240" w:h="15840" w:code="1"/>
          <w:pgMar w:top="1440" w:right="1440" w:bottom="1440" w:left="1440" w:header="360" w:footer="360" w:gutter="0"/>
          <w:pgNumType w:start="1"/>
          <w:cols w:space="720"/>
          <w:docGrid w:linePitch="360"/>
        </w:sectPr>
      </w:pPr>
    </w:p>
    <w:p w14:paraId="3763B7B0" w14:textId="77777777" w:rsidR="00E94518" w:rsidRDefault="00A95724" w:rsidP="00A95724">
      <w:pPr>
        <w:pStyle w:val="Heading1"/>
      </w:pPr>
      <w:bookmarkStart w:id="110" w:name="_Toc498505036"/>
      <w:r w:rsidRPr="00A95724">
        <w:lastRenderedPageBreak/>
        <w:t xml:space="preserve">Push-pull tests for estimating effective porosity: expanded analytical solution and </w:t>
      </w:r>
      <w:r w:rsidR="00AF4FA9">
        <w:rPr>
          <w:i/>
          <w:iCs/>
        </w:rPr>
        <w:t>in situ</w:t>
      </w:r>
      <w:r w:rsidR="00AF4FA9">
        <w:t xml:space="preserve"> </w:t>
      </w:r>
      <w:r w:rsidRPr="00A95724">
        <w:t>application</w:t>
      </w:r>
      <w:bookmarkEnd w:id="110"/>
    </w:p>
    <w:p w14:paraId="078AB621" w14:textId="77777777" w:rsidR="00681BE7" w:rsidRPr="00681BE7" w:rsidRDefault="00681BE7" w:rsidP="00681BE7"/>
    <w:p w14:paraId="6F79C5A2" w14:textId="77777777" w:rsidR="00885A3D" w:rsidRDefault="00885A3D" w:rsidP="00E86F2F"/>
    <w:p w14:paraId="2D9FDA27" w14:textId="77777777" w:rsidR="00885A3D" w:rsidRDefault="00885A3D" w:rsidP="00E86F2F"/>
    <w:p w14:paraId="6880DF36" w14:textId="77777777" w:rsidR="00885A3D" w:rsidRDefault="00885A3D" w:rsidP="00E86F2F"/>
    <w:p w14:paraId="32FFFAAD" w14:textId="77777777" w:rsidR="00885A3D" w:rsidRDefault="00885A3D" w:rsidP="00E86F2F"/>
    <w:p w14:paraId="21409372" w14:textId="77777777" w:rsidR="00885A3D" w:rsidRDefault="00885A3D" w:rsidP="00E86F2F"/>
    <w:p w14:paraId="456532AA" w14:textId="77777777" w:rsidR="00885A3D" w:rsidRDefault="00885A3D" w:rsidP="00E86F2F"/>
    <w:p w14:paraId="56556AB7" w14:textId="77777777" w:rsidR="00885A3D" w:rsidRDefault="00885A3D" w:rsidP="00E86F2F"/>
    <w:p w14:paraId="25EBC8D9" w14:textId="77777777" w:rsidR="00885A3D" w:rsidRDefault="00885A3D" w:rsidP="00E86F2F"/>
    <w:p w14:paraId="6184E28E" w14:textId="77777777" w:rsidR="00885A3D" w:rsidRDefault="00885A3D" w:rsidP="00E86F2F"/>
    <w:p w14:paraId="41F4447E" w14:textId="77777777" w:rsidR="00885A3D" w:rsidRDefault="00885A3D" w:rsidP="00E86F2F"/>
    <w:p w14:paraId="52F4669F" w14:textId="77777777" w:rsidR="00885A3D" w:rsidRDefault="00885A3D" w:rsidP="00E86F2F"/>
    <w:p w14:paraId="0511BB3B" w14:textId="77777777" w:rsidR="00885A3D" w:rsidRDefault="00885A3D" w:rsidP="00E86F2F"/>
    <w:p w14:paraId="14487544" w14:textId="77777777" w:rsidR="00885A3D" w:rsidRDefault="00885A3D" w:rsidP="00E86F2F"/>
    <w:p w14:paraId="3AC77956" w14:textId="77777777" w:rsidR="00885A3D" w:rsidRDefault="00885A3D" w:rsidP="00E86F2F"/>
    <w:p w14:paraId="1186A499" w14:textId="77777777" w:rsidR="00885A3D" w:rsidRDefault="00885A3D" w:rsidP="00E86F2F"/>
    <w:p w14:paraId="75653894" w14:textId="77777777" w:rsidR="00885A3D" w:rsidRDefault="00885A3D" w:rsidP="00E86F2F"/>
    <w:p w14:paraId="47386C0B" w14:textId="77777777" w:rsidR="00885A3D" w:rsidRDefault="00885A3D" w:rsidP="00E86F2F"/>
    <w:p w14:paraId="5A95B996" w14:textId="77777777" w:rsidR="00885A3D" w:rsidRDefault="00885A3D" w:rsidP="00E86F2F"/>
    <w:p w14:paraId="3CFD964B" w14:textId="77777777" w:rsidR="00885A3D" w:rsidRDefault="00885A3D" w:rsidP="00E86F2F"/>
    <w:p w14:paraId="677B9D2D" w14:textId="77777777" w:rsidR="00885A3D" w:rsidRDefault="00885A3D" w:rsidP="00E86F2F"/>
    <w:p w14:paraId="0C49B0B3" w14:textId="77777777" w:rsidR="00E86F2F" w:rsidRDefault="00885A3D" w:rsidP="00E86F2F">
      <w:r>
        <w:lastRenderedPageBreak/>
        <w:t>C</w:t>
      </w:r>
      <w:r w:rsidR="00E86F2F">
        <w:t>hapter</w:t>
      </w:r>
      <w:r>
        <w:t xml:space="preserve"> 3</w:t>
      </w:r>
      <w:r w:rsidR="00E86F2F">
        <w:t xml:space="preserve"> </w:t>
      </w:r>
      <w:r w:rsidR="0099101B">
        <w:t>was published</w:t>
      </w:r>
      <w:r w:rsidR="00D04F4A">
        <w:t xml:space="preserve"> in </w:t>
      </w:r>
      <w:r w:rsidR="00681BE7">
        <w:t>Hydrogeology Journal.</w:t>
      </w:r>
    </w:p>
    <w:p w14:paraId="020C8558" w14:textId="77777777" w:rsidR="00681BE7" w:rsidRDefault="00681BE7" w:rsidP="00E86F2F"/>
    <w:p w14:paraId="35642AEE" w14:textId="77777777" w:rsidR="0084571E" w:rsidRDefault="0084571E" w:rsidP="0084571E">
      <w:pPr>
        <w:ind w:left="720" w:hanging="720"/>
      </w:pPr>
      <w:r>
        <w:t xml:space="preserve">Paradis, C. J., L. D. McKay, E. Perfect, J. D. Istok &amp; T. C. Hazen, 2017. Push-pull tests for estimating effective porosity: expanded analytical solution and </w:t>
      </w:r>
      <w:r w:rsidR="00AF4FA9">
        <w:rPr>
          <w:i/>
          <w:iCs/>
        </w:rPr>
        <w:t>in situ</w:t>
      </w:r>
      <w:r w:rsidR="00AF4FA9">
        <w:t xml:space="preserve"> </w:t>
      </w:r>
      <w:r>
        <w:t>application. Hydrogeology Journal doi:10.1007/s10040-017-1672-3.</w:t>
      </w:r>
    </w:p>
    <w:p w14:paraId="5ECFBB83" w14:textId="77777777" w:rsidR="0084571E" w:rsidRDefault="0084571E" w:rsidP="0084571E">
      <w:pPr>
        <w:ind w:left="720" w:hanging="720"/>
      </w:pPr>
    </w:p>
    <w:p w14:paraId="62597345" w14:textId="77777777" w:rsidR="00BD1FFF" w:rsidRDefault="00BD1FFF" w:rsidP="00BD1FFF">
      <w:pPr>
        <w:pStyle w:val="Caption"/>
      </w:pPr>
    </w:p>
    <w:p w14:paraId="1CA80060" w14:textId="77777777" w:rsidR="008E2B13" w:rsidRDefault="008E2B13" w:rsidP="00681BE7">
      <w:pPr>
        <w:pStyle w:val="Caption"/>
      </w:pPr>
    </w:p>
    <w:p w14:paraId="74232256" w14:textId="77777777" w:rsidR="000A3930" w:rsidRPr="000A3930" w:rsidRDefault="000A3930" w:rsidP="000A3930"/>
    <w:p w14:paraId="02E937AE" w14:textId="77777777" w:rsidR="001D704F" w:rsidRDefault="001D704F" w:rsidP="008E2B13"/>
    <w:p w14:paraId="4809BA32" w14:textId="77777777" w:rsidR="001D704F" w:rsidRDefault="001D704F" w:rsidP="008E2B13"/>
    <w:p w14:paraId="3838DB8C" w14:textId="77777777" w:rsidR="001D704F" w:rsidRDefault="001D704F" w:rsidP="008E2B13"/>
    <w:p w14:paraId="784B49FF" w14:textId="77777777" w:rsidR="001D704F" w:rsidRDefault="001D704F" w:rsidP="008E2B13"/>
    <w:p w14:paraId="7B62A80E" w14:textId="77777777" w:rsidR="001D704F" w:rsidRDefault="001D704F" w:rsidP="008E2B13"/>
    <w:p w14:paraId="12D61AFF" w14:textId="77777777" w:rsidR="001D704F" w:rsidRDefault="001D704F" w:rsidP="008E2B13"/>
    <w:p w14:paraId="3AD6707E" w14:textId="77777777" w:rsidR="001D704F" w:rsidRDefault="001D704F" w:rsidP="008E2B13"/>
    <w:p w14:paraId="4FA67308" w14:textId="77777777" w:rsidR="001D704F" w:rsidRDefault="001D704F" w:rsidP="008E2B13"/>
    <w:p w14:paraId="3F97CAE7" w14:textId="77777777" w:rsidR="001D704F" w:rsidRDefault="001D704F" w:rsidP="008E2B13"/>
    <w:p w14:paraId="3D4FE752" w14:textId="77777777" w:rsidR="001D704F" w:rsidRDefault="001D704F" w:rsidP="008E2B13"/>
    <w:p w14:paraId="3D6A01BE" w14:textId="77777777" w:rsidR="001D704F" w:rsidRDefault="001D704F" w:rsidP="008E2B13"/>
    <w:p w14:paraId="26D19E68" w14:textId="77777777" w:rsidR="00681BE7" w:rsidRDefault="00681BE7" w:rsidP="008E2B13"/>
    <w:p w14:paraId="52B6C117" w14:textId="77777777" w:rsidR="00885A3D" w:rsidRDefault="00885A3D" w:rsidP="008E2B13"/>
    <w:p w14:paraId="481A69DE" w14:textId="77777777" w:rsidR="00885A3D" w:rsidRPr="008E2B13" w:rsidRDefault="00885A3D" w:rsidP="008E2B13"/>
    <w:p w14:paraId="385C53AC" w14:textId="77777777" w:rsidR="00484761" w:rsidRDefault="000A3930" w:rsidP="00B42672">
      <w:pPr>
        <w:pStyle w:val="Heading2"/>
      </w:pPr>
      <w:bookmarkStart w:id="111" w:name="_Toc498505037"/>
      <w:r>
        <w:lastRenderedPageBreak/>
        <w:t>3.1.</w:t>
      </w:r>
      <w:r>
        <w:tab/>
      </w:r>
      <w:r w:rsidR="0026229C">
        <w:t>Abstract</w:t>
      </w:r>
      <w:bookmarkEnd w:id="111"/>
    </w:p>
    <w:p w14:paraId="4902C826" w14:textId="7C54D10B" w:rsidR="00C52EF9" w:rsidRDefault="00BF5EFF" w:rsidP="00C52EF9">
      <w:pPr>
        <w:tabs>
          <w:tab w:val="left" w:pos="1980"/>
        </w:tabs>
        <w:ind w:firstLine="720"/>
      </w:pPr>
      <w:r w:rsidRPr="00BF5EFF">
        <w:t xml:space="preserve">The analytical solution to describe the one-dimensional displacement of the center of mass of a tracer during an injection, drift, and extraction test (push-pull test) was expanded to account for displacement during the injection phase to improve the </w:t>
      </w:r>
      <w:proofErr w:type="gramStart"/>
      <w:r w:rsidR="00AF4FA9">
        <w:rPr>
          <w:i/>
          <w:iCs/>
        </w:rPr>
        <w:t>in situ</w:t>
      </w:r>
      <w:proofErr w:type="gramEnd"/>
      <w:r w:rsidR="00AF4FA9">
        <w:t xml:space="preserve"> </w:t>
      </w:r>
      <w:r w:rsidRPr="00BF5EFF">
        <w:t>estimation of effective porosity</w:t>
      </w:r>
      <w:r w:rsidR="000A5750">
        <w:t xml:space="preserve">. </w:t>
      </w:r>
      <w:r w:rsidRPr="00BF5EFF">
        <w:t>The truncated equation, which assumes displacement during the injection phase is negligible, may theoretically lead to an underestimation of the true value of effective porosity</w:t>
      </w:r>
      <w:r w:rsidR="000A5750">
        <w:t xml:space="preserve">. </w:t>
      </w:r>
      <w:proofErr w:type="gramStart"/>
      <w:r w:rsidRPr="00BF5EFF">
        <w:t>In order to</w:t>
      </w:r>
      <w:proofErr w:type="gramEnd"/>
      <w:r w:rsidRPr="00BF5EFF">
        <w:t xml:space="preserve"> experimentally compare the expanded and truncated equations, single-well push-pull tests were conducted among six test wells within a shallow and unconfined aquifer comprised of unconsolidated and heterogeneous silty and clayey fill materials</w:t>
      </w:r>
      <w:r w:rsidR="000A5750">
        <w:t xml:space="preserve">. </w:t>
      </w:r>
      <w:r w:rsidRPr="00BF5EFF">
        <w:t>The push-pull tests were conducted by injecting bromide tracer, followed by a non-pumping period, and subsequ</w:t>
      </w:r>
      <w:r w:rsidR="000A5750">
        <w:t xml:space="preserve">ent extraction of groundwater. </w:t>
      </w:r>
      <w:r w:rsidRPr="00BF5EFF">
        <w:t>The values of effective porosity from the expanded equation (0.6% to 5.0%) were substantially greater than those from the truncated equation (0.1% to 1.3%)</w:t>
      </w:r>
      <w:r w:rsidR="000A5750">
        <w:t xml:space="preserve">. </w:t>
      </w:r>
      <w:r w:rsidRPr="00BF5EFF">
        <w:t>The expanded and truncated equations were compared to data from previous push-pull studies in the literature and demonstrated that displacement during the injection phase may or may not be negligible, depending on the aquifer properties and the push-pull test parameters</w:t>
      </w:r>
      <w:r w:rsidR="000A5750">
        <w:t xml:space="preserve">. </w:t>
      </w:r>
      <w:r w:rsidRPr="00BF5EFF">
        <w:t>The results of the tests presented here also demonstrated that: (1) the spatial variability of effective porosity, within a relatively small study site, can be substantial and (2) the error-propagated uncertainty of effective porosity can be mitigated to a reasonable level (&lt; ± 1%)</w:t>
      </w:r>
      <w:r w:rsidR="000A5750">
        <w:t xml:space="preserve">. </w:t>
      </w:r>
      <w:r w:rsidRPr="00BF5EFF">
        <w:t xml:space="preserve">In conclusion, the expanded analytical solution improved the theoretical description of the displacement of a tracer during a push-pull test and the </w:t>
      </w:r>
      <w:proofErr w:type="gramStart"/>
      <w:r w:rsidR="00AF4FA9">
        <w:rPr>
          <w:i/>
          <w:iCs/>
        </w:rPr>
        <w:t>in situ</w:t>
      </w:r>
      <w:proofErr w:type="gramEnd"/>
      <w:r w:rsidR="00AF4FA9">
        <w:t xml:space="preserve"> </w:t>
      </w:r>
      <w:r w:rsidRPr="00BF5EFF">
        <w:t>application demonstrated an improvement for the estimation of effective porosity</w:t>
      </w:r>
      <w:r w:rsidR="000A5750">
        <w:t xml:space="preserve">. </w:t>
      </w:r>
    </w:p>
    <w:p w14:paraId="0AC52B68" w14:textId="77777777" w:rsidR="008E2B13" w:rsidRDefault="008E2B13" w:rsidP="008E2B13"/>
    <w:p w14:paraId="491EE0D7" w14:textId="77777777" w:rsidR="0036544C" w:rsidRPr="008E2B13" w:rsidRDefault="0036544C" w:rsidP="008E2B13"/>
    <w:p w14:paraId="40A46A74" w14:textId="77777777" w:rsidR="0026229C" w:rsidRDefault="000A3930" w:rsidP="0026229C">
      <w:pPr>
        <w:pStyle w:val="Heading2"/>
      </w:pPr>
      <w:bookmarkStart w:id="112" w:name="_Toc498505038"/>
      <w:r>
        <w:lastRenderedPageBreak/>
        <w:t>3.2.</w:t>
      </w:r>
      <w:r>
        <w:tab/>
      </w:r>
      <w:r w:rsidR="0026229C">
        <w:t>Introduction</w:t>
      </w:r>
      <w:bookmarkEnd w:id="112"/>
    </w:p>
    <w:p w14:paraId="7E94AF84" w14:textId="73A67039" w:rsidR="00BF5EFF" w:rsidRDefault="00BF5EFF" w:rsidP="00BF5EFF">
      <w:pPr>
        <w:ind w:firstLine="720"/>
      </w:pPr>
      <w:r>
        <w:t>The effective porosity of saturated porous media is a fundamental hydrogeological parameter for modeling the fate and transport of dissolved-phase contaminants in the subsurface</w:t>
      </w:r>
      <w:r w:rsidR="000A5750">
        <w:t xml:space="preserve">. </w:t>
      </w:r>
      <w:r>
        <w:t>Reliable modeling is highly dependent on accurate characterization of effective porosity</w:t>
      </w:r>
      <w:r w:rsidR="000A5750">
        <w:t xml:space="preserve">. </w:t>
      </w:r>
      <w:r>
        <w:t xml:space="preserve">Field-scale tracer-based methods are particularly attractive to estimate effective porosity because they directly measure the </w:t>
      </w:r>
      <w:proofErr w:type="gramStart"/>
      <w:r w:rsidR="00AF4FA9">
        <w:rPr>
          <w:i/>
          <w:iCs/>
        </w:rPr>
        <w:t>in situ</w:t>
      </w:r>
      <w:proofErr w:type="gramEnd"/>
      <w:r w:rsidR="00AF4FA9">
        <w:t xml:space="preserve"> </w:t>
      </w:r>
      <w:r>
        <w:t>transport of a dissolved-phase constituent</w:t>
      </w:r>
      <w:r w:rsidR="000A5750">
        <w:t xml:space="preserve">. </w:t>
      </w:r>
      <w:r>
        <w:t xml:space="preserve">The single-well push-pull test method has been developed to estimate effective porosity and has been successfully applied </w:t>
      </w:r>
      <w:r w:rsidR="00AF4FA9">
        <w:rPr>
          <w:i/>
          <w:iCs/>
        </w:rPr>
        <w:t>in situ</w:t>
      </w:r>
      <w:r w:rsidR="000A5750">
        <w:t xml:space="preserve">. </w:t>
      </w:r>
      <w:r>
        <w:t>However, the current analytical model assumes the transport of the tracer during the push phase is negligible, which may or may not be an appropriate assumption in all cases</w:t>
      </w:r>
      <w:r w:rsidR="000A5750">
        <w:t xml:space="preserve">. </w:t>
      </w:r>
      <w:r>
        <w:t>Theoretically, neglecting to account for the transport of the tracer during the push phase may lead to an underestimation of effective porosity</w:t>
      </w:r>
      <w:r w:rsidR="000A5750">
        <w:t xml:space="preserve">. </w:t>
      </w:r>
      <w:r>
        <w:t xml:space="preserve">In this study, the analytical solution to describe the displacement of a tracer during a push-pull test was expanded to account for the push phase and then applied </w:t>
      </w:r>
      <w:r w:rsidR="00AF4FA9">
        <w:rPr>
          <w:i/>
          <w:iCs/>
        </w:rPr>
        <w:t>in situ</w:t>
      </w:r>
      <w:r w:rsidR="00AF4FA9">
        <w:t xml:space="preserve"> </w:t>
      </w:r>
      <w:r>
        <w:t>to estimate the effective porosity among six test wells within a shallow and unconfined aquifer.</w:t>
      </w:r>
    </w:p>
    <w:p w14:paraId="291E50D1" w14:textId="486580A5" w:rsidR="00BF5EFF" w:rsidRDefault="00BF5EFF" w:rsidP="00BF5EFF">
      <w:pPr>
        <w:ind w:firstLine="720"/>
      </w:pPr>
      <w:r>
        <w:t>Effective porosity can be qualitatively defined as the volume of the void spaces through which water or other fluids can travel (by advection) in a rock or sediment divided by the total volume of the rock or sediment (Fetter 2001)</w:t>
      </w:r>
      <w:r w:rsidR="000A5750">
        <w:t xml:space="preserve">. </w:t>
      </w:r>
      <w:r>
        <w:t>Domenico and Schwartz (1998) explained that effective porosity implies some connectivity through the porous medium and is more closely related to permeability than is total porosity</w:t>
      </w:r>
      <w:r w:rsidR="000A5750">
        <w:t xml:space="preserve">. </w:t>
      </w:r>
      <w:r>
        <w:t>The definition and conceptualization of effective porosity has led to the use of more descriptive terms such as: mobile porosity, kinematic porosity, and dynamic porosity</w:t>
      </w:r>
      <w:r w:rsidR="000A5750">
        <w:t xml:space="preserve">. </w:t>
      </w:r>
      <w:r>
        <w:t>Determining the appropriate value of effective porosity for groundwater models can be challenging, due in part, to the spatial heterogeneity of porous media</w:t>
      </w:r>
      <w:r w:rsidR="000A5750">
        <w:t xml:space="preserve">. </w:t>
      </w:r>
      <w:r>
        <w:t xml:space="preserve">Field-scale tracer-based studies have shown that effective porosity in granular porous </w:t>
      </w:r>
      <w:r>
        <w:lastRenderedPageBreak/>
        <w:t>media can range from 40% (alluvial sediments; fine sands, and glacial till) to 0.4% (layered medium sand) and in fractured porous media from 60% (fractured dolomite and limestone) to 0.5% (fractured chalk) (Gelhar et al. 1992)</w:t>
      </w:r>
      <w:r w:rsidR="000A5750">
        <w:t xml:space="preserve">. </w:t>
      </w:r>
      <w:r>
        <w:t>There is also increasing evidence that effective porosity is dependent on the scale at which it is assessed, i.e., effective porosity tends to decrease with increasing scale (Li 1995; Stephens et al. 1998)</w:t>
      </w:r>
      <w:r w:rsidR="000A5750">
        <w:t xml:space="preserve">. </w:t>
      </w:r>
    </w:p>
    <w:p w14:paraId="0B0F3121" w14:textId="44385C0E" w:rsidR="00BF5EFF" w:rsidRDefault="00BF5EFF" w:rsidP="00BF5EFF">
      <w:pPr>
        <w:ind w:firstLine="720"/>
      </w:pPr>
      <w:r>
        <w:t>Methods to estimate effective porosity typically rely on calculating proxy parameters such as specific yield (</w:t>
      </w:r>
      <w:proofErr w:type="spellStart"/>
      <w:r>
        <w:t>Meinzer</w:t>
      </w:r>
      <w:proofErr w:type="spellEnd"/>
      <w:r>
        <w:t xml:space="preserve"> 1923a) or correlating grain-size distribution and soil-water characteristic curves to representative values of specific yield (</w:t>
      </w:r>
      <w:proofErr w:type="spellStart"/>
      <w:r>
        <w:t>Meinzer</w:t>
      </w:r>
      <w:proofErr w:type="spellEnd"/>
      <w:r>
        <w:t xml:space="preserve"> 1923b)</w:t>
      </w:r>
      <w:r w:rsidR="000A5750">
        <w:t xml:space="preserve">. </w:t>
      </w:r>
      <w:r>
        <w:t>Estimation-based methods have the disadvantage of being indirect but are relatively simple to conduct</w:t>
      </w:r>
      <w:r w:rsidR="000A5750">
        <w:t xml:space="preserve">. </w:t>
      </w:r>
      <w:r>
        <w:t>Methods to calculate effective porosity typically rely on conducting tracer-based tests and interpretation of subsequent breakthrough curves (Stephens et al. 1998)</w:t>
      </w:r>
      <w:r w:rsidR="000A5750">
        <w:t xml:space="preserve">. </w:t>
      </w:r>
      <w:r>
        <w:t>Tracer-based methods have the advantage of being direct but can be relatively difficult to conduct, especially at the field scale</w:t>
      </w:r>
      <w:r w:rsidR="000A5750">
        <w:t xml:space="preserve">. </w:t>
      </w:r>
      <w:r>
        <w:t>Moreover, the interpretation of breakthrough curves requires careful consideration of the properties of the tracer and the porous media</w:t>
      </w:r>
      <w:r w:rsidR="000A5750">
        <w:t xml:space="preserve">. </w:t>
      </w:r>
      <w:r>
        <w:t xml:space="preserve">For example, tracer mass transport mechanisms such as: (1) sorption to the porous media, (2) diffusion from mobile to immobile pore water, (3) volatilization to the unsaturated zone, and (4) degradation or transformation are not truly representative of the void spaces through which water can travel by advection, i.e., effective porosity (Davis et al. 1980; </w:t>
      </w:r>
      <w:proofErr w:type="spellStart"/>
      <w:r>
        <w:t>Turnadge</w:t>
      </w:r>
      <w:proofErr w:type="spellEnd"/>
      <w:r>
        <w:t xml:space="preserve"> and </w:t>
      </w:r>
      <w:proofErr w:type="spellStart"/>
      <w:r>
        <w:t>Smerdon</w:t>
      </w:r>
      <w:proofErr w:type="spellEnd"/>
      <w:r>
        <w:t xml:space="preserve"> 2014)</w:t>
      </w:r>
      <w:r w:rsidR="000A5750">
        <w:t xml:space="preserve">. </w:t>
      </w:r>
    </w:p>
    <w:p w14:paraId="60DC723D" w14:textId="738788F2" w:rsidR="00BF5EFF" w:rsidRDefault="00BF5EFF" w:rsidP="00BF5EFF">
      <w:r>
        <w:tab/>
        <w:t>Hall et al. (1991) developed a relatively simple tracer-based method to calculate effective porosity based on conducting and interpreting the data from a single-well push-pull test</w:t>
      </w:r>
      <w:r w:rsidR="000A5750">
        <w:t xml:space="preserve">. </w:t>
      </w:r>
      <w:r>
        <w:t xml:space="preserve">A single-well push-pull test is conducted by injecting (push phase) a volume of water containing a tracer into a single well, followed by a non-pumping period (drift phase), and subsequent extraction (pull phase) of groundwater from the same well </w:t>
      </w:r>
      <w:proofErr w:type="gramStart"/>
      <w:r>
        <w:t>in order to</w:t>
      </w:r>
      <w:proofErr w:type="gramEnd"/>
      <w:r>
        <w:t xml:space="preserve"> generate a breakthrough </w:t>
      </w:r>
      <w:r>
        <w:lastRenderedPageBreak/>
        <w:t>curve (Istok 2013)</w:t>
      </w:r>
      <w:r w:rsidR="000A5750">
        <w:t xml:space="preserve">. </w:t>
      </w:r>
      <w:r>
        <w:t>A single-well push-pull test has the threefold advantage of being direct, simple, and field scale</w:t>
      </w:r>
      <w:r w:rsidR="000A5750">
        <w:t xml:space="preserve">. </w:t>
      </w:r>
      <w:r>
        <w:t>The Hall et al. (1991) method was theoretically developed for a confined, homogeneous, and isotropic aquifer but was experimentally validated at the field scale in an unconfined, heterogeneous, and sandy aquifer</w:t>
      </w:r>
      <w:r w:rsidR="000A5750">
        <w:t xml:space="preserve">. </w:t>
      </w:r>
      <w:r>
        <w:t>Hall et al. (1991) compared the effective porosity calculated from a single-well push-pull test to a dual-well natural-gradient test and found that both tests yielded similar values</w:t>
      </w:r>
      <w:r w:rsidR="000A5750">
        <w:t xml:space="preserve">. </w:t>
      </w:r>
      <w:r>
        <w:t>However, the Hall et al. (1991) method assumed that: (1) the transport of the tracer during the push phase was negligible and (2) the uncertainty in the calculation of effective porosity was negligible</w:t>
      </w:r>
      <w:r w:rsidR="000A5750">
        <w:t xml:space="preserve">. </w:t>
      </w:r>
      <w:r>
        <w:t>Moreover, the Hall et al. (1991) application was limited to a single well</w:t>
      </w:r>
      <w:r w:rsidR="000A5750">
        <w:t xml:space="preserve">. </w:t>
      </w:r>
      <w:r>
        <w:t>Although the assumptions and spatially limited application by Hall et al. (1991) may have been valid and appropriate, respectively, in their case study, such assumptions and application may not be appropriate at other sites with variable aquifer properties, push-pull test parameters, and study objectives</w:t>
      </w:r>
      <w:r w:rsidR="000A5750">
        <w:t xml:space="preserve">. </w:t>
      </w:r>
    </w:p>
    <w:p w14:paraId="0417714B" w14:textId="4796A959" w:rsidR="009F0F14" w:rsidRDefault="00BF5EFF" w:rsidP="00BF5EFF">
      <w:r>
        <w:tab/>
        <w:t>The purpose of this study was to utilize the single-well push-pull test method to characterize the magnitude and spatial variability of effective porosity within an unconfined and uranium-contaminated aquifer</w:t>
      </w:r>
      <w:r w:rsidR="000A5750">
        <w:t xml:space="preserve">. </w:t>
      </w:r>
      <w:r>
        <w:t>The novelty of this study was threefold: (1) the expansion of the Hall et al. (1991) analytical solution to include the transport of the tracer during the push phase, (2) the performing of an uncertainty analysis for the calculation of effective porosity, and (3) the assessment of the spatial variability of effective porosity within a study site</w:t>
      </w:r>
      <w:r w:rsidR="000A5750">
        <w:t xml:space="preserve">. </w:t>
      </w:r>
    </w:p>
    <w:p w14:paraId="126209A3" w14:textId="77777777" w:rsidR="0026229C" w:rsidRDefault="008B40E1" w:rsidP="0026229C">
      <w:pPr>
        <w:pStyle w:val="Heading2"/>
      </w:pPr>
      <w:bookmarkStart w:id="113" w:name="_Toc498505039"/>
      <w:r>
        <w:t>3.3.</w:t>
      </w:r>
      <w:r>
        <w:tab/>
      </w:r>
      <w:r w:rsidR="0026229C">
        <w:t>Materials and methods</w:t>
      </w:r>
      <w:bookmarkEnd w:id="113"/>
    </w:p>
    <w:p w14:paraId="56187F51" w14:textId="77777777" w:rsidR="008F21E3" w:rsidRDefault="008F21E3" w:rsidP="008F21E3">
      <w:pPr>
        <w:pStyle w:val="Heading3"/>
      </w:pPr>
      <w:bookmarkStart w:id="114" w:name="_Toc498505040"/>
      <w:r>
        <w:t>3.3.1.</w:t>
      </w:r>
      <w:r>
        <w:tab/>
        <w:t>Theory</w:t>
      </w:r>
      <w:bookmarkEnd w:id="114"/>
    </w:p>
    <w:p w14:paraId="04D91CBF" w14:textId="77777777" w:rsidR="007D6E34" w:rsidRDefault="007D6E34" w:rsidP="007D6E34">
      <w:pPr>
        <w:ind w:firstLine="720"/>
      </w:pPr>
      <w:r w:rsidRPr="000941B8">
        <w:t>The volume of water injected into, or extracted from, an aquifer at a constant pumping rate, is given by:</w:t>
      </w:r>
    </w:p>
    <w:p w14:paraId="18308875" w14:textId="77777777" w:rsidR="007D6E34" w:rsidRPr="0009740A" w:rsidRDefault="00CA2C3C" w:rsidP="007D6E34">
      <m:oMathPara>
        <m:oMath>
          <m:eqArr>
            <m:eqArrPr>
              <m:maxDist m:val="1"/>
              <m:ctrlPr>
                <w:rPr>
                  <w:rFonts w:ascii="Cambria Math" w:hAnsi="Cambria Math" w:cs="Times New Roman"/>
                  <w:i/>
                </w:rPr>
              </m:ctrlPr>
            </m:eqArrPr>
            <m:e>
              <m:r>
                <m:rPr>
                  <m:sty m:val="p"/>
                </m:rPr>
                <w:rPr>
                  <w:rFonts w:ascii="Cambria Math" w:hAnsi="Cambria Math" w:cs="Times New Roman"/>
                </w:rPr>
                <m:t>V=</m:t>
              </m:r>
              <m:d>
                <m:dPr>
                  <m:begChr m:val="|"/>
                  <m:endChr m:val="|"/>
                  <m:ctrlPr>
                    <w:rPr>
                      <w:rFonts w:ascii="Cambria Math" w:hAnsi="Cambria Math" w:cs="Times New Roman"/>
                    </w:rPr>
                  </m:ctrlPr>
                </m:dPr>
                <m:e>
                  <m:r>
                    <m:rPr>
                      <m:sty m:val="p"/>
                    </m:rPr>
                    <w:rPr>
                      <w:rFonts w:ascii="Cambria Math" w:hAnsi="Cambria Math" w:cs="Times New Roman"/>
                    </w:rPr>
                    <m:t>Q</m:t>
                  </m:r>
                </m:e>
              </m:d>
              <m:r>
                <m:rPr>
                  <m:sty m:val="p"/>
                </m:rPr>
                <w:rPr>
                  <w:rFonts w:ascii="Cambria Math" w:hAnsi="Cambria Math" w:cs="Times New Roman"/>
                </w:rPr>
                <m:t>t</m:t>
              </m:r>
              <m:r>
                <w:rPr>
                  <w:rFonts w:ascii="Cambria Math" w:hAnsi="Cambria Math" w:cs="Times New Roman"/>
                </w:rPr>
                <m:t>#(</m:t>
              </m:r>
              <m:r>
                <m:rPr>
                  <m:sty m:val="p"/>
                </m:rPr>
                <w:rPr>
                  <w:rFonts w:ascii="Cambria Math" w:hAnsi="Cambria Math" w:cs="Times New Roman"/>
                </w:rPr>
                <m:t>1</m:t>
              </m:r>
              <m:r>
                <w:rPr>
                  <w:rFonts w:ascii="Cambria Math" w:hAnsi="Cambria Math" w:cs="Times New Roman"/>
                </w:rPr>
                <m:t>)</m:t>
              </m:r>
            </m:e>
          </m:eqArr>
        </m:oMath>
      </m:oMathPara>
    </w:p>
    <w:p w14:paraId="18EFA568" w14:textId="77777777" w:rsidR="007D6E34" w:rsidRDefault="007D6E34" w:rsidP="007D6E34">
      <w:r>
        <w:lastRenderedPageBreak/>
        <w:t>where:</w:t>
      </w:r>
    </w:p>
    <w:p w14:paraId="3CA94366" w14:textId="77777777" w:rsidR="007D6E34" w:rsidRDefault="007D6E34" w:rsidP="007D6E34">
      <w:r>
        <w:t>V = volume of water [L</w:t>
      </w:r>
      <w:r w:rsidRPr="001E17BB">
        <w:rPr>
          <w:vertAlign w:val="superscript"/>
        </w:rPr>
        <w:t>3</w:t>
      </w:r>
      <w:r>
        <w:t>]</w:t>
      </w:r>
    </w:p>
    <w:p w14:paraId="448B77DF" w14:textId="77777777" w:rsidR="007D6E34" w:rsidRDefault="007D6E34" w:rsidP="007D6E34">
      <w:r>
        <w:t>Q = constant pumping rate [L</w:t>
      </w:r>
      <w:r w:rsidRPr="001E17BB">
        <w:rPr>
          <w:vertAlign w:val="superscript"/>
        </w:rPr>
        <w:t>3</w:t>
      </w:r>
      <w:r>
        <w:t>/T]</w:t>
      </w:r>
    </w:p>
    <w:p w14:paraId="35827B5B" w14:textId="77777777" w:rsidR="007D6E34" w:rsidRDefault="007D6E34" w:rsidP="007D6E34">
      <w:r>
        <w:t>t = elapsed time during pumping [T]</w:t>
      </w:r>
    </w:p>
    <w:p w14:paraId="69C327A0" w14:textId="5CD7F564" w:rsidR="007D6E34" w:rsidRDefault="007D6E34" w:rsidP="007D6E34">
      <w:r>
        <w:t>By convention, the pumping rate (Q) is positive during injection and negative during extraction</w:t>
      </w:r>
      <w:r w:rsidR="000A5750">
        <w:t xml:space="preserve">. </w:t>
      </w:r>
      <w:r>
        <w:t xml:space="preserve">If the aquifer is confined, homogeneous, and isotropic, and if the ambient groundwater flow is negligible, the cylindrical volume of water injected into, or extracted from, a fully-penetrating well, is given by: </w:t>
      </w:r>
    </w:p>
    <w:p w14:paraId="7ED40F98" w14:textId="77777777" w:rsidR="007D6E34" w:rsidRPr="00AF4FA9" w:rsidRDefault="00CA2C3C" w:rsidP="007D6E34">
      <w:pPr>
        <w:rPr>
          <w:lang w:val="pt-BR"/>
        </w:rPr>
      </w:pPr>
      <m:oMathPara>
        <m:oMath>
          <m:eqArr>
            <m:eqArrPr>
              <m:maxDist m:val="1"/>
              <m:ctrlPr>
                <w:rPr>
                  <w:rFonts w:ascii="Cambria Math" w:hAnsi="Cambria Math" w:cs="Times New Roman"/>
                  <w:i/>
                </w:rPr>
              </m:ctrlPr>
            </m:eqArrPr>
            <m:e>
              <m:r>
                <m:rPr>
                  <m:sty m:val="p"/>
                </m:rPr>
                <w:rPr>
                  <w:rFonts w:ascii="Cambria Math" w:hAnsi="Cambria Math" w:cs="Times New Roman"/>
                  <w:lang w:val="pt-BR"/>
                </w:rPr>
                <m:t>V=</m:t>
              </m:r>
              <m:r>
                <m:rPr>
                  <m:sty m:val="p"/>
                </m:rPr>
                <w:rPr>
                  <w:rFonts w:ascii="Cambria Math" w:hAnsi="Cambria Math" w:cs="Times New Roman"/>
                </w:rPr>
                <m:t>π</m:t>
              </m:r>
              <m:sSup>
                <m:sSupPr>
                  <m:ctrlPr>
                    <w:rPr>
                      <w:rFonts w:ascii="Cambria Math" w:hAnsi="Cambria Math" w:cs="Times New Roman"/>
                    </w:rPr>
                  </m:ctrlPr>
                </m:sSupPr>
                <m:e>
                  <m:r>
                    <m:rPr>
                      <m:sty m:val="p"/>
                    </m:rPr>
                    <w:rPr>
                      <w:rFonts w:ascii="Cambria Math" w:hAnsi="Cambria Math" w:cs="Times New Roman"/>
                      <w:lang w:val="pt-BR"/>
                    </w:rPr>
                    <m:t>r</m:t>
                  </m:r>
                </m:e>
                <m:sup>
                  <m:r>
                    <m:rPr>
                      <m:sty m:val="p"/>
                    </m:rPr>
                    <w:rPr>
                      <w:rFonts w:ascii="Cambria Math" w:hAnsi="Cambria Math" w:cs="Times New Roman"/>
                      <w:lang w:val="pt-BR"/>
                    </w:rPr>
                    <m:t>2</m:t>
                  </m:r>
                </m:sup>
              </m:sSup>
              <m:r>
                <m:rPr>
                  <m:sty m:val="p"/>
                </m:rPr>
                <w:rPr>
                  <w:rFonts w:ascii="Cambria Math" w:hAnsi="Cambria Math" w:cs="Times New Roman"/>
                  <w:lang w:val="pt-BR"/>
                </w:rPr>
                <m:t>b</m:t>
              </m:r>
              <m:sSub>
                <m:sSubPr>
                  <m:ctrlPr>
                    <w:rPr>
                      <w:rFonts w:ascii="Cambria Math" w:hAnsi="Cambria Math" w:cs="Times New Roman"/>
                    </w:rPr>
                  </m:ctrlPr>
                </m:sSubPr>
                <m:e>
                  <m:r>
                    <m:rPr>
                      <m:sty m:val="p"/>
                    </m:rPr>
                    <w:rPr>
                      <w:rFonts w:ascii="Cambria Math" w:hAnsi="Cambria Math" w:cs="Times New Roman"/>
                      <w:lang w:val="pt-BR"/>
                    </w:rPr>
                    <m:t>n</m:t>
                  </m:r>
                </m:e>
                <m:sub>
                  <m:r>
                    <m:rPr>
                      <m:sty m:val="p"/>
                    </m:rPr>
                    <w:rPr>
                      <w:rFonts w:ascii="Cambria Math" w:hAnsi="Cambria Math" w:cs="Times New Roman"/>
                      <w:lang w:val="pt-BR"/>
                    </w:rPr>
                    <m:t>e</m:t>
                  </m:r>
                </m:sub>
              </m:sSub>
              <m:r>
                <w:rPr>
                  <w:rFonts w:ascii="Cambria Math" w:hAnsi="Cambria Math" w:cs="Times New Roman"/>
                  <w:lang w:val="pt-BR"/>
                </w:rPr>
                <m:t>#(</m:t>
              </m:r>
              <m:r>
                <m:rPr>
                  <m:sty m:val="p"/>
                </m:rPr>
                <w:rPr>
                  <w:rFonts w:ascii="Cambria Math" w:hAnsi="Cambria Math" w:cs="Times New Roman"/>
                  <w:lang w:val="pt-BR"/>
                </w:rPr>
                <m:t>2</m:t>
              </m:r>
              <m:r>
                <w:rPr>
                  <w:rFonts w:ascii="Cambria Math" w:hAnsi="Cambria Math" w:cs="Times New Roman"/>
                  <w:lang w:val="pt-BR"/>
                </w:rPr>
                <m:t>)</m:t>
              </m:r>
            </m:e>
          </m:eqArr>
        </m:oMath>
      </m:oMathPara>
    </w:p>
    <w:p w14:paraId="28673EB2" w14:textId="77777777" w:rsidR="007D6E34" w:rsidRPr="00AF4FA9" w:rsidRDefault="007D6E34" w:rsidP="007D6E34">
      <w:pPr>
        <w:rPr>
          <w:lang w:val="pt-BR"/>
        </w:rPr>
      </w:pPr>
      <w:r w:rsidRPr="00AF4FA9">
        <w:rPr>
          <w:lang w:val="pt-BR"/>
        </w:rPr>
        <w:t>where:</w:t>
      </w:r>
    </w:p>
    <w:p w14:paraId="1BDCEB8A" w14:textId="77777777" w:rsidR="007D6E34" w:rsidRDefault="007D6E34" w:rsidP="007D6E34">
      <w:r>
        <w:t>r = radius of water [L]</w:t>
      </w:r>
    </w:p>
    <w:p w14:paraId="0544BB71" w14:textId="77777777" w:rsidR="007D6E34" w:rsidRDefault="007D6E34" w:rsidP="007D6E34">
      <w:r>
        <w:t>b = saturated aquifer thickness [L]</w:t>
      </w:r>
    </w:p>
    <w:p w14:paraId="38D79B45" w14:textId="77777777" w:rsidR="007D6E34" w:rsidRPr="000231F6" w:rsidRDefault="007D6E34" w:rsidP="007D6E34">
      <w:r>
        <w:t>n</w:t>
      </w:r>
      <w:r w:rsidRPr="002B29EE">
        <w:rPr>
          <w:vertAlign w:val="subscript"/>
        </w:rPr>
        <w:t>e</w:t>
      </w:r>
      <w:r>
        <w:t xml:space="preserve"> = effective porosity [dimensionless]</w:t>
      </w:r>
    </w:p>
    <w:p w14:paraId="426C68E7" w14:textId="77777777" w:rsidR="007D6E34" w:rsidRDefault="007D6E34" w:rsidP="007D6E34">
      <w:r w:rsidRPr="000E64B1">
        <w:t xml:space="preserve">If the </w:t>
      </w:r>
      <w:r>
        <w:t>saturated aquifer thickness is constant, equating (1) and (2), and rearranging gives:</w:t>
      </w:r>
    </w:p>
    <w:p w14:paraId="540140A8" w14:textId="77777777" w:rsidR="007D6E34" w:rsidRPr="0009740A" w:rsidRDefault="00CA2C3C" w:rsidP="007D6E34">
      <m:oMathPara>
        <m:oMath>
          <m:eqArr>
            <m:eqArrPr>
              <m:maxDist m:val="1"/>
              <m:ctrlPr>
                <w:rPr>
                  <w:rFonts w:ascii="Cambria Math" w:hAnsi="Cambria Math" w:cs="Times New Roman"/>
                </w:rPr>
              </m:ctrlPr>
            </m:eqArrPr>
            <m:e>
              <m:r>
                <m:rPr>
                  <m:sty m:val="p"/>
                </m:rPr>
                <w:rPr>
                  <w:rFonts w:ascii="Cambria Math" w:hAnsi="Cambria Math" w:cs="Times New Roman"/>
                </w:rPr>
                <m:t>r=</m:t>
              </m:r>
              <m:sSup>
                <m:sSupPr>
                  <m:ctrlPr>
                    <w:rPr>
                      <w:rFonts w:ascii="Cambria Math" w:hAnsi="Cambria Math" w:cs="Times New Roman"/>
                    </w:rPr>
                  </m:ctrlPr>
                </m:sSupPr>
                <m:e>
                  <m:d>
                    <m:dPr>
                      <m:ctrlPr>
                        <w:rPr>
                          <w:rFonts w:ascii="Cambria Math" w:hAnsi="Cambria Math" w:cs="Times New Roman"/>
                        </w:rPr>
                      </m:ctrlPr>
                    </m:dPr>
                    <m:e>
                      <m:f>
                        <m:fPr>
                          <m:ctrlPr>
                            <w:rPr>
                              <w:rFonts w:ascii="Cambria Math" w:hAnsi="Cambria Math" w:cs="Times New Roman"/>
                            </w:rPr>
                          </m:ctrlPr>
                        </m:fPr>
                        <m:num>
                          <m:d>
                            <m:dPr>
                              <m:begChr m:val="|"/>
                              <m:endChr m:val="|"/>
                              <m:ctrlPr>
                                <w:rPr>
                                  <w:rFonts w:ascii="Cambria Math" w:hAnsi="Cambria Math" w:cs="Times New Roman"/>
                                </w:rPr>
                              </m:ctrlPr>
                            </m:dPr>
                            <m:e>
                              <m:r>
                                <m:rPr>
                                  <m:sty m:val="p"/>
                                </m:rPr>
                                <w:rPr>
                                  <w:rFonts w:ascii="Cambria Math" w:hAnsi="Cambria Math" w:cs="Times New Roman"/>
                                </w:rPr>
                                <m:t>Q</m:t>
                              </m:r>
                            </m:e>
                          </m:d>
                          <m:r>
                            <m:rPr>
                              <m:sty m:val="p"/>
                            </m:rPr>
                            <w:rPr>
                              <w:rFonts w:ascii="Cambria Math" w:hAnsi="Cambria Math" w:cs="Times New Roman"/>
                            </w:rPr>
                            <m:t>t</m:t>
                          </m:r>
                        </m:num>
                        <m:den>
                          <m:r>
                            <m:rPr>
                              <m:sty m:val="p"/>
                            </m:rPr>
                            <w:rPr>
                              <w:rFonts w:ascii="Cambria Math" w:hAnsi="Cambria Math" w:cs="Times New Roman"/>
                            </w:rPr>
                            <m:t>πb</m:t>
                          </m:r>
                          <m:sSub>
                            <m:sSubPr>
                              <m:ctrlPr>
                                <w:rPr>
                                  <w:rFonts w:ascii="Cambria Math" w:hAnsi="Cambria Math" w:cs="Times New Roman"/>
                                </w:rPr>
                              </m:ctrlPr>
                            </m:sSubPr>
                            <m:e>
                              <m:r>
                                <m:rPr>
                                  <m:sty m:val="p"/>
                                </m:rPr>
                                <w:rPr>
                                  <w:rFonts w:ascii="Cambria Math" w:hAnsi="Cambria Math" w:cs="Times New Roman"/>
                                </w:rPr>
                                <m:t>n</m:t>
                              </m:r>
                            </m:e>
                            <m:sub>
                              <m:r>
                                <m:rPr>
                                  <m:sty m:val="p"/>
                                </m:rPr>
                                <w:rPr>
                                  <w:rFonts w:ascii="Cambria Math" w:hAnsi="Cambria Math" w:cs="Times New Roman"/>
                                </w:rPr>
                                <m:t>e</m:t>
                              </m:r>
                            </m:sub>
                          </m:sSub>
                        </m:den>
                      </m:f>
                    </m:e>
                  </m:d>
                </m:e>
                <m:sup>
                  <m:f>
                    <m:fPr>
                      <m:type m:val="skw"/>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2</m:t>
                      </m:r>
                    </m:den>
                  </m:f>
                </m:sup>
              </m:sSup>
              <m:r>
                <w:rPr>
                  <w:rFonts w:ascii="Cambria Math" w:hAnsi="Cambria Math" w:cs="Times New Roman"/>
                </w:rPr>
                <m:t>#(3)</m:t>
              </m:r>
            </m:e>
          </m:eqArr>
        </m:oMath>
      </m:oMathPara>
    </w:p>
    <w:p w14:paraId="4F1A4599" w14:textId="77777777" w:rsidR="007D6E34" w:rsidRDefault="007D6E34" w:rsidP="007D6E34">
      <w:r>
        <w:t xml:space="preserve">Equation (3) describes the leading- or trailing-edge position of a particle of water within an expanding or contracting cylindrical volume of water as it is injected into, or extracted from, an aquifer. </w:t>
      </w:r>
    </w:p>
    <w:p w14:paraId="3DECCCE2" w14:textId="77777777" w:rsidR="007D6E34" w:rsidRDefault="007D6E34" w:rsidP="007D6E34">
      <w:r>
        <w:t>Darcy’s law can be written to include effective porosity as:</w:t>
      </w:r>
    </w:p>
    <w:p w14:paraId="407CCCD3" w14:textId="77777777" w:rsidR="007D6E34" w:rsidRPr="00AF4FA9" w:rsidRDefault="00CA2C3C" w:rsidP="007D6E34">
      <w:pPr>
        <w:rPr>
          <w:lang w:val="pt-BR"/>
        </w:rPr>
      </w:pPr>
      <m:oMathPara>
        <m:oMath>
          <m:eqArr>
            <m:eqArrPr>
              <m:maxDist m:val="1"/>
              <m:ctrlPr>
                <w:rPr>
                  <w:rFonts w:ascii="Cambria Math" w:hAnsi="Cambria Math" w:cs="Times New Roman"/>
                  <w:i/>
                </w:rPr>
              </m:ctrlPr>
            </m:eqArrPr>
            <m:e>
              <m:r>
                <m:rPr>
                  <m:sty m:val="p"/>
                </m:rPr>
                <w:rPr>
                  <w:rFonts w:ascii="Cambria Math" w:hAnsi="Cambria Math" w:cs="Times New Roman"/>
                  <w:lang w:val="pt-BR"/>
                </w:rPr>
                <m:t>v=</m:t>
              </m:r>
              <m:f>
                <m:fPr>
                  <m:ctrlPr>
                    <w:rPr>
                      <w:rFonts w:ascii="Cambria Math" w:hAnsi="Cambria Math" w:cs="Times New Roman"/>
                    </w:rPr>
                  </m:ctrlPr>
                </m:fPr>
                <m:num>
                  <m:r>
                    <m:rPr>
                      <m:sty m:val="p"/>
                    </m:rPr>
                    <w:rPr>
                      <w:rFonts w:ascii="Cambria Math" w:hAnsi="Cambria Math" w:cs="Times New Roman"/>
                      <w:lang w:val="pt-BR"/>
                    </w:rPr>
                    <m:t>-K</m:t>
                  </m:r>
                  <m:f>
                    <m:fPr>
                      <m:ctrlPr>
                        <w:rPr>
                          <w:rFonts w:ascii="Cambria Math" w:hAnsi="Cambria Math" w:cs="Times New Roman"/>
                        </w:rPr>
                      </m:ctrlPr>
                    </m:fPr>
                    <m:num>
                      <m:r>
                        <m:rPr>
                          <m:sty m:val="p"/>
                        </m:rPr>
                        <w:rPr>
                          <w:rFonts w:ascii="Cambria Math" w:hAnsi="Cambria Math" w:cs="Times New Roman"/>
                          <w:lang w:val="pt-BR"/>
                        </w:rPr>
                        <m:t>dh</m:t>
                      </m:r>
                    </m:num>
                    <m:den>
                      <m:r>
                        <m:rPr>
                          <m:sty m:val="p"/>
                        </m:rPr>
                        <w:rPr>
                          <w:rFonts w:ascii="Cambria Math" w:hAnsi="Cambria Math" w:cs="Times New Roman"/>
                          <w:lang w:val="pt-BR"/>
                        </w:rPr>
                        <m:t>dr</m:t>
                      </m:r>
                    </m:den>
                  </m:f>
                </m:num>
                <m:den>
                  <m:sSub>
                    <m:sSubPr>
                      <m:ctrlPr>
                        <w:rPr>
                          <w:rFonts w:ascii="Cambria Math" w:hAnsi="Cambria Math" w:cs="Times New Roman"/>
                        </w:rPr>
                      </m:ctrlPr>
                    </m:sSubPr>
                    <m:e>
                      <m:r>
                        <m:rPr>
                          <m:sty m:val="p"/>
                        </m:rPr>
                        <w:rPr>
                          <w:rFonts w:ascii="Cambria Math" w:hAnsi="Cambria Math" w:cs="Times New Roman"/>
                          <w:lang w:val="pt-BR"/>
                        </w:rPr>
                        <m:t>n</m:t>
                      </m:r>
                    </m:e>
                    <m:sub>
                      <m:r>
                        <m:rPr>
                          <m:sty m:val="p"/>
                        </m:rPr>
                        <w:rPr>
                          <w:rFonts w:ascii="Cambria Math" w:hAnsi="Cambria Math" w:cs="Times New Roman"/>
                          <w:lang w:val="pt-BR"/>
                        </w:rPr>
                        <m:t>e</m:t>
                      </m:r>
                    </m:sub>
                  </m:sSub>
                </m:den>
              </m:f>
              <m:r>
                <w:rPr>
                  <w:rFonts w:ascii="Cambria Math" w:hAnsi="Cambria Math" w:cs="Times New Roman"/>
                  <w:lang w:val="pt-BR"/>
                </w:rPr>
                <m:t>#(4)</m:t>
              </m:r>
            </m:e>
          </m:eqArr>
        </m:oMath>
      </m:oMathPara>
    </w:p>
    <w:p w14:paraId="0ECA8283" w14:textId="77777777" w:rsidR="007D6E34" w:rsidRPr="00AF4FA9" w:rsidRDefault="007D6E34" w:rsidP="007D6E34">
      <w:pPr>
        <w:rPr>
          <w:lang w:val="pt-BR"/>
        </w:rPr>
      </w:pPr>
      <w:r w:rsidRPr="00AF4FA9">
        <w:rPr>
          <w:lang w:val="pt-BR"/>
        </w:rPr>
        <w:t>where:</w:t>
      </w:r>
    </w:p>
    <w:p w14:paraId="09FD967D" w14:textId="77777777" w:rsidR="007D6E34" w:rsidRDefault="007D6E34" w:rsidP="007D6E34">
      <w:r>
        <w:t>v = average linear groundwater velocity [L/T]</w:t>
      </w:r>
    </w:p>
    <w:p w14:paraId="6082E40B" w14:textId="77777777" w:rsidR="007D6E34" w:rsidRDefault="007D6E34" w:rsidP="007D6E34">
      <w:r>
        <w:lastRenderedPageBreak/>
        <w:t>K = hydraulic conductivity [L/T]</w:t>
      </w:r>
    </w:p>
    <w:p w14:paraId="18736166" w14:textId="77777777" w:rsidR="007D6E34" w:rsidRDefault="007D6E34" w:rsidP="007D6E34">
      <w:r>
        <w:t>dh/dr = hydraulic gradient [L/L]</w:t>
      </w:r>
    </w:p>
    <w:p w14:paraId="1D6C5302" w14:textId="77777777" w:rsidR="007D6E34" w:rsidRDefault="007D6E34" w:rsidP="007D6E34">
      <w:r>
        <w:t xml:space="preserve">Equation (4) describes the average linear velocity of a particle of water within an aquifer due to ambient groundwater flow. </w:t>
      </w:r>
    </w:p>
    <w:p w14:paraId="5FB93C1B" w14:textId="77777777" w:rsidR="007D6E34" w:rsidRDefault="007D6E34" w:rsidP="007D6E34">
      <w:r>
        <w:t>Velocity, in general terms, is given by:</w:t>
      </w:r>
    </w:p>
    <w:p w14:paraId="6043C37B" w14:textId="77777777" w:rsidR="007D6E34" w:rsidRDefault="00CA2C3C" w:rsidP="007D6E34">
      <m:oMathPara>
        <m:oMath>
          <m:eqArr>
            <m:eqArrPr>
              <m:maxDist m:val="1"/>
              <m:ctrlPr>
                <w:rPr>
                  <w:rFonts w:ascii="Cambria Math" w:hAnsi="Cambria Math" w:cs="Times New Roman"/>
                  <w:i/>
                </w:rPr>
              </m:ctrlPr>
            </m:eqArrPr>
            <m:e>
              <m:r>
                <m:rPr>
                  <m:sty m:val="p"/>
                </m:rPr>
                <w:rPr>
                  <w:rFonts w:ascii="Cambria Math" w:hAnsi="Cambria Math" w:cs="Times New Roman"/>
                </w:rPr>
                <m:t>v=</m:t>
              </m:r>
              <m:f>
                <m:fPr>
                  <m:ctrlPr>
                    <w:rPr>
                      <w:rFonts w:ascii="Cambria Math" w:hAnsi="Cambria Math" w:cs="Times New Roman"/>
                    </w:rPr>
                  </m:ctrlPr>
                </m:fPr>
                <m:num>
                  <m:r>
                    <m:rPr>
                      <m:sty m:val="p"/>
                    </m:rPr>
                    <w:rPr>
                      <w:rFonts w:ascii="Cambria Math" w:hAnsi="Cambria Math" w:cs="Times New Roman"/>
                    </w:rPr>
                    <m:t>∆r</m:t>
                  </m:r>
                </m:num>
                <m:den>
                  <m:r>
                    <m:rPr>
                      <m:sty m:val="p"/>
                    </m:rPr>
                    <w:rPr>
                      <w:rFonts w:ascii="Cambria Math" w:hAnsi="Cambria Math" w:cs="Times New Roman"/>
                    </w:rPr>
                    <m:t>∆t</m:t>
                  </m:r>
                </m:den>
              </m:f>
              <m:r>
                <w:rPr>
                  <w:rFonts w:ascii="Cambria Math" w:hAnsi="Cambria Math" w:cs="Times New Roman"/>
                </w:rPr>
                <m:t>#(5)</m:t>
              </m:r>
            </m:e>
          </m:eqArr>
        </m:oMath>
      </m:oMathPara>
    </w:p>
    <w:p w14:paraId="22AF2033" w14:textId="77777777" w:rsidR="007D6E34" w:rsidRDefault="007D6E34" w:rsidP="007D6E34">
      <w:r>
        <w:t xml:space="preserve">where: </w:t>
      </w:r>
    </w:p>
    <w:p w14:paraId="33730830" w14:textId="77777777" w:rsidR="007D6E34" w:rsidRDefault="007D6E34" w:rsidP="007D6E34">
      <w:r>
        <w:rPr>
          <w:rFonts w:ascii="Calibri" w:hAnsi="Calibri"/>
        </w:rPr>
        <w:t>Δ</w:t>
      </w:r>
      <w:r>
        <w:t>r = traveled distance [L]</w:t>
      </w:r>
    </w:p>
    <w:p w14:paraId="5F0DF419" w14:textId="77777777" w:rsidR="007D6E34" w:rsidRDefault="007D6E34" w:rsidP="007D6E34">
      <w:r>
        <w:rPr>
          <w:rFonts w:ascii="Calibri" w:hAnsi="Calibri"/>
        </w:rPr>
        <w:t>Δ</w:t>
      </w:r>
      <w:r>
        <w:t>t = elapsed time [T]</w:t>
      </w:r>
    </w:p>
    <w:p w14:paraId="355A5B0B" w14:textId="77777777" w:rsidR="007D6E34" w:rsidRPr="000231F6" w:rsidRDefault="007D6E34" w:rsidP="007D6E34">
      <w:r>
        <w:t>Equation (5) can be rearranged to give:</w:t>
      </w:r>
    </w:p>
    <w:p w14:paraId="6663876A" w14:textId="77777777" w:rsidR="007D6E34" w:rsidRDefault="00CA2C3C" w:rsidP="007D6E34">
      <m:oMathPara>
        <m:oMath>
          <m:eqArr>
            <m:eqArrPr>
              <m:maxDist m:val="1"/>
              <m:ctrlPr>
                <w:rPr>
                  <w:rFonts w:ascii="Cambria Math" w:hAnsi="Cambria Math" w:cs="Times New Roman"/>
                  <w:i/>
                </w:rPr>
              </m:ctrlPr>
            </m:eqArrPr>
            <m:e>
              <m:r>
                <m:rPr>
                  <m:sty m:val="p"/>
                </m:rPr>
                <w:rPr>
                  <w:rFonts w:ascii="Cambria Math" w:hAnsi="Cambria Math" w:cs="Times New Roman"/>
                </w:rPr>
                <m:t>Δr=vΔt</m:t>
              </m:r>
              <m:r>
                <w:rPr>
                  <w:rFonts w:ascii="Cambria Math" w:hAnsi="Cambria Math" w:cs="Times New Roman"/>
                </w:rPr>
                <m:t>#(6)</m:t>
              </m:r>
            </m:e>
          </m:eqArr>
        </m:oMath>
      </m:oMathPara>
    </w:p>
    <w:p w14:paraId="134EE638" w14:textId="580DFDB5" w:rsidR="007D6E34" w:rsidRPr="000231F6" w:rsidRDefault="007D6E34" w:rsidP="007D6E34">
      <w:r>
        <w:t>Equation (6) describes the average position of a particle of water within an aquifer due to ambient groundwater flow</w:t>
      </w:r>
      <w:r w:rsidR="000A5750">
        <w:t xml:space="preserve">. </w:t>
      </w:r>
      <w:r>
        <w:t>The one-dimensional displacement of the center of mass of a tracer, after completion of the injection, drift, and extraction phases of a push-pull test, is zero (</w:t>
      </w:r>
      <w:r w:rsidR="00751945">
        <w:fldChar w:fldCharType="begin"/>
      </w:r>
      <w:r w:rsidR="00751945">
        <w:instrText xml:space="preserve"> REF _Ref486654855 \h </w:instrText>
      </w:r>
      <w:r w:rsidR="00751945">
        <w:fldChar w:fldCharType="separate"/>
      </w:r>
      <w:r w:rsidR="001175BB">
        <w:t xml:space="preserve">Figure </w:t>
      </w:r>
      <w:r w:rsidR="001175BB">
        <w:rPr>
          <w:noProof/>
        </w:rPr>
        <w:t>3</w:t>
      </w:r>
      <w:r w:rsidR="001175BB">
        <w:t>.</w:t>
      </w:r>
      <w:r w:rsidR="001175BB">
        <w:rPr>
          <w:noProof/>
        </w:rPr>
        <w:t>1</w:t>
      </w:r>
      <w:r w:rsidR="00751945">
        <w:fldChar w:fldCharType="end"/>
      </w:r>
      <w:r>
        <w:t>)</w:t>
      </w:r>
      <w:r w:rsidR="000A5750">
        <w:t xml:space="preserve">. </w:t>
      </w:r>
      <w:r>
        <w:t>The displacement of the center of mass of the tracer is given by:</w:t>
      </w:r>
    </w:p>
    <w:p w14:paraId="54E2BDB8" w14:textId="77777777" w:rsidR="007D6E34" w:rsidRDefault="00CA2C3C" w:rsidP="007D6E34">
      <m:oMathPara>
        <m:oMath>
          <m:eqArr>
            <m:eqArrPr>
              <m:maxDist m:val="1"/>
              <m:ctrlPr>
                <w:rPr>
                  <w:rFonts w:ascii="Cambria Math" w:hAnsi="Cambria Math" w:cs="Times New Roman"/>
                  <w:i/>
                </w:rPr>
              </m:ctrlPr>
            </m:eqArrPr>
            <m:e>
              <m:sSub>
                <m:sSubPr>
                  <m:ctrlPr>
                    <w:rPr>
                      <w:rFonts w:ascii="Cambria Math" w:hAnsi="Cambria Math" w:cs="Times New Roman"/>
                    </w:rPr>
                  </m:ctrlPr>
                </m:sSubPr>
                <m:e>
                  <m:r>
                    <m:rPr>
                      <m:sty m:val="p"/>
                    </m:rPr>
                    <w:rPr>
                      <w:rFonts w:ascii="Cambria Math" w:hAnsi="Cambria Math" w:cs="Times New Roman"/>
                    </w:rPr>
                    <m:t>r</m:t>
                  </m:r>
                </m:e>
                <m:sub>
                  <m:r>
                    <m:rPr>
                      <m:sty m:val="p"/>
                    </m:rPr>
                    <w:rPr>
                      <w:rFonts w:ascii="Cambria Math" w:hAnsi="Cambria Math" w:cs="Times New Roman"/>
                    </w:rPr>
                    <m:t>1</m:t>
                  </m:r>
                </m:sub>
              </m:sSub>
              <m:r>
                <m:rPr>
                  <m:sty m:val="p"/>
                </m:rPr>
                <w:rPr>
                  <w:rFonts w:ascii="Cambria Math" w:hAnsi="Cambria Math" w:cs="Times New Roman"/>
                </w:rPr>
                <m:t xml:space="preserve"> </m:t>
              </m:r>
              <m:sSub>
                <m:sSubPr>
                  <m:ctrlPr>
                    <w:rPr>
                      <w:rFonts w:ascii="Cambria Math" w:hAnsi="Cambria Math" w:cs="Times New Roman"/>
                    </w:rPr>
                  </m:ctrlPr>
                </m:sSubPr>
                <m:e>
                  <m:r>
                    <m:rPr>
                      <m:sty m:val="p"/>
                    </m:rPr>
                    <w:rPr>
                      <w:rFonts w:ascii="Cambria Math" w:hAnsi="Cambria Math" w:cs="Times New Roman"/>
                    </w:rPr>
                    <m:t>+ r</m:t>
                  </m:r>
                </m:e>
                <m:sub>
                  <m:r>
                    <m:rPr>
                      <m:sty m:val="p"/>
                    </m:rPr>
                    <w:rPr>
                      <w:rFonts w:ascii="Cambria Math" w:hAnsi="Cambria Math" w:cs="Times New Roman"/>
                    </w:rPr>
                    <m:t>2</m:t>
                  </m:r>
                </m:sub>
              </m:sSub>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r</m:t>
                  </m:r>
                </m:e>
                <m:sub>
                  <m:r>
                    <m:rPr>
                      <m:sty m:val="p"/>
                    </m:rPr>
                    <w:rPr>
                      <w:rFonts w:ascii="Cambria Math" w:hAnsi="Cambria Math" w:cs="Times New Roman"/>
                    </w:rPr>
                    <m:t>3</m:t>
                  </m:r>
                </m:sub>
              </m:sSub>
              <m:r>
                <m:rPr>
                  <m:sty m:val="p"/>
                </m:rPr>
                <w:rPr>
                  <w:rFonts w:ascii="Cambria Math" w:hAnsi="Cambria Math" w:cs="Times New Roman"/>
                </w:rPr>
                <m:t>=0</m:t>
              </m:r>
              <m:r>
                <w:rPr>
                  <w:rFonts w:ascii="Cambria Math" w:hAnsi="Cambria Math" w:cs="Times New Roman"/>
                </w:rPr>
                <m:t>#(7)</m:t>
              </m:r>
            </m:e>
          </m:eqArr>
        </m:oMath>
      </m:oMathPara>
    </w:p>
    <w:p w14:paraId="199531B5" w14:textId="77777777" w:rsidR="007D6E34" w:rsidRDefault="007D6E34" w:rsidP="007D6E34">
      <w:r>
        <w:t xml:space="preserve">where: </w:t>
      </w:r>
    </w:p>
    <w:p w14:paraId="0BA0BBE2" w14:textId="77777777" w:rsidR="007D6E34" w:rsidRDefault="007D6E34" w:rsidP="007D6E34">
      <w:r>
        <w:t>r</w:t>
      </w:r>
      <w:r w:rsidRPr="00840CAF">
        <w:rPr>
          <w:vertAlign w:val="subscript"/>
        </w:rPr>
        <w:t>1</w:t>
      </w:r>
      <w:r>
        <w:t xml:space="preserve"> = displacement during injection [L]</w:t>
      </w:r>
    </w:p>
    <w:p w14:paraId="30547963" w14:textId="77777777" w:rsidR="007D6E34" w:rsidRDefault="007D6E34" w:rsidP="007D6E34">
      <w:pPr>
        <w:rPr>
          <w:b/>
        </w:rPr>
      </w:pPr>
      <w:r w:rsidRPr="00840CAF">
        <w:t>r</w:t>
      </w:r>
      <w:r w:rsidRPr="00840CAF">
        <w:rPr>
          <w:vertAlign w:val="subscript"/>
        </w:rPr>
        <w:t>2</w:t>
      </w:r>
      <w:r>
        <w:t xml:space="preserve"> = displacement during drift [L]</w:t>
      </w:r>
    </w:p>
    <w:p w14:paraId="33C18BDB" w14:textId="77777777" w:rsidR="007D6E34" w:rsidRDefault="007D6E34" w:rsidP="007D6E34">
      <w:r w:rsidRPr="00840CAF">
        <w:t>r</w:t>
      </w:r>
      <w:r>
        <w:rPr>
          <w:vertAlign w:val="subscript"/>
        </w:rPr>
        <w:t>3</w:t>
      </w:r>
      <w:r>
        <w:t xml:space="preserve"> = displacement during extraction [L]</w:t>
      </w:r>
    </w:p>
    <w:p w14:paraId="231F0F93" w14:textId="77777777" w:rsidR="007D6E34" w:rsidRDefault="007D6E34" w:rsidP="007D6E34"/>
    <w:p w14:paraId="79A54B06" w14:textId="77777777" w:rsidR="007D6E34" w:rsidRDefault="007D6E34" w:rsidP="007D6E34"/>
    <w:p w14:paraId="553C101A" w14:textId="77777777" w:rsidR="007D6E34" w:rsidRPr="001A1BB1" w:rsidRDefault="007D6E34" w:rsidP="007D6E34"/>
    <w:p w14:paraId="7C429713" w14:textId="77777777" w:rsidR="007D6E34" w:rsidRDefault="007D6E34" w:rsidP="007D6E34">
      <w:pPr>
        <w:rPr>
          <w:b/>
        </w:rPr>
      </w:pPr>
      <w:r>
        <w:rPr>
          <w:b/>
          <w:noProof/>
          <w:lang w:eastAsia="zh-CN" w:bidi="ar-SA"/>
        </w:rPr>
        <w:lastRenderedPageBreak/>
        <w:drawing>
          <wp:inline distT="0" distB="0" distL="0" distR="0" wp14:anchorId="4828E6C5" wp14:editId="6429FFD6">
            <wp:extent cx="5943600" cy="2033857"/>
            <wp:effectExtent l="0" t="0" r="0" b="508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033857"/>
                    </a:xfrm>
                    <a:prstGeom prst="rect">
                      <a:avLst/>
                    </a:prstGeom>
                    <a:noFill/>
                  </pic:spPr>
                </pic:pic>
              </a:graphicData>
            </a:graphic>
          </wp:inline>
        </w:drawing>
      </w:r>
    </w:p>
    <w:p w14:paraId="21AAA7BE" w14:textId="77777777" w:rsidR="007D6E34" w:rsidRDefault="00C9514C" w:rsidP="00C9514C">
      <w:pPr>
        <w:pStyle w:val="Caption"/>
      </w:pPr>
      <w:bookmarkStart w:id="115" w:name="_Ref486654855"/>
      <w:bookmarkStart w:id="116" w:name="_Ref486654846"/>
      <w:bookmarkStart w:id="117" w:name="_Toc498504895"/>
      <w:r>
        <w:t xml:space="preserve">Figure </w:t>
      </w:r>
      <w:r w:rsidR="00CA2C3C">
        <w:fldChar w:fldCharType="begin"/>
      </w:r>
      <w:r w:rsidR="00CA2C3C">
        <w:instrText xml:space="preserve"> STYLEREF 1 \s </w:instrText>
      </w:r>
      <w:r w:rsidR="00CA2C3C">
        <w:fldChar w:fldCharType="separate"/>
      </w:r>
      <w:r w:rsidR="00E70E91">
        <w:rPr>
          <w:noProof/>
        </w:rPr>
        <w:t>3</w:t>
      </w:r>
      <w:r w:rsidR="00CA2C3C">
        <w:rPr>
          <w:noProof/>
        </w:rPr>
        <w:fldChar w:fldCharType="end"/>
      </w:r>
      <w:r w:rsidR="00E70E91">
        <w:t>.</w:t>
      </w:r>
      <w:r w:rsidR="00CA2C3C">
        <w:fldChar w:fldCharType="begin"/>
      </w:r>
      <w:r w:rsidR="00CA2C3C">
        <w:instrText xml:space="preserve"> SEQ Figure \* ARABIC \s 1 </w:instrText>
      </w:r>
      <w:r w:rsidR="00CA2C3C">
        <w:fldChar w:fldCharType="separate"/>
      </w:r>
      <w:r w:rsidR="00E70E91">
        <w:rPr>
          <w:noProof/>
        </w:rPr>
        <w:t>1</w:t>
      </w:r>
      <w:r w:rsidR="00CA2C3C">
        <w:rPr>
          <w:noProof/>
        </w:rPr>
        <w:fldChar w:fldCharType="end"/>
      </w:r>
      <w:bookmarkEnd w:id="115"/>
      <w:r>
        <w:t xml:space="preserve"> </w:t>
      </w:r>
      <w:r w:rsidR="007D6E34" w:rsidRPr="00C9514C">
        <w:rPr>
          <w:b w:val="0"/>
        </w:rPr>
        <w:t>Plan-view depiction of the center of mass of a tracer at the end of the injection (1), drift (2), and extraction (3) phases, r</w:t>
      </w:r>
      <w:r w:rsidR="00C92633">
        <w:rPr>
          <w:b w:val="0"/>
          <w:vertAlign w:val="subscript"/>
        </w:rPr>
        <w:t>i</w:t>
      </w:r>
      <w:r w:rsidR="007D6E34" w:rsidRPr="00C9514C">
        <w:rPr>
          <w:b w:val="0"/>
        </w:rPr>
        <w:t xml:space="preserve"> = displacement due to injection, </w:t>
      </w:r>
      <w:proofErr w:type="spellStart"/>
      <w:r w:rsidR="007D6E34" w:rsidRPr="00C9514C">
        <w:rPr>
          <w:b w:val="0"/>
        </w:rPr>
        <w:t>r</w:t>
      </w:r>
      <w:r w:rsidR="007D6E34" w:rsidRPr="00C92633">
        <w:rPr>
          <w:b w:val="0"/>
          <w:vertAlign w:val="subscript"/>
        </w:rPr>
        <w:t>a</w:t>
      </w:r>
      <w:proofErr w:type="spellEnd"/>
      <w:r w:rsidR="007D6E34" w:rsidRPr="00C9514C">
        <w:rPr>
          <w:b w:val="0"/>
        </w:rPr>
        <w:t xml:space="preserve"> = displacement due to ambient groundwater flow, r</w:t>
      </w:r>
      <w:r w:rsidR="007D6E34" w:rsidRPr="00C92633">
        <w:rPr>
          <w:b w:val="0"/>
          <w:vertAlign w:val="subscript"/>
        </w:rPr>
        <w:t>e</w:t>
      </w:r>
      <w:r w:rsidR="007D6E34" w:rsidRPr="00C9514C">
        <w:rPr>
          <w:b w:val="0"/>
        </w:rPr>
        <w:t xml:space="preserve"> = displacement due to extraction</w:t>
      </w:r>
      <w:bookmarkEnd w:id="116"/>
      <w:bookmarkEnd w:id="117"/>
    </w:p>
    <w:p w14:paraId="2AF1F6F8" w14:textId="77777777" w:rsidR="007D6E34" w:rsidRDefault="007D6E34" w:rsidP="007D6E34"/>
    <w:p w14:paraId="1F9C64DB" w14:textId="77777777" w:rsidR="007D6E34" w:rsidRDefault="007D6E34" w:rsidP="007D6E34"/>
    <w:p w14:paraId="4DD5FA74" w14:textId="77777777" w:rsidR="007D6E34" w:rsidRDefault="007D6E34" w:rsidP="007D6E34"/>
    <w:p w14:paraId="24F60644" w14:textId="77777777" w:rsidR="007D6E34" w:rsidRDefault="007D6E34" w:rsidP="007D6E34"/>
    <w:p w14:paraId="0D5B152E" w14:textId="77777777" w:rsidR="007D6E34" w:rsidRDefault="007D6E34" w:rsidP="007D6E34"/>
    <w:p w14:paraId="7A483B35" w14:textId="77777777" w:rsidR="007D6E34" w:rsidRDefault="007D6E34" w:rsidP="007D6E34"/>
    <w:p w14:paraId="4014549E" w14:textId="77777777" w:rsidR="007D6E34" w:rsidRDefault="007D6E34" w:rsidP="007D6E34"/>
    <w:p w14:paraId="66FF0EAF" w14:textId="77777777" w:rsidR="007D6E34" w:rsidRDefault="007D6E34" w:rsidP="007D6E34"/>
    <w:p w14:paraId="61E32EE2" w14:textId="77777777" w:rsidR="007D6E34" w:rsidRDefault="007D6E34" w:rsidP="007D6E34"/>
    <w:p w14:paraId="638A6FBD" w14:textId="77777777" w:rsidR="007D6E34" w:rsidRDefault="007D6E34" w:rsidP="007D6E34"/>
    <w:p w14:paraId="50ED851E" w14:textId="77777777" w:rsidR="007D6E34" w:rsidRDefault="007D6E34" w:rsidP="007D6E34"/>
    <w:p w14:paraId="4318B979" w14:textId="77777777" w:rsidR="007D6E34" w:rsidRDefault="007D6E34" w:rsidP="007D6E34"/>
    <w:p w14:paraId="26902E2D" w14:textId="77777777" w:rsidR="007D6E34" w:rsidRDefault="007D6E34" w:rsidP="007D6E34"/>
    <w:p w14:paraId="04483850" w14:textId="219D304E" w:rsidR="007D6E34" w:rsidRPr="00001CAA" w:rsidRDefault="007D6E34" w:rsidP="007D6E34">
      <w:r>
        <w:lastRenderedPageBreak/>
        <w:t>The displacement of the tracer during: (1) the injection phase, is due to injection pumping (r</w:t>
      </w:r>
      <w:r w:rsidRPr="00001CAA">
        <w:rPr>
          <w:vertAlign w:val="subscript"/>
        </w:rPr>
        <w:t>i</w:t>
      </w:r>
      <w:r>
        <w:t>) and ambient groundwater flow (r</w:t>
      </w:r>
      <w:r w:rsidRPr="00001CAA">
        <w:rPr>
          <w:vertAlign w:val="subscript"/>
        </w:rPr>
        <w:t>a1</w:t>
      </w:r>
      <w:r>
        <w:t>), (2) the drift phase, is due to ambient groundwater flow (r</w:t>
      </w:r>
      <w:r w:rsidRPr="00001CAA">
        <w:rPr>
          <w:vertAlign w:val="subscript"/>
        </w:rPr>
        <w:t>a</w:t>
      </w:r>
      <w:r>
        <w:rPr>
          <w:vertAlign w:val="subscript"/>
        </w:rPr>
        <w:t>2</w:t>
      </w:r>
      <w:r>
        <w:t>), and (3) the extraction phase, is due to extraction pumping (-r</w:t>
      </w:r>
      <w:r>
        <w:rPr>
          <w:vertAlign w:val="subscript"/>
        </w:rPr>
        <w:t>e</w:t>
      </w:r>
      <w:r>
        <w:t>) and ambient groundwater flow (r</w:t>
      </w:r>
      <w:r w:rsidRPr="00001CAA">
        <w:rPr>
          <w:vertAlign w:val="subscript"/>
        </w:rPr>
        <w:t>a</w:t>
      </w:r>
      <w:r>
        <w:rPr>
          <w:vertAlign w:val="subscript"/>
        </w:rPr>
        <w:t>3</w:t>
      </w:r>
      <w:r>
        <w:t>) (</w:t>
      </w:r>
      <w:r w:rsidR="00323C63">
        <w:fldChar w:fldCharType="begin"/>
      </w:r>
      <w:r w:rsidR="00323C63">
        <w:instrText xml:space="preserve"> REF _Ref486654855 \h </w:instrText>
      </w:r>
      <w:r w:rsidR="00323C63">
        <w:fldChar w:fldCharType="separate"/>
      </w:r>
      <w:r w:rsidR="001175BB">
        <w:t xml:space="preserve">Figure </w:t>
      </w:r>
      <w:r w:rsidR="001175BB">
        <w:rPr>
          <w:noProof/>
        </w:rPr>
        <w:t>3</w:t>
      </w:r>
      <w:r w:rsidR="001175BB">
        <w:t>.</w:t>
      </w:r>
      <w:r w:rsidR="001175BB">
        <w:rPr>
          <w:noProof/>
        </w:rPr>
        <w:t>1</w:t>
      </w:r>
      <w:r w:rsidR="00323C63">
        <w:fldChar w:fldCharType="end"/>
      </w:r>
      <w:r>
        <w:t>)</w:t>
      </w:r>
      <w:r w:rsidR="000A5750">
        <w:t xml:space="preserve">. </w:t>
      </w:r>
      <w:r>
        <w:t xml:space="preserve">The components of the displacement of the center of mass of the tracer during the push-pull test can be substituted in equation (7) to give: </w:t>
      </w:r>
    </w:p>
    <w:p w14:paraId="61A4FEDF" w14:textId="77777777" w:rsidR="007D6E34" w:rsidRPr="00AF4FA9" w:rsidRDefault="00CA2C3C" w:rsidP="007D6E34">
      <w:pPr>
        <w:rPr>
          <w:lang w:val="pt-BR"/>
        </w:rPr>
      </w:pPr>
      <m:oMathPara>
        <m:oMath>
          <m:eqArr>
            <m:eqArrPr>
              <m:maxDist m:val="1"/>
              <m:ctrlPr>
                <w:rPr>
                  <w:rFonts w:ascii="Cambria Math" w:hAnsi="Cambria Math" w:cs="Times New Roman"/>
                  <w:i/>
                </w:rPr>
              </m:ctrlPr>
            </m:eqArrPr>
            <m:e>
              <m:d>
                <m:dPr>
                  <m:ctrlPr>
                    <w:rPr>
                      <w:rFonts w:ascii="Cambria Math" w:hAnsi="Cambria Math" w:cs="Times New Roman"/>
                    </w:rPr>
                  </m:ctrlPr>
                </m:dPr>
                <m:e>
                  <m:sSub>
                    <m:sSubPr>
                      <m:ctrlPr>
                        <w:rPr>
                          <w:rFonts w:ascii="Cambria Math" w:hAnsi="Cambria Math" w:cs="Times New Roman"/>
                        </w:rPr>
                      </m:ctrlPr>
                    </m:sSubPr>
                    <m:e>
                      <m:r>
                        <m:rPr>
                          <m:sty m:val="p"/>
                        </m:rPr>
                        <w:rPr>
                          <w:rFonts w:ascii="Cambria Math" w:hAnsi="Cambria Math" w:cs="Times New Roman"/>
                          <w:lang w:val="pt-BR"/>
                        </w:rPr>
                        <m:t>r</m:t>
                      </m:r>
                    </m:e>
                    <m:sub>
                      <m:r>
                        <m:rPr>
                          <m:sty m:val="p"/>
                        </m:rPr>
                        <w:rPr>
                          <w:rFonts w:ascii="Cambria Math" w:hAnsi="Cambria Math" w:cs="Times New Roman"/>
                          <w:lang w:val="pt-BR"/>
                        </w:rPr>
                        <m:t>i</m:t>
                      </m:r>
                    </m:sub>
                  </m:sSub>
                  <m:sSub>
                    <m:sSubPr>
                      <m:ctrlPr>
                        <w:rPr>
                          <w:rFonts w:ascii="Cambria Math" w:hAnsi="Cambria Math" w:cs="Times New Roman"/>
                        </w:rPr>
                      </m:ctrlPr>
                    </m:sSubPr>
                    <m:e>
                      <m:r>
                        <m:rPr>
                          <m:sty m:val="p"/>
                        </m:rPr>
                        <w:rPr>
                          <w:rFonts w:ascii="Cambria Math" w:hAnsi="Cambria Math" w:cs="Times New Roman"/>
                          <w:lang w:val="pt-BR"/>
                        </w:rPr>
                        <m:t>+ r</m:t>
                      </m:r>
                    </m:e>
                    <m:sub>
                      <m:r>
                        <m:rPr>
                          <m:sty m:val="p"/>
                        </m:rPr>
                        <w:rPr>
                          <w:rFonts w:ascii="Cambria Math" w:hAnsi="Cambria Math" w:cs="Times New Roman"/>
                          <w:lang w:val="pt-BR"/>
                        </w:rPr>
                        <m:t>a1</m:t>
                      </m:r>
                    </m:sub>
                  </m:sSub>
                </m:e>
              </m:d>
              <m:r>
                <m:rPr>
                  <m:sty m:val="p"/>
                </m:rPr>
                <w:rPr>
                  <w:rFonts w:ascii="Cambria Math" w:hAnsi="Cambria Math" w:cs="Times New Roman"/>
                  <w:lang w:val="pt-BR"/>
                </w:rPr>
                <m:t xml:space="preserve">+ </m:t>
              </m:r>
              <m:d>
                <m:dPr>
                  <m:ctrlPr>
                    <w:rPr>
                      <w:rFonts w:ascii="Cambria Math" w:hAnsi="Cambria Math" w:cs="Times New Roman"/>
                    </w:rPr>
                  </m:ctrlPr>
                </m:dPr>
                <m:e>
                  <m:sSub>
                    <m:sSubPr>
                      <m:ctrlPr>
                        <w:rPr>
                          <w:rFonts w:ascii="Cambria Math" w:hAnsi="Cambria Math" w:cs="Times New Roman"/>
                        </w:rPr>
                      </m:ctrlPr>
                    </m:sSubPr>
                    <m:e>
                      <m:r>
                        <m:rPr>
                          <m:sty m:val="p"/>
                        </m:rPr>
                        <w:rPr>
                          <w:rFonts w:ascii="Cambria Math" w:hAnsi="Cambria Math" w:cs="Times New Roman"/>
                          <w:lang w:val="pt-BR"/>
                        </w:rPr>
                        <m:t>r</m:t>
                      </m:r>
                    </m:e>
                    <m:sub>
                      <m:r>
                        <m:rPr>
                          <m:sty m:val="p"/>
                        </m:rPr>
                        <w:rPr>
                          <w:rFonts w:ascii="Cambria Math" w:hAnsi="Cambria Math" w:cs="Times New Roman"/>
                          <w:lang w:val="pt-BR"/>
                        </w:rPr>
                        <m:t>a2</m:t>
                      </m:r>
                    </m:sub>
                  </m:sSub>
                </m:e>
              </m:d>
              <m:r>
                <m:rPr>
                  <m:sty m:val="p"/>
                </m:rPr>
                <w:rPr>
                  <w:rFonts w:ascii="Cambria Math" w:hAnsi="Cambria Math" w:cs="Times New Roman"/>
                  <w:lang w:val="pt-BR"/>
                </w:rPr>
                <m:t xml:space="preserve"> + </m:t>
              </m:r>
              <m:d>
                <m:dPr>
                  <m:ctrlPr>
                    <w:rPr>
                      <w:rFonts w:ascii="Cambria Math" w:hAnsi="Cambria Math" w:cs="Times New Roman"/>
                    </w:rPr>
                  </m:ctrlPr>
                </m:dPr>
                <m:e>
                  <m:sSub>
                    <m:sSubPr>
                      <m:ctrlPr>
                        <w:rPr>
                          <w:rFonts w:ascii="Cambria Math" w:hAnsi="Cambria Math" w:cs="Times New Roman"/>
                        </w:rPr>
                      </m:ctrlPr>
                    </m:sSubPr>
                    <m:e>
                      <m:r>
                        <m:rPr>
                          <m:sty m:val="p"/>
                        </m:rPr>
                        <w:rPr>
                          <w:rFonts w:ascii="Cambria Math" w:hAnsi="Cambria Math" w:cs="Times New Roman"/>
                          <w:lang w:val="pt-BR"/>
                        </w:rPr>
                        <m:t>-r</m:t>
                      </m:r>
                    </m:e>
                    <m:sub>
                      <m:r>
                        <m:rPr>
                          <m:sty m:val="p"/>
                        </m:rPr>
                        <w:rPr>
                          <w:rFonts w:ascii="Cambria Math" w:hAnsi="Cambria Math" w:cs="Times New Roman"/>
                          <w:lang w:val="pt-BR"/>
                        </w:rPr>
                        <m:t>e</m:t>
                      </m:r>
                    </m:sub>
                  </m:sSub>
                  <m:sSub>
                    <m:sSubPr>
                      <m:ctrlPr>
                        <w:rPr>
                          <w:rFonts w:ascii="Cambria Math" w:hAnsi="Cambria Math" w:cs="Times New Roman"/>
                        </w:rPr>
                      </m:ctrlPr>
                    </m:sSubPr>
                    <m:e>
                      <m:r>
                        <m:rPr>
                          <m:sty m:val="p"/>
                        </m:rPr>
                        <w:rPr>
                          <w:rFonts w:ascii="Cambria Math" w:hAnsi="Cambria Math" w:cs="Times New Roman"/>
                          <w:lang w:val="pt-BR"/>
                        </w:rPr>
                        <m:t>+ r</m:t>
                      </m:r>
                    </m:e>
                    <m:sub>
                      <m:r>
                        <m:rPr>
                          <m:sty m:val="p"/>
                        </m:rPr>
                        <w:rPr>
                          <w:rFonts w:ascii="Cambria Math" w:hAnsi="Cambria Math" w:cs="Times New Roman"/>
                          <w:lang w:val="pt-BR"/>
                        </w:rPr>
                        <m:t>a3</m:t>
                      </m:r>
                    </m:sub>
                  </m:sSub>
                </m:e>
              </m:d>
              <m:r>
                <m:rPr>
                  <m:sty m:val="p"/>
                </m:rPr>
                <w:rPr>
                  <w:rFonts w:ascii="Cambria Math" w:hAnsi="Cambria Math" w:cs="Times New Roman"/>
                  <w:lang w:val="pt-BR"/>
                </w:rPr>
                <m:t>=0</m:t>
              </m:r>
              <m:r>
                <w:rPr>
                  <w:rFonts w:ascii="Cambria Math" w:hAnsi="Cambria Math" w:cs="Times New Roman"/>
                  <w:lang w:val="pt-BR"/>
                </w:rPr>
                <m:t>#(8)</m:t>
              </m:r>
            </m:e>
          </m:eqArr>
        </m:oMath>
      </m:oMathPara>
    </w:p>
    <w:p w14:paraId="11D2987E" w14:textId="77777777" w:rsidR="007D6E34" w:rsidRDefault="007D6E34" w:rsidP="007D6E34">
      <w:r>
        <w:t xml:space="preserve">where: </w:t>
      </w:r>
    </w:p>
    <w:p w14:paraId="5730C754" w14:textId="77777777" w:rsidR="007D6E34" w:rsidRDefault="007D6E34" w:rsidP="007D6E34">
      <w:r>
        <w:t>r</w:t>
      </w:r>
      <w:r>
        <w:rPr>
          <w:vertAlign w:val="subscript"/>
        </w:rPr>
        <w:t>i</w:t>
      </w:r>
      <w:r>
        <w:t xml:space="preserve"> = displacement due to injection pumping [L]</w:t>
      </w:r>
    </w:p>
    <w:p w14:paraId="055BCC24" w14:textId="77777777" w:rsidR="007D6E34" w:rsidRDefault="007D6E34" w:rsidP="007D6E34">
      <w:pPr>
        <w:rPr>
          <w:b/>
        </w:rPr>
      </w:pPr>
      <w:r w:rsidRPr="00840CAF">
        <w:t>r</w:t>
      </w:r>
      <w:r>
        <w:rPr>
          <w:vertAlign w:val="subscript"/>
        </w:rPr>
        <w:t>a1</w:t>
      </w:r>
      <w:r>
        <w:t xml:space="preserve"> = displacement due to ambient groundwater flow [L]</w:t>
      </w:r>
    </w:p>
    <w:p w14:paraId="2DB346C3" w14:textId="77777777" w:rsidR="007D6E34" w:rsidRDefault="007D6E34" w:rsidP="007D6E34">
      <w:r w:rsidRPr="00840CAF">
        <w:t>r</w:t>
      </w:r>
      <w:r>
        <w:rPr>
          <w:vertAlign w:val="subscript"/>
        </w:rPr>
        <w:t>a2</w:t>
      </w:r>
      <w:r>
        <w:t xml:space="preserve"> = displacement due to ambient groundwater flow [L]</w:t>
      </w:r>
    </w:p>
    <w:p w14:paraId="51AE7DD5" w14:textId="77777777" w:rsidR="007D6E34" w:rsidRDefault="007D6E34" w:rsidP="007D6E34">
      <w:r>
        <w:t>r</w:t>
      </w:r>
      <w:r>
        <w:rPr>
          <w:vertAlign w:val="subscript"/>
        </w:rPr>
        <w:t>e</w:t>
      </w:r>
      <w:r>
        <w:t xml:space="preserve"> = displacement due to extraction pumping [L]</w:t>
      </w:r>
    </w:p>
    <w:p w14:paraId="2E1E29CC" w14:textId="77777777" w:rsidR="007D6E34" w:rsidRDefault="007D6E34" w:rsidP="007D6E34">
      <w:pPr>
        <w:rPr>
          <w:b/>
        </w:rPr>
      </w:pPr>
      <w:r w:rsidRPr="00840CAF">
        <w:t>r</w:t>
      </w:r>
      <w:r>
        <w:rPr>
          <w:vertAlign w:val="subscript"/>
        </w:rPr>
        <w:t>a3</w:t>
      </w:r>
      <w:r>
        <w:t xml:space="preserve"> = displacement due to ambient groundwater flow [L]</w:t>
      </w:r>
    </w:p>
    <w:p w14:paraId="563653A5" w14:textId="77777777" w:rsidR="007D6E34" w:rsidRPr="000231F6" w:rsidRDefault="007D6E34" w:rsidP="007D6E34">
      <w:r>
        <w:t>The components in (8) can be substituted by their corresponding equations given in (3) and (6) to give:</w:t>
      </w:r>
    </w:p>
    <w:p w14:paraId="7D33C74A" w14:textId="77777777" w:rsidR="007D6E34" w:rsidRPr="00AF4FA9" w:rsidRDefault="00CA2C3C" w:rsidP="007D6E34">
      <w:pPr>
        <w:rPr>
          <w:lang w:val="pt-BR"/>
        </w:rPr>
      </w:pPr>
      <m:oMathPara>
        <m:oMath>
          <m:eqArr>
            <m:eqArrPr>
              <m:maxDist m:val="1"/>
              <m:ctrlPr>
                <w:rPr>
                  <w:rFonts w:ascii="Cambria Math" w:hAnsi="Cambria Math" w:cs="Times New Roman"/>
                  <w:i/>
                </w:rPr>
              </m:ctrlPr>
            </m:eqArrPr>
            <m:e>
              <m:d>
                <m:dPr>
                  <m:ctrlPr>
                    <w:rPr>
                      <w:rFonts w:ascii="Cambria Math" w:hAnsi="Cambria Math" w:cs="Times New Roman"/>
                    </w:rPr>
                  </m:ctrlPr>
                </m:dPr>
                <m:e>
                  <m:sSup>
                    <m:sSupPr>
                      <m:ctrlPr>
                        <w:rPr>
                          <w:rFonts w:ascii="Cambria Math" w:hAnsi="Cambria Math" w:cs="Times New Roman"/>
                        </w:rPr>
                      </m:ctrlPr>
                    </m:sSupPr>
                    <m:e>
                      <m:d>
                        <m:dPr>
                          <m:ctrlPr>
                            <w:rPr>
                              <w:rFonts w:ascii="Cambria Math" w:hAnsi="Cambria Math" w:cs="Times New Roman"/>
                            </w:rPr>
                          </m:ctrlPr>
                        </m:dPr>
                        <m:e>
                          <m:f>
                            <m:fPr>
                              <m:ctrlPr>
                                <w:rPr>
                                  <w:rFonts w:ascii="Cambria Math" w:hAnsi="Cambria Math" w:cs="Times New Roman"/>
                                </w:rPr>
                              </m:ctrlPr>
                            </m:fPr>
                            <m:num>
                              <m:d>
                                <m:dPr>
                                  <m:begChr m:val="|"/>
                                  <m:endChr m:val="|"/>
                                  <m:ctrlPr>
                                    <w:rPr>
                                      <w:rFonts w:ascii="Cambria Math" w:hAnsi="Cambria Math" w:cs="Times New Roman"/>
                                      <w:i/>
                                    </w:rPr>
                                  </m:ctrlPr>
                                </m:dPr>
                                <m:e>
                                  <m:sSub>
                                    <m:sSubPr>
                                      <m:ctrlPr>
                                        <w:rPr>
                                          <w:rFonts w:ascii="Cambria Math" w:hAnsi="Cambria Math" w:cs="Times New Roman"/>
                                        </w:rPr>
                                      </m:ctrlPr>
                                    </m:sSubPr>
                                    <m:e>
                                      <m:r>
                                        <m:rPr>
                                          <m:sty m:val="p"/>
                                        </m:rPr>
                                        <w:rPr>
                                          <w:rFonts w:ascii="Cambria Math" w:hAnsi="Cambria Math" w:cs="Times New Roman"/>
                                          <w:lang w:val="pt-BR"/>
                                        </w:rPr>
                                        <m:t>Q</m:t>
                                      </m:r>
                                    </m:e>
                                    <m:sub>
                                      <m:r>
                                        <m:rPr>
                                          <m:sty m:val="p"/>
                                        </m:rPr>
                                        <w:rPr>
                                          <w:rFonts w:ascii="Cambria Math" w:hAnsi="Cambria Math" w:cs="Times New Roman"/>
                                          <w:lang w:val="pt-BR"/>
                                        </w:rPr>
                                        <m:t>i</m:t>
                                      </m:r>
                                    </m:sub>
                                  </m:sSub>
                                </m:e>
                              </m:d>
                              <m:sSub>
                                <m:sSubPr>
                                  <m:ctrlPr>
                                    <w:rPr>
                                      <w:rFonts w:ascii="Cambria Math" w:hAnsi="Cambria Math" w:cs="Times New Roman"/>
                                    </w:rPr>
                                  </m:ctrlPr>
                                </m:sSubPr>
                                <m:e>
                                  <m:r>
                                    <m:rPr>
                                      <m:sty m:val="p"/>
                                    </m:rPr>
                                    <w:rPr>
                                      <w:rFonts w:ascii="Cambria Math" w:hAnsi="Cambria Math" w:cs="Times New Roman"/>
                                      <w:lang w:val="pt-BR"/>
                                    </w:rPr>
                                    <m:t>t</m:t>
                                  </m:r>
                                </m:e>
                                <m:sub>
                                  <m:r>
                                    <m:rPr>
                                      <m:sty m:val="p"/>
                                    </m:rPr>
                                    <w:rPr>
                                      <w:rFonts w:ascii="Cambria Math" w:hAnsi="Cambria Math" w:cs="Times New Roman"/>
                                      <w:lang w:val="pt-BR"/>
                                    </w:rPr>
                                    <m:t>i</m:t>
                                  </m:r>
                                </m:sub>
                              </m:sSub>
                            </m:num>
                            <m:den>
                              <m:r>
                                <m:rPr>
                                  <m:sty m:val="p"/>
                                </m:rPr>
                                <w:rPr>
                                  <w:rFonts w:ascii="Cambria Math" w:hAnsi="Cambria Math" w:cs="Times New Roman"/>
                                </w:rPr>
                                <m:t>π</m:t>
                              </m:r>
                              <m:r>
                                <m:rPr>
                                  <m:sty m:val="p"/>
                                </m:rPr>
                                <w:rPr>
                                  <w:rFonts w:ascii="Cambria Math" w:hAnsi="Cambria Math" w:cs="Times New Roman"/>
                                  <w:lang w:val="pt-BR"/>
                                </w:rPr>
                                <m:t>b</m:t>
                              </m:r>
                              <m:sSub>
                                <m:sSubPr>
                                  <m:ctrlPr>
                                    <w:rPr>
                                      <w:rFonts w:ascii="Cambria Math" w:hAnsi="Cambria Math" w:cs="Times New Roman"/>
                                    </w:rPr>
                                  </m:ctrlPr>
                                </m:sSubPr>
                                <m:e>
                                  <m:r>
                                    <m:rPr>
                                      <m:sty m:val="p"/>
                                    </m:rPr>
                                    <w:rPr>
                                      <w:rFonts w:ascii="Cambria Math" w:hAnsi="Cambria Math" w:cs="Times New Roman"/>
                                      <w:lang w:val="pt-BR"/>
                                    </w:rPr>
                                    <m:t>n</m:t>
                                  </m:r>
                                </m:e>
                                <m:sub>
                                  <m:r>
                                    <m:rPr>
                                      <m:sty m:val="p"/>
                                    </m:rPr>
                                    <w:rPr>
                                      <w:rFonts w:ascii="Cambria Math" w:hAnsi="Cambria Math" w:cs="Times New Roman"/>
                                      <w:lang w:val="pt-BR"/>
                                    </w:rPr>
                                    <m:t>e</m:t>
                                  </m:r>
                                </m:sub>
                              </m:sSub>
                            </m:den>
                          </m:f>
                        </m:e>
                      </m:d>
                    </m:e>
                    <m:sup>
                      <m:f>
                        <m:fPr>
                          <m:type m:val="skw"/>
                          <m:ctrlPr>
                            <w:rPr>
                              <w:rFonts w:ascii="Cambria Math" w:hAnsi="Cambria Math" w:cs="Times New Roman"/>
                            </w:rPr>
                          </m:ctrlPr>
                        </m:fPr>
                        <m:num>
                          <m:r>
                            <m:rPr>
                              <m:sty m:val="p"/>
                            </m:rPr>
                            <w:rPr>
                              <w:rFonts w:ascii="Cambria Math" w:hAnsi="Cambria Math" w:cs="Times New Roman"/>
                              <w:lang w:val="pt-BR"/>
                            </w:rPr>
                            <m:t>1</m:t>
                          </m:r>
                        </m:num>
                        <m:den>
                          <m:r>
                            <m:rPr>
                              <m:sty m:val="p"/>
                            </m:rPr>
                            <w:rPr>
                              <w:rFonts w:ascii="Cambria Math" w:hAnsi="Cambria Math" w:cs="Times New Roman"/>
                              <w:lang w:val="pt-BR"/>
                            </w:rPr>
                            <m:t>2</m:t>
                          </m:r>
                        </m:den>
                      </m:f>
                    </m:sup>
                  </m:sSup>
                  <m:sSub>
                    <m:sSubPr>
                      <m:ctrlPr>
                        <w:rPr>
                          <w:rFonts w:ascii="Cambria Math" w:hAnsi="Cambria Math" w:cs="Times New Roman"/>
                        </w:rPr>
                      </m:ctrlPr>
                    </m:sSubPr>
                    <m:e>
                      <m:r>
                        <m:rPr>
                          <m:sty m:val="p"/>
                        </m:rPr>
                        <w:rPr>
                          <w:rFonts w:ascii="Cambria Math" w:hAnsi="Cambria Math" w:cs="Times New Roman"/>
                          <w:lang w:val="pt-BR"/>
                        </w:rPr>
                        <m:t>+ v∆t</m:t>
                      </m:r>
                    </m:e>
                    <m:sub>
                      <m:r>
                        <m:rPr>
                          <m:sty m:val="p"/>
                        </m:rPr>
                        <w:rPr>
                          <w:rFonts w:ascii="Cambria Math" w:hAnsi="Cambria Math" w:cs="Times New Roman"/>
                          <w:lang w:val="pt-BR"/>
                        </w:rPr>
                        <m:t>a1</m:t>
                      </m:r>
                    </m:sub>
                  </m:sSub>
                </m:e>
              </m:d>
              <m:r>
                <m:rPr>
                  <m:sty m:val="p"/>
                </m:rPr>
                <w:rPr>
                  <w:rFonts w:ascii="Cambria Math" w:hAnsi="Cambria Math" w:cs="Times New Roman"/>
                  <w:lang w:val="pt-BR"/>
                </w:rPr>
                <m:t xml:space="preserve">+ </m:t>
              </m:r>
              <m:d>
                <m:dPr>
                  <m:ctrlPr>
                    <w:rPr>
                      <w:rFonts w:ascii="Cambria Math" w:hAnsi="Cambria Math" w:cs="Times New Roman"/>
                    </w:rPr>
                  </m:ctrlPr>
                </m:dPr>
                <m:e>
                  <m:sSub>
                    <m:sSubPr>
                      <m:ctrlPr>
                        <w:rPr>
                          <w:rFonts w:ascii="Cambria Math" w:hAnsi="Cambria Math" w:cs="Times New Roman"/>
                        </w:rPr>
                      </m:ctrlPr>
                    </m:sSubPr>
                    <m:e>
                      <m:r>
                        <m:rPr>
                          <m:sty m:val="p"/>
                        </m:rPr>
                        <w:rPr>
                          <w:rFonts w:ascii="Cambria Math" w:hAnsi="Cambria Math" w:cs="Times New Roman"/>
                          <w:lang w:val="pt-BR"/>
                        </w:rPr>
                        <m:t>v∆t</m:t>
                      </m:r>
                    </m:e>
                    <m:sub>
                      <m:r>
                        <m:rPr>
                          <m:sty m:val="p"/>
                        </m:rPr>
                        <w:rPr>
                          <w:rFonts w:ascii="Cambria Math" w:hAnsi="Cambria Math" w:cs="Times New Roman"/>
                          <w:lang w:val="pt-BR"/>
                        </w:rPr>
                        <m:t>a2</m:t>
                      </m:r>
                    </m:sub>
                  </m:sSub>
                </m:e>
              </m:d>
              <m:r>
                <m:rPr>
                  <m:sty m:val="p"/>
                </m:rPr>
                <w:rPr>
                  <w:rFonts w:ascii="Cambria Math" w:hAnsi="Cambria Math" w:cs="Times New Roman"/>
                  <w:lang w:val="pt-BR"/>
                </w:rPr>
                <m:t xml:space="preserve"> + </m:t>
              </m:r>
              <m:d>
                <m:dPr>
                  <m:ctrlPr>
                    <w:rPr>
                      <w:rFonts w:ascii="Cambria Math" w:hAnsi="Cambria Math" w:cs="Times New Roman"/>
                    </w:rPr>
                  </m:ctrlPr>
                </m:dPr>
                <m:e>
                  <m:sSup>
                    <m:sSupPr>
                      <m:ctrlPr>
                        <w:rPr>
                          <w:rFonts w:ascii="Cambria Math" w:hAnsi="Cambria Math" w:cs="Times New Roman"/>
                        </w:rPr>
                      </m:ctrlPr>
                    </m:sSupPr>
                    <m:e>
                      <m:r>
                        <w:rPr>
                          <w:rFonts w:ascii="Cambria Math" w:hAnsi="Cambria Math" w:cs="Times New Roman"/>
                          <w:lang w:val="pt-BR"/>
                        </w:rPr>
                        <m:t>-</m:t>
                      </m:r>
                      <m:d>
                        <m:dPr>
                          <m:ctrlPr>
                            <w:rPr>
                              <w:rFonts w:ascii="Cambria Math" w:hAnsi="Cambria Math" w:cs="Times New Roman"/>
                            </w:rPr>
                          </m:ctrlPr>
                        </m:dPr>
                        <m:e>
                          <m:f>
                            <m:fPr>
                              <m:ctrlPr>
                                <w:rPr>
                                  <w:rFonts w:ascii="Cambria Math" w:hAnsi="Cambria Math" w:cs="Times New Roman"/>
                                </w:rPr>
                              </m:ctrlPr>
                            </m:fPr>
                            <m:num>
                              <m:d>
                                <m:dPr>
                                  <m:begChr m:val="|"/>
                                  <m:endChr m:val="|"/>
                                  <m:ctrlPr>
                                    <w:rPr>
                                      <w:rFonts w:ascii="Cambria Math" w:hAnsi="Cambria Math" w:cs="Times New Roman"/>
                                    </w:rPr>
                                  </m:ctrlPr>
                                </m:dPr>
                                <m:e>
                                  <m:sSub>
                                    <m:sSubPr>
                                      <m:ctrlPr>
                                        <w:rPr>
                                          <w:rFonts w:ascii="Cambria Math" w:hAnsi="Cambria Math" w:cs="Times New Roman"/>
                                        </w:rPr>
                                      </m:ctrlPr>
                                    </m:sSubPr>
                                    <m:e>
                                      <m:r>
                                        <m:rPr>
                                          <m:sty m:val="p"/>
                                        </m:rPr>
                                        <w:rPr>
                                          <w:rFonts w:ascii="Cambria Math" w:hAnsi="Cambria Math" w:cs="Times New Roman"/>
                                          <w:lang w:val="pt-BR"/>
                                        </w:rPr>
                                        <m:t>Q</m:t>
                                      </m:r>
                                    </m:e>
                                    <m:sub>
                                      <m:r>
                                        <m:rPr>
                                          <m:sty m:val="p"/>
                                        </m:rPr>
                                        <w:rPr>
                                          <w:rFonts w:ascii="Cambria Math" w:hAnsi="Cambria Math" w:cs="Times New Roman"/>
                                          <w:lang w:val="pt-BR"/>
                                        </w:rPr>
                                        <m:t>e</m:t>
                                      </m:r>
                                    </m:sub>
                                  </m:sSub>
                                </m:e>
                              </m:d>
                              <m:sSub>
                                <m:sSubPr>
                                  <m:ctrlPr>
                                    <w:rPr>
                                      <w:rFonts w:ascii="Cambria Math" w:hAnsi="Cambria Math" w:cs="Times New Roman"/>
                                    </w:rPr>
                                  </m:ctrlPr>
                                </m:sSubPr>
                                <m:e>
                                  <m:r>
                                    <m:rPr>
                                      <m:sty m:val="p"/>
                                    </m:rPr>
                                    <w:rPr>
                                      <w:rFonts w:ascii="Cambria Math" w:hAnsi="Cambria Math" w:cs="Times New Roman"/>
                                      <w:lang w:val="pt-BR"/>
                                    </w:rPr>
                                    <m:t>t</m:t>
                                  </m:r>
                                </m:e>
                                <m:sub>
                                  <m:r>
                                    <m:rPr>
                                      <m:sty m:val="p"/>
                                    </m:rPr>
                                    <w:rPr>
                                      <w:rFonts w:ascii="Cambria Math" w:hAnsi="Cambria Math" w:cs="Times New Roman"/>
                                      <w:lang w:val="pt-BR"/>
                                    </w:rPr>
                                    <m:t>e</m:t>
                                  </m:r>
                                </m:sub>
                              </m:sSub>
                            </m:num>
                            <m:den>
                              <m:r>
                                <m:rPr>
                                  <m:sty m:val="p"/>
                                </m:rPr>
                                <w:rPr>
                                  <w:rFonts w:ascii="Cambria Math" w:hAnsi="Cambria Math" w:cs="Times New Roman"/>
                                </w:rPr>
                                <m:t>π</m:t>
                              </m:r>
                              <m:r>
                                <m:rPr>
                                  <m:sty m:val="p"/>
                                </m:rPr>
                                <w:rPr>
                                  <w:rFonts w:ascii="Cambria Math" w:hAnsi="Cambria Math" w:cs="Times New Roman"/>
                                  <w:lang w:val="pt-BR"/>
                                </w:rPr>
                                <m:t>b</m:t>
                              </m:r>
                              <m:sSub>
                                <m:sSubPr>
                                  <m:ctrlPr>
                                    <w:rPr>
                                      <w:rFonts w:ascii="Cambria Math" w:hAnsi="Cambria Math" w:cs="Times New Roman"/>
                                    </w:rPr>
                                  </m:ctrlPr>
                                </m:sSubPr>
                                <m:e>
                                  <m:r>
                                    <m:rPr>
                                      <m:sty m:val="p"/>
                                    </m:rPr>
                                    <w:rPr>
                                      <w:rFonts w:ascii="Cambria Math" w:hAnsi="Cambria Math" w:cs="Times New Roman"/>
                                      <w:lang w:val="pt-BR"/>
                                    </w:rPr>
                                    <m:t>n</m:t>
                                  </m:r>
                                </m:e>
                                <m:sub>
                                  <m:r>
                                    <m:rPr>
                                      <m:sty m:val="p"/>
                                    </m:rPr>
                                    <w:rPr>
                                      <w:rFonts w:ascii="Cambria Math" w:hAnsi="Cambria Math" w:cs="Times New Roman"/>
                                      <w:lang w:val="pt-BR"/>
                                    </w:rPr>
                                    <m:t>e</m:t>
                                  </m:r>
                                </m:sub>
                              </m:sSub>
                            </m:den>
                          </m:f>
                        </m:e>
                      </m:d>
                    </m:e>
                    <m:sup>
                      <m:f>
                        <m:fPr>
                          <m:type m:val="skw"/>
                          <m:ctrlPr>
                            <w:rPr>
                              <w:rFonts w:ascii="Cambria Math" w:hAnsi="Cambria Math" w:cs="Times New Roman"/>
                            </w:rPr>
                          </m:ctrlPr>
                        </m:fPr>
                        <m:num>
                          <m:r>
                            <m:rPr>
                              <m:sty m:val="p"/>
                            </m:rPr>
                            <w:rPr>
                              <w:rFonts w:ascii="Cambria Math" w:hAnsi="Cambria Math" w:cs="Times New Roman"/>
                              <w:lang w:val="pt-BR"/>
                            </w:rPr>
                            <m:t>1</m:t>
                          </m:r>
                        </m:num>
                        <m:den>
                          <m:r>
                            <m:rPr>
                              <m:sty m:val="p"/>
                            </m:rPr>
                            <w:rPr>
                              <w:rFonts w:ascii="Cambria Math" w:hAnsi="Cambria Math" w:cs="Times New Roman"/>
                              <w:lang w:val="pt-BR"/>
                            </w:rPr>
                            <m:t>2</m:t>
                          </m:r>
                        </m:den>
                      </m:f>
                    </m:sup>
                  </m:sSup>
                  <m:sSub>
                    <m:sSubPr>
                      <m:ctrlPr>
                        <w:rPr>
                          <w:rFonts w:ascii="Cambria Math" w:hAnsi="Cambria Math" w:cs="Times New Roman"/>
                        </w:rPr>
                      </m:ctrlPr>
                    </m:sSubPr>
                    <m:e>
                      <m:r>
                        <m:rPr>
                          <m:sty m:val="p"/>
                        </m:rPr>
                        <w:rPr>
                          <w:rFonts w:ascii="Cambria Math" w:hAnsi="Cambria Math" w:cs="Times New Roman"/>
                          <w:lang w:val="pt-BR"/>
                        </w:rPr>
                        <m:t>+ v∆t</m:t>
                      </m:r>
                    </m:e>
                    <m:sub>
                      <m:r>
                        <m:rPr>
                          <m:sty m:val="p"/>
                        </m:rPr>
                        <w:rPr>
                          <w:rFonts w:ascii="Cambria Math" w:hAnsi="Cambria Math" w:cs="Times New Roman"/>
                          <w:lang w:val="pt-BR"/>
                        </w:rPr>
                        <m:t>a3</m:t>
                      </m:r>
                    </m:sub>
                  </m:sSub>
                </m:e>
              </m:d>
              <m:r>
                <m:rPr>
                  <m:sty m:val="p"/>
                </m:rPr>
                <w:rPr>
                  <w:rFonts w:ascii="Cambria Math" w:hAnsi="Cambria Math" w:cs="Times New Roman"/>
                  <w:lang w:val="pt-BR"/>
                </w:rPr>
                <m:t>=0</m:t>
              </m:r>
              <m:r>
                <w:rPr>
                  <w:rFonts w:ascii="Cambria Math" w:hAnsi="Cambria Math" w:cs="Times New Roman"/>
                  <w:lang w:val="pt-BR"/>
                </w:rPr>
                <m:t>#(9)</m:t>
              </m:r>
            </m:e>
          </m:eqArr>
        </m:oMath>
      </m:oMathPara>
    </w:p>
    <w:p w14:paraId="467166BB" w14:textId="5768ACA0" w:rsidR="007D6E34" w:rsidRDefault="007D6E34" w:rsidP="007D6E34">
      <w:r>
        <w:t>The components in (9), due to injection (first term) and extraction (fourth term), represent the leading- or trailing-edge position of the tracer within an expanding or contracting cylindrical volume of water, whereas the components due to ambient groundwater flow (</w:t>
      </w:r>
      <w:r w:rsidRPr="00FC55FF">
        <w:t>v</w:t>
      </w:r>
      <w:r w:rsidRPr="00FC55FF">
        <w:rPr>
          <w:rFonts w:cs="Times New Roman"/>
        </w:rPr>
        <w:t>Δ</w:t>
      </w:r>
      <w:r w:rsidRPr="00FC55FF">
        <w:t>t</w:t>
      </w:r>
      <w:r w:rsidRPr="00FC55FF">
        <w:rPr>
          <w:vertAlign w:val="subscript"/>
        </w:rPr>
        <w:t>a1</w:t>
      </w:r>
      <w:r>
        <w:t xml:space="preserve">, </w:t>
      </w:r>
      <w:r w:rsidRPr="00FC55FF">
        <w:t>v</w:t>
      </w:r>
      <w:r w:rsidRPr="00FC55FF">
        <w:rPr>
          <w:rFonts w:cs="Times New Roman"/>
        </w:rPr>
        <w:t>Δ</w:t>
      </w:r>
      <w:r>
        <w:t>t</w:t>
      </w:r>
      <w:r w:rsidRPr="00FC55FF">
        <w:rPr>
          <w:vertAlign w:val="subscript"/>
        </w:rPr>
        <w:t>a2</w:t>
      </w:r>
      <w:r>
        <w:t>,</w:t>
      </w:r>
      <w:r w:rsidRPr="00FC55FF">
        <w:t xml:space="preserve"> </w:t>
      </w:r>
      <w:r>
        <w:t>and v</w:t>
      </w:r>
      <w:r>
        <w:rPr>
          <w:rFonts w:cs="Times New Roman"/>
        </w:rPr>
        <w:t>Δ</w:t>
      </w:r>
      <w:r>
        <w:t>t</w:t>
      </w:r>
      <w:r w:rsidRPr="00FC55FF">
        <w:rPr>
          <w:vertAlign w:val="subscript"/>
        </w:rPr>
        <w:t>a</w:t>
      </w:r>
      <w:r>
        <w:rPr>
          <w:vertAlign w:val="subscript"/>
        </w:rPr>
        <w:t>3</w:t>
      </w:r>
      <w:r>
        <w:t>), represent the average displacement of the tracer</w:t>
      </w:r>
      <w:r w:rsidR="000A5750">
        <w:t xml:space="preserve">. </w:t>
      </w:r>
      <w:r>
        <w:t>The average displacement of the tracer, due to injection, occurs when one-half of the mass of the tracer has been injected, and is given by:</w:t>
      </w:r>
    </w:p>
    <w:p w14:paraId="077EEFB9" w14:textId="77777777" w:rsidR="007D6E34" w:rsidRDefault="00CA2C3C" w:rsidP="007D6E34">
      <m:oMathPara>
        <m:oMath>
          <m:eqArr>
            <m:eqArrPr>
              <m:maxDist m:val="1"/>
              <m:ctrlPr>
                <w:rPr>
                  <w:rFonts w:ascii="Cambria Math" w:hAnsi="Cambria Math" w:cs="Times New Roman"/>
                  <w:i/>
                </w:rPr>
              </m:ctrlPr>
            </m:eqArrPr>
            <m:e>
              <m:d>
                <m:dPr>
                  <m:begChr m:val="|"/>
                  <m:endChr m:val="|"/>
                  <m:ctrlPr>
                    <w:rPr>
                      <w:rFonts w:ascii="Cambria Math" w:hAnsi="Cambria Math" w:cs="Times New Roman"/>
                    </w:rPr>
                  </m:ctrlPr>
                </m:dPr>
                <m:e>
                  <m:sSub>
                    <m:sSubPr>
                      <m:ctrlPr>
                        <w:rPr>
                          <w:rFonts w:ascii="Cambria Math" w:hAnsi="Cambria Math" w:cs="Times New Roman"/>
                        </w:rPr>
                      </m:ctrlPr>
                    </m:sSubPr>
                    <m:e>
                      <m:r>
                        <m:rPr>
                          <m:sty m:val="p"/>
                        </m:rPr>
                        <w:rPr>
                          <w:rFonts w:ascii="Cambria Math" w:hAnsi="Cambria Math" w:cs="Times New Roman"/>
                        </w:rPr>
                        <m:t>Q</m:t>
                      </m:r>
                    </m:e>
                    <m:sub>
                      <m:r>
                        <m:rPr>
                          <m:sty m:val="p"/>
                        </m:rPr>
                        <w:rPr>
                          <w:rFonts w:ascii="Cambria Math" w:hAnsi="Cambria Math" w:cs="Times New Roman"/>
                        </w:rPr>
                        <m:t>i</m:t>
                      </m:r>
                    </m:sub>
                  </m:sSub>
                </m:e>
              </m:d>
              <m:sSub>
                <m:sSubPr>
                  <m:ctrlPr>
                    <w:rPr>
                      <w:rFonts w:ascii="Cambria Math" w:hAnsi="Cambria Math" w:cs="Times New Roman"/>
                    </w:rPr>
                  </m:ctrlPr>
                </m:sSubPr>
                <m:e>
                  <m:r>
                    <m:rPr>
                      <m:sty m:val="p"/>
                    </m:rPr>
                    <w:rPr>
                      <w:rFonts w:ascii="Cambria Math" w:hAnsi="Cambria Math" w:cs="Times New Roman"/>
                    </w:rPr>
                    <m:t>ṫ</m:t>
                  </m:r>
                </m:e>
                <m:sub>
                  <m:r>
                    <m:rPr>
                      <m:sty m:val="p"/>
                    </m:rPr>
                    <w:rPr>
                      <w:rFonts w:ascii="Cambria Math" w:hAnsi="Cambria Math" w:cs="Times New Roman"/>
                    </w:rPr>
                    <m:t>i</m:t>
                  </m:r>
                </m:sub>
              </m:sSub>
              <m:r>
                <m:rPr>
                  <m:sty m:val="p"/>
                </m:rPr>
                <w:rPr>
                  <w:rFonts w:ascii="Cambria Math" w:hAnsi="Cambria Math" w:cs="Times New Roman"/>
                </w:rPr>
                <m:t>=</m:t>
              </m:r>
              <m:f>
                <m:fPr>
                  <m:ctrlPr>
                    <w:rPr>
                      <w:rFonts w:ascii="Cambria Math" w:hAnsi="Cambria Math" w:cs="Times New Roman"/>
                    </w:rPr>
                  </m:ctrlPr>
                </m:fPr>
                <m:num>
                  <m:d>
                    <m:dPr>
                      <m:begChr m:val="|"/>
                      <m:endChr m:val="|"/>
                      <m:ctrlPr>
                        <w:rPr>
                          <w:rFonts w:ascii="Cambria Math" w:hAnsi="Cambria Math" w:cs="Times New Roman"/>
                        </w:rPr>
                      </m:ctrlPr>
                    </m:dPr>
                    <m:e>
                      <m:sSub>
                        <m:sSubPr>
                          <m:ctrlPr>
                            <w:rPr>
                              <w:rFonts w:ascii="Cambria Math" w:hAnsi="Cambria Math" w:cs="Times New Roman"/>
                            </w:rPr>
                          </m:ctrlPr>
                        </m:sSubPr>
                        <m:e>
                          <m:r>
                            <m:rPr>
                              <m:sty m:val="p"/>
                            </m:rPr>
                            <w:rPr>
                              <w:rFonts w:ascii="Cambria Math" w:hAnsi="Cambria Math" w:cs="Times New Roman"/>
                            </w:rPr>
                            <m:t>Q</m:t>
                          </m:r>
                        </m:e>
                        <m:sub>
                          <m:r>
                            <m:rPr>
                              <m:sty m:val="p"/>
                            </m:rPr>
                            <w:rPr>
                              <w:rFonts w:ascii="Cambria Math" w:hAnsi="Cambria Math" w:cs="Times New Roman"/>
                            </w:rPr>
                            <m:t>i</m:t>
                          </m:r>
                        </m:sub>
                      </m:sSub>
                    </m:e>
                  </m:d>
                  <m:sSub>
                    <m:sSubPr>
                      <m:ctrlPr>
                        <w:rPr>
                          <w:rFonts w:ascii="Cambria Math" w:hAnsi="Cambria Math" w:cs="Times New Roman"/>
                        </w:rPr>
                      </m:ctrlPr>
                    </m:sSubPr>
                    <m:e>
                      <m:r>
                        <m:rPr>
                          <m:sty m:val="p"/>
                        </m:rPr>
                        <w:rPr>
                          <w:rFonts w:ascii="Cambria Math" w:hAnsi="Cambria Math" w:cs="Times New Roman"/>
                        </w:rPr>
                        <m:t>t</m:t>
                      </m:r>
                    </m:e>
                    <m:sub>
                      <m:r>
                        <m:rPr>
                          <m:sty m:val="p"/>
                        </m:rPr>
                        <w:rPr>
                          <w:rFonts w:ascii="Cambria Math" w:hAnsi="Cambria Math" w:cs="Times New Roman"/>
                        </w:rPr>
                        <m:t>i</m:t>
                      </m:r>
                    </m:sub>
                  </m:sSub>
                </m:num>
                <m:den>
                  <m:r>
                    <m:rPr>
                      <m:sty m:val="p"/>
                    </m:rPr>
                    <w:rPr>
                      <w:rFonts w:ascii="Cambria Math" w:hAnsi="Cambria Math" w:cs="Times New Roman"/>
                    </w:rPr>
                    <m:t>2</m:t>
                  </m:r>
                </m:den>
              </m:f>
              <m:r>
                <w:rPr>
                  <w:rFonts w:ascii="Cambria Math" w:hAnsi="Cambria Math" w:cs="Times New Roman"/>
                </w:rPr>
                <m:t>#(</m:t>
              </m:r>
              <m:r>
                <m:rPr>
                  <m:sty m:val="p"/>
                </m:rPr>
                <w:rPr>
                  <w:rFonts w:ascii="Cambria Math" w:hAnsi="Cambria Math" w:cs="Times New Roman"/>
                </w:rPr>
                <m:t>10</m:t>
              </m:r>
              <m:r>
                <w:rPr>
                  <w:rFonts w:ascii="Cambria Math" w:hAnsi="Cambria Math" w:cs="Times New Roman"/>
                </w:rPr>
                <m:t>)</m:t>
              </m:r>
            </m:e>
          </m:eqArr>
        </m:oMath>
      </m:oMathPara>
    </w:p>
    <w:p w14:paraId="2BBF533E" w14:textId="77777777" w:rsidR="007D6E34" w:rsidRDefault="007D6E34" w:rsidP="007D6E34">
      <w:r>
        <w:lastRenderedPageBreak/>
        <w:t>where:</w:t>
      </w:r>
    </w:p>
    <w:p w14:paraId="65E92C7D" w14:textId="77777777" w:rsidR="007D6E34" w:rsidRPr="00630651" w:rsidRDefault="007D6E34" w:rsidP="007D6E34">
      <w:pPr>
        <w:rPr>
          <w:lang w:val="fr-FR"/>
        </w:rPr>
      </w:pPr>
      <w:proofErr w:type="gramStart"/>
      <w:r w:rsidRPr="00630651">
        <w:rPr>
          <w:lang w:val="fr-FR"/>
        </w:rPr>
        <w:t>Q</w:t>
      </w:r>
      <w:r w:rsidRPr="00630651">
        <w:rPr>
          <w:vertAlign w:val="subscript"/>
          <w:lang w:val="fr-FR"/>
        </w:rPr>
        <w:t xml:space="preserve">i  </w:t>
      </w:r>
      <w:r w:rsidRPr="00630651">
        <w:rPr>
          <w:lang w:val="fr-FR"/>
        </w:rPr>
        <w:t>=</w:t>
      </w:r>
      <w:proofErr w:type="gramEnd"/>
      <w:r w:rsidRPr="00630651">
        <w:rPr>
          <w:lang w:val="fr-FR"/>
        </w:rPr>
        <w:t xml:space="preserve"> injection rate [L</w:t>
      </w:r>
      <w:r w:rsidRPr="00630651">
        <w:rPr>
          <w:vertAlign w:val="superscript"/>
          <w:lang w:val="fr-FR"/>
        </w:rPr>
        <w:t>3</w:t>
      </w:r>
      <w:r w:rsidRPr="00630651">
        <w:rPr>
          <w:lang w:val="fr-FR"/>
        </w:rPr>
        <w:t>/T]</w:t>
      </w:r>
    </w:p>
    <w:p w14:paraId="3D5CB5BD" w14:textId="77777777" w:rsidR="007D6E34" w:rsidRDefault="007D6E34" w:rsidP="007D6E34">
      <w:r>
        <w:rPr>
          <w:rFonts w:cs="Times New Roman"/>
        </w:rPr>
        <w:t>ṫ</w:t>
      </w:r>
      <w:r>
        <w:rPr>
          <w:vertAlign w:val="subscript"/>
        </w:rPr>
        <w:t xml:space="preserve">i </w:t>
      </w:r>
      <w:r w:rsidRPr="00480E1B">
        <w:t>=</w:t>
      </w:r>
      <w:r>
        <w:t xml:space="preserve"> time elapsed from the start of water injection until the center of mass of the tracer is released [T] </w:t>
      </w:r>
    </w:p>
    <w:p w14:paraId="28B4F6F1" w14:textId="77777777" w:rsidR="007D6E34" w:rsidRDefault="007D6E34" w:rsidP="007D6E34">
      <w:r>
        <w:t>In volumetric terms, (10) can be rewritten to give:</w:t>
      </w:r>
    </w:p>
    <w:p w14:paraId="417248E1" w14:textId="77777777" w:rsidR="007D6E34" w:rsidRDefault="00CA2C3C" w:rsidP="007D6E34">
      <m:oMathPara>
        <m:oMath>
          <m:eqArr>
            <m:eqArrPr>
              <m:maxDist m:val="1"/>
              <m:ctrlPr>
                <w:rPr>
                  <w:rFonts w:ascii="Cambria Math" w:hAnsi="Cambria Math" w:cs="Times New Roman"/>
                  <w:i/>
                </w:rPr>
              </m:ctrlPr>
            </m:eqArrPr>
            <m:e>
              <m:sSub>
                <m:sSubPr>
                  <m:ctrlPr>
                    <w:rPr>
                      <w:rFonts w:ascii="Cambria Math" w:hAnsi="Cambria Math" w:cs="Times New Roman"/>
                    </w:rPr>
                  </m:ctrlPr>
                </m:sSubPr>
                <m:e>
                  <m:r>
                    <m:rPr>
                      <m:sty m:val="p"/>
                    </m:rPr>
                    <w:rPr>
                      <w:rFonts w:ascii="Cambria Math" w:hAnsi="Cambria Math" w:cs="Times New Roman"/>
                    </w:rPr>
                    <m:t>Ѷ</m:t>
                  </m:r>
                </m:e>
                <m:sub>
                  <m:r>
                    <m:rPr>
                      <m:sty m:val="p"/>
                    </m:rPr>
                    <w:rPr>
                      <w:rFonts w:ascii="Cambria Math" w:hAnsi="Cambria Math" w:cs="Times New Roman"/>
                    </w:rPr>
                    <m:t>i</m:t>
                  </m:r>
                </m:sub>
              </m:sSub>
              <m:r>
                <m:rPr>
                  <m:sty m:val="p"/>
                </m:rPr>
                <w:rPr>
                  <w:rFonts w:ascii="Cambria Math" w:hAnsi="Cambria Math" w:cs="Times New Roman"/>
                </w:rPr>
                <m:t>=</m:t>
              </m:r>
              <m:d>
                <m:dPr>
                  <m:begChr m:val="|"/>
                  <m:endChr m:val="|"/>
                  <m:ctrlPr>
                    <w:rPr>
                      <w:rFonts w:ascii="Cambria Math" w:hAnsi="Cambria Math" w:cs="Times New Roman"/>
                    </w:rPr>
                  </m:ctrlPr>
                </m:dPr>
                <m:e>
                  <m:sSub>
                    <m:sSubPr>
                      <m:ctrlPr>
                        <w:rPr>
                          <w:rFonts w:ascii="Cambria Math" w:hAnsi="Cambria Math" w:cs="Times New Roman"/>
                        </w:rPr>
                      </m:ctrlPr>
                    </m:sSubPr>
                    <m:e>
                      <m:r>
                        <m:rPr>
                          <m:sty m:val="p"/>
                        </m:rPr>
                        <w:rPr>
                          <w:rFonts w:ascii="Cambria Math" w:hAnsi="Cambria Math" w:cs="Times New Roman"/>
                        </w:rPr>
                        <m:t>Q</m:t>
                      </m:r>
                    </m:e>
                    <m:sub>
                      <m:r>
                        <m:rPr>
                          <m:sty m:val="p"/>
                        </m:rPr>
                        <w:rPr>
                          <w:rFonts w:ascii="Cambria Math" w:hAnsi="Cambria Math" w:cs="Times New Roman"/>
                        </w:rPr>
                        <m:t>i</m:t>
                      </m:r>
                    </m:sub>
                  </m:sSub>
                </m:e>
              </m:d>
              <m:sSub>
                <m:sSubPr>
                  <m:ctrlPr>
                    <w:rPr>
                      <w:rFonts w:ascii="Cambria Math" w:hAnsi="Cambria Math" w:cs="Times New Roman"/>
                    </w:rPr>
                  </m:ctrlPr>
                </m:sSubPr>
                <m:e>
                  <m:r>
                    <m:rPr>
                      <m:sty m:val="p"/>
                    </m:rPr>
                    <w:rPr>
                      <w:rFonts w:ascii="Cambria Math" w:hAnsi="Cambria Math" w:cs="Times New Roman"/>
                    </w:rPr>
                    <m:t>ṫ</m:t>
                  </m:r>
                </m:e>
                <m:sub>
                  <m:r>
                    <m:rPr>
                      <m:sty m:val="p"/>
                    </m:rPr>
                    <w:rPr>
                      <w:rFonts w:ascii="Cambria Math" w:hAnsi="Cambria Math" w:cs="Times New Roman"/>
                    </w:rPr>
                    <m:t>i</m:t>
                  </m:r>
                </m:sub>
              </m:sSub>
              <m:r>
                <w:rPr>
                  <w:rFonts w:ascii="Cambria Math" w:hAnsi="Cambria Math" w:cs="Times New Roman"/>
                </w:rPr>
                <m:t>#(</m:t>
              </m:r>
              <m:r>
                <m:rPr>
                  <m:sty m:val="p"/>
                </m:rPr>
                <w:rPr>
                  <w:rFonts w:ascii="Cambria Math" w:hAnsi="Cambria Math" w:cs="Times New Roman"/>
                </w:rPr>
                <m:t>11</m:t>
              </m:r>
              <m:r>
                <w:rPr>
                  <w:rFonts w:ascii="Cambria Math" w:hAnsi="Cambria Math" w:cs="Times New Roman"/>
                </w:rPr>
                <m:t>)</m:t>
              </m:r>
            </m:e>
          </m:eqArr>
        </m:oMath>
      </m:oMathPara>
    </w:p>
    <w:p w14:paraId="5862A499" w14:textId="77777777" w:rsidR="007D6E34" w:rsidRDefault="007D6E34" w:rsidP="007D6E34">
      <w:r>
        <w:t>where:</w:t>
      </w:r>
    </w:p>
    <w:p w14:paraId="5B5158A6" w14:textId="77777777" w:rsidR="007D6E34" w:rsidRDefault="007D6E34" w:rsidP="007D6E34">
      <w:r>
        <w:rPr>
          <w:rFonts w:cs="Times New Roman"/>
        </w:rPr>
        <w:t>Ѷ</w:t>
      </w:r>
      <w:r>
        <w:rPr>
          <w:vertAlign w:val="subscript"/>
        </w:rPr>
        <w:t xml:space="preserve">i </w:t>
      </w:r>
      <w:r w:rsidRPr="00480E1B">
        <w:t>=</w:t>
      </w:r>
      <w:r>
        <w:t xml:space="preserve"> volume of water injected until the center of mass of the tracer is released [L</w:t>
      </w:r>
      <w:r w:rsidRPr="00B743B9">
        <w:rPr>
          <w:vertAlign w:val="superscript"/>
        </w:rPr>
        <w:t>3</w:t>
      </w:r>
      <w:r>
        <w:t>]</w:t>
      </w:r>
    </w:p>
    <w:p w14:paraId="5AC2B4B1" w14:textId="77777777" w:rsidR="007D6E34" w:rsidRDefault="007D6E34" w:rsidP="007D6E34">
      <w:r>
        <w:t>The average displacement of the tracer, due to extraction, occurs when one-half of the mass of the tracer has been recovered, and is given by integration of the concentration versus volume data, i.e., the breakthrough curve, as:</w:t>
      </w:r>
    </w:p>
    <w:p w14:paraId="7A9AC2B7" w14:textId="77777777" w:rsidR="007D6E34" w:rsidRDefault="00CA2C3C" w:rsidP="007D6E34">
      <m:oMathPara>
        <m:oMath>
          <m:eqArr>
            <m:eqArrPr>
              <m:maxDist m:val="1"/>
              <m:ctrlPr>
                <w:rPr>
                  <w:rFonts w:ascii="Cambria Math" w:hAnsi="Cambria Math" w:cs="Times New Roman"/>
                  <w:i/>
                </w:rPr>
              </m:ctrlPr>
            </m:eqArrPr>
            <m:e>
              <m:sSub>
                <m:sSubPr>
                  <m:ctrlPr>
                    <w:rPr>
                      <w:rFonts w:ascii="Cambria Math" w:hAnsi="Cambria Math" w:cs="Times New Roman"/>
                    </w:rPr>
                  </m:ctrlPr>
                </m:sSubPr>
                <m:e>
                  <m:r>
                    <m:rPr>
                      <m:sty m:val="p"/>
                    </m:rPr>
                    <w:rPr>
                      <w:rFonts w:ascii="Cambria Math" w:hAnsi="Cambria Math" w:cs="Times New Roman"/>
                    </w:rPr>
                    <m:t>M</m:t>
                  </m:r>
                </m:e>
                <m:sub>
                  <m:r>
                    <m:rPr>
                      <m:sty m:val="p"/>
                    </m:rPr>
                    <w:rPr>
                      <w:rFonts w:ascii="Cambria Math" w:hAnsi="Cambria Math" w:cs="Times New Roman"/>
                    </w:rPr>
                    <m:t>e</m:t>
                  </m:r>
                </m:sub>
              </m:sSub>
              <m:r>
                <m:rPr>
                  <m:sty m:val="p"/>
                </m:rP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2</m:t>
                  </m:r>
                </m:den>
              </m:f>
              <m:nary>
                <m:naryPr>
                  <m:limLoc m:val="subSup"/>
                  <m:ctrlPr>
                    <w:rPr>
                      <w:rFonts w:ascii="Cambria Math" w:hAnsi="Cambria Math" w:cs="Times New Roman"/>
                    </w:rPr>
                  </m:ctrlPr>
                </m:naryPr>
                <m:sub>
                  <m:sSub>
                    <m:sSubPr>
                      <m:ctrlPr>
                        <w:rPr>
                          <w:rFonts w:ascii="Cambria Math" w:hAnsi="Cambria Math" w:cs="Times New Roman"/>
                        </w:rPr>
                      </m:ctrlPr>
                    </m:sSubPr>
                    <m:e>
                      <m:r>
                        <m:rPr>
                          <m:sty m:val="p"/>
                        </m:rPr>
                        <w:rPr>
                          <w:rFonts w:ascii="Cambria Math" w:hAnsi="Cambria Math" w:cs="Times New Roman"/>
                        </w:rPr>
                        <m:t>V</m:t>
                      </m:r>
                    </m:e>
                    <m:sub>
                      <m:r>
                        <m:rPr>
                          <m:sty m:val="p"/>
                        </m:rPr>
                        <w:rPr>
                          <w:rFonts w:ascii="Cambria Math" w:hAnsi="Cambria Math" w:cs="Times New Roman"/>
                        </w:rPr>
                        <m:t>0</m:t>
                      </m:r>
                    </m:sub>
                  </m:sSub>
                </m:sub>
                <m:sup>
                  <m:sSub>
                    <m:sSubPr>
                      <m:ctrlPr>
                        <w:rPr>
                          <w:rFonts w:ascii="Cambria Math" w:hAnsi="Cambria Math" w:cs="Times New Roman"/>
                        </w:rPr>
                      </m:ctrlPr>
                    </m:sSubPr>
                    <m:e>
                      <m:r>
                        <m:rPr>
                          <m:sty m:val="p"/>
                        </m:rPr>
                        <w:rPr>
                          <w:rFonts w:ascii="Cambria Math" w:hAnsi="Cambria Math" w:cs="Times New Roman"/>
                        </w:rPr>
                        <m:t>V</m:t>
                      </m:r>
                    </m:e>
                    <m:sub>
                      <m:r>
                        <m:rPr>
                          <m:sty m:val="p"/>
                        </m:rPr>
                        <w:rPr>
                          <w:rFonts w:ascii="Cambria Math" w:hAnsi="Cambria Math" w:cs="Times New Roman"/>
                        </w:rPr>
                        <m:t>1</m:t>
                      </m:r>
                    </m:sub>
                  </m:sSub>
                </m:sup>
                <m:e>
                  <m:r>
                    <m:rPr>
                      <m:sty m:val="p"/>
                    </m:rPr>
                    <w:rPr>
                      <w:rFonts w:ascii="Cambria Math" w:hAnsi="Cambria Math" w:cs="Times New Roman"/>
                    </w:rPr>
                    <m:t>C(V)dV</m:t>
                  </m:r>
                </m:e>
              </m:nary>
              <m:r>
                <w:rPr>
                  <w:rFonts w:ascii="Cambria Math" w:hAnsi="Cambria Math" w:cs="Times New Roman"/>
                </w:rPr>
                <m:t>#(</m:t>
              </m:r>
              <m:r>
                <m:rPr>
                  <m:sty m:val="p"/>
                </m:rPr>
                <w:rPr>
                  <w:rFonts w:ascii="Cambria Math" w:hAnsi="Cambria Math" w:cs="Times New Roman"/>
                </w:rPr>
                <m:t>12</m:t>
              </m:r>
              <m:r>
                <w:rPr>
                  <w:rFonts w:ascii="Cambria Math" w:hAnsi="Cambria Math" w:cs="Times New Roman"/>
                </w:rPr>
                <m:t>)</m:t>
              </m:r>
            </m:e>
          </m:eqArr>
        </m:oMath>
      </m:oMathPara>
    </w:p>
    <w:p w14:paraId="1E2CCD36" w14:textId="77777777" w:rsidR="007D6E34" w:rsidRDefault="007D6E34" w:rsidP="007D6E34">
      <w:r>
        <w:t>where:</w:t>
      </w:r>
    </w:p>
    <w:p w14:paraId="37C9454B" w14:textId="77777777" w:rsidR="007D6E34" w:rsidRDefault="007D6E34" w:rsidP="007D6E34">
      <w:r>
        <w:t>M</w:t>
      </w:r>
      <w:r>
        <w:rPr>
          <w:vertAlign w:val="subscript"/>
        </w:rPr>
        <w:t xml:space="preserve">e </w:t>
      </w:r>
      <w:r w:rsidRPr="002D2EB5">
        <w:t>=</w:t>
      </w:r>
      <w:r>
        <w:t xml:space="preserve"> one-half of the mass of the recovered tracer [M]</w:t>
      </w:r>
    </w:p>
    <w:p w14:paraId="3F741C52" w14:textId="77777777" w:rsidR="007D6E34" w:rsidRDefault="007D6E34" w:rsidP="007D6E34">
      <w:r>
        <w:rPr>
          <w:rFonts w:cs="Times New Roman"/>
        </w:rPr>
        <w:t>V</w:t>
      </w:r>
      <w:r>
        <w:rPr>
          <w:vertAlign w:val="subscript"/>
        </w:rPr>
        <w:t xml:space="preserve">o </w:t>
      </w:r>
      <w:r w:rsidRPr="00480E1B">
        <w:t>=</w:t>
      </w:r>
      <w:r>
        <w:t xml:space="preserve"> volume of water recovered at the start of extraction pumping [L</w:t>
      </w:r>
      <w:r w:rsidRPr="00DA15D9">
        <w:rPr>
          <w:vertAlign w:val="superscript"/>
        </w:rPr>
        <w:t>3</w:t>
      </w:r>
      <w:r>
        <w:t>]</w:t>
      </w:r>
    </w:p>
    <w:p w14:paraId="646F59F7" w14:textId="77777777" w:rsidR="007D6E34" w:rsidRDefault="007D6E34" w:rsidP="007D6E34">
      <w:r>
        <w:rPr>
          <w:rFonts w:cs="Times New Roman"/>
        </w:rPr>
        <w:t>V</w:t>
      </w:r>
      <w:r>
        <w:rPr>
          <w:vertAlign w:val="subscript"/>
        </w:rPr>
        <w:t>1</w:t>
      </w:r>
      <w:r>
        <w:t xml:space="preserve"> = volume of water recovered at the end of extraction pumping [L</w:t>
      </w:r>
      <w:r w:rsidRPr="00DA15D9">
        <w:rPr>
          <w:vertAlign w:val="superscript"/>
        </w:rPr>
        <w:t>3</w:t>
      </w:r>
      <w:r>
        <w:t>]</w:t>
      </w:r>
    </w:p>
    <w:p w14:paraId="1EDB5351" w14:textId="77777777" w:rsidR="007D6E34" w:rsidRDefault="007D6E34" w:rsidP="007D6E34">
      <w:r>
        <w:t>C(V) = concentration of the tracer (C) [M/L</w:t>
      </w:r>
      <w:r w:rsidRPr="00DA15D9">
        <w:rPr>
          <w:vertAlign w:val="superscript"/>
        </w:rPr>
        <w:t>3</w:t>
      </w:r>
      <w:r>
        <w:t>] as a function of the volume (V) [L</w:t>
      </w:r>
      <w:r w:rsidRPr="00DA15D9">
        <w:rPr>
          <w:vertAlign w:val="superscript"/>
        </w:rPr>
        <w:t>3</w:t>
      </w:r>
      <w:r>
        <w:t xml:space="preserve">] of water extracted </w:t>
      </w:r>
    </w:p>
    <w:p w14:paraId="5F180432" w14:textId="77777777" w:rsidR="007D6E34" w:rsidRDefault="007D6E34" w:rsidP="007D6E34">
      <w:r>
        <w:t>The corresponding volume at which one-half of the mass of the tracer has been recovered is given by evaluating the solution to (12) at M</w:t>
      </w:r>
      <w:r w:rsidRPr="00256FAC">
        <w:rPr>
          <w:vertAlign w:val="subscript"/>
        </w:rPr>
        <w:t>e</w:t>
      </w:r>
      <w:r>
        <w:t xml:space="preserve"> by:</w:t>
      </w:r>
    </w:p>
    <w:p w14:paraId="3765CDBA" w14:textId="77777777" w:rsidR="007D6E34" w:rsidRPr="0009740A" w:rsidRDefault="00CA2C3C" w:rsidP="007D6E34">
      <m:oMathPara>
        <m:oMath>
          <m:eqArr>
            <m:eqArrPr>
              <m:maxDist m:val="1"/>
              <m:ctrlPr>
                <w:rPr>
                  <w:rFonts w:ascii="Cambria Math" w:hAnsi="Cambria Math" w:cs="Times New Roman"/>
                  <w:i/>
                </w:rPr>
              </m:ctrlPr>
            </m:eqArrPr>
            <m:e>
              <m:sSub>
                <m:sSubPr>
                  <m:ctrlPr>
                    <w:rPr>
                      <w:rFonts w:ascii="Cambria Math" w:hAnsi="Cambria Math" w:cs="Times New Roman"/>
                    </w:rPr>
                  </m:ctrlPr>
                </m:sSubPr>
                <m:e>
                  <m:r>
                    <m:rPr>
                      <m:sty m:val="p"/>
                    </m:rPr>
                    <w:rPr>
                      <w:rFonts w:ascii="Cambria Math" w:hAnsi="Cambria Math" w:cs="Times New Roman"/>
                    </w:rPr>
                    <m:t>M</m:t>
                  </m:r>
                </m:e>
                <m:sub>
                  <m:r>
                    <m:rPr>
                      <m:sty m:val="p"/>
                    </m:rPr>
                    <w:rPr>
                      <w:rFonts w:ascii="Cambria Math" w:hAnsi="Cambria Math" w:cs="Times New Roman"/>
                    </w:rPr>
                    <m:t>e</m:t>
                  </m:r>
                </m:sub>
              </m:sSub>
              <m:r>
                <m:rPr>
                  <m:sty m:val="p"/>
                </m:rPr>
                <w:rPr>
                  <w:rFonts w:ascii="Cambria Math" w:hAnsi="Cambria Math" w:cs="Times New Roman"/>
                </w:rPr>
                <m:t>=M(</m:t>
              </m:r>
              <m:sSub>
                <m:sSubPr>
                  <m:ctrlPr>
                    <w:rPr>
                      <w:rFonts w:ascii="Cambria Math" w:hAnsi="Cambria Math" w:cs="Times New Roman"/>
                    </w:rPr>
                  </m:ctrlPr>
                </m:sSubPr>
                <m:e>
                  <m:r>
                    <m:rPr>
                      <m:sty m:val="p"/>
                    </m:rPr>
                    <w:rPr>
                      <w:rFonts w:ascii="Cambria Math" w:hAnsi="Cambria Math" w:cs="Times New Roman"/>
                    </w:rPr>
                    <m:t>Ѷ</m:t>
                  </m:r>
                </m:e>
                <m:sub>
                  <m:r>
                    <m:rPr>
                      <m:sty m:val="p"/>
                    </m:rPr>
                    <w:rPr>
                      <w:rFonts w:ascii="Cambria Math" w:hAnsi="Cambria Math" w:cs="Times New Roman"/>
                    </w:rPr>
                    <m:t>e</m:t>
                  </m:r>
                </m:sub>
              </m:sSub>
              <m:r>
                <m:rPr>
                  <m:sty m:val="p"/>
                </m:rPr>
                <w:rPr>
                  <w:rFonts w:ascii="Cambria Math" w:hAnsi="Cambria Math" w:cs="Times New Roman"/>
                </w:rPr>
                <m:t>)</m:t>
              </m:r>
              <m:r>
                <w:rPr>
                  <w:rFonts w:ascii="Cambria Math" w:hAnsi="Cambria Math" w:cs="Times New Roman"/>
                </w:rPr>
                <m:t>#(</m:t>
              </m:r>
              <m:r>
                <m:rPr>
                  <m:sty m:val="p"/>
                </m:rPr>
                <w:rPr>
                  <w:rFonts w:ascii="Cambria Math" w:hAnsi="Cambria Math" w:cs="Times New Roman"/>
                </w:rPr>
                <m:t>13</m:t>
              </m:r>
              <m:r>
                <w:rPr>
                  <w:rFonts w:ascii="Cambria Math" w:hAnsi="Cambria Math" w:cs="Times New Roman"/>
                </w:rPr>
                <m:t>)</m:t>
              </m:r>
            </m:e>
          </m:eqArr>
        </m:oMath>
      </m:oMathPara>
    </w:p>
    <w:p w14:paraId="5792310F" w14:textId="77777777" w:rsidR="007D6E34" w:rsidRDefault="007D6E34" w:rsidP="007D6E34">
      <w:r>
        <w:t>where:</w:t>
      </w:r>
    </w:p>
    <w:p w14:paraId="1E70FA26" w14:textId="77777777" w:rsidR="007D6E34" w:rsidRDefault="007D6E34" w:rsidP="007D6E34">
      <w:r>
        <w:lastRenderedPageBreak/>
        <w:t>M(</w:t>
      </w:r>
      <w:r>
        <w:rPr>
          <w:rFonts w:cs="Times New Roman"/>
        </w:rPr>
        <w:t>Ѷ</w:t>
      </w:r>
      <w:r w:rsidRPr="000C6EA6">
        <w:rPr>
          <w:vertAlign w:val="subscript"/>
        </w:rPr>
        <w:t>e</w:t>
      </w:r>
      <w:r w:rsidRPr="00C404D9">
        <w:t>)</w:t>
      </w:r>
      <w:r>
        <w:rPr>
          <w:vertAlign w:val="subscript"/>
        </w:rPr>
        <w:t xml:space="preserve"> </w:t>
      </w:r>
      <w:r w:rsidRPr="00480E1B">
        <w:t>=</w:t>
      </w:r>
      <w:r>
        <w:t xml:space="preserve"> mass of the tracer (M) [M] as a function of volume (</w:t>
      </w:r>
      <w:r>
        <w:rPr>
          <w:rFonts w:cs="Times New Roman"/>
        </w:rPr>
        <w:t>Ѷ</w:t>
      </w:r>
      <w:r w:rsidRPr="00C404D9">
        <w:rPr>
          <w:vertAlign w:val="subscript"/>
        </w:rPr>
        <w:t>e</w:t>
      </w:r>
      <w:r>
        <w:t>) [L</w:t>
      </w:r>
      <w:r w:rsidRPr="00256FAC">
        <w:rPr>
          <w:vertAlign w:val="superscript"/>
        </w:rPr>
        <w:t>3</w:t>
      </w:r>
      <w:r>
        <w:t>] at which one-half of the mass of the tracer has been recovered</w:t>
      </w:r>
    </w:p>
    <w:p w14:paraId="6F393448" w14:textId="29E495DB" w:rsidR="007D6E34" w:rsidRDefault="007D6E34" w:rsidP="007D6E34">
      <w:r>
        <w:t xml:space="preserve">It is important to note that the solution to (12) can be estimated numerically, as opposed to solved analytically, and doing so would allow for estimating </w:t>
      </w:r>
      <w:r>
        <w:rPr>
          <w:rFonts w:cs="Times New Roman"/>
        </w:rPr>
        <w:t>Ѷ</w:t>
      </w:r>
      <w:r w:rsidRPr="000C6EA6">
        <w:rPr>
          <w:vertAlign w:val="subscript"/>
        </w:rPr>
        <w:t>e</w:t>
      </w:r>
      <w:r w:rsidR="000A5750">
        <w:t xml:space="preserve">. </w:t>
      </w:r>
      <w:r>
        <w:t xml:space="preserve">The corresponding times at which </w:t>
      </w:r>
      <w:r>
        <w:rPr>
          <w:rFonts w:cs="Times New Roman"/>
        </w:rPr>
        <w:t>Ѷ</w:t>
      </w:r>
      <w:r w:rsidRPr="00282836">
        <w:rPr>
          <w:vertAlign w:val="subscript"/>
        </w:rPr>
        <w:t>i</w:t>
      </w:r>
      <w:r>
        <w:t xml:space="preserve"> and </w:t>
      </w:r>
      <w:r>
        <w:rPr>
          <w:rFonts w:cs="Times New Roman"/>
        </w:rPr>
        <w:t>Ѷ</w:t>
      </w:r>
      <w:r w:rsidRPr="00282836">
        <w:rPr>
          <w:vertAlign w:val="subscript"/>
        </w:rPr>
        <w:t>e</w:t>
      </w:r>
      <w:r>
        <w:rPr>
          <w:vertAlign w:val="subscript"/>
        </w:rPr>
        <w:t xml:space="preserve"> </w:t>
      </w:r>
      <w:r>
        <w:t>occur are given as:</w:t>
      </w:r>
    </w:p>
    <w:p w14:paraId="00979C01" w14:textId="77777777" w:rsidR="007D6E34" w:rsidRDefault="00CA2C3C" w:rsidP="007D6E34">
      <m:oMathPara>
        <m:oMath>
          <m:eqArr>
            <m:eqArrPr>
              <m:maxDist m:val="1"/>
              <m:ctrlPr>
                <w:rPr>
                  <w:rFonts w:ascii="Cambria Math" w:hAnsi="Cambria Math" w:cs="Times New Roman"/>
                  <w:i/>
                </w:rPr>
              </m:ctrlPr>
            </m:eqArrPr>
            <m:e>
              <m:sSub>
                <m:sSubPr>
                  <m:ctrlPr>
                    <w:rPr>
                      <w:rFonts w:ascii="Cambria Math" w:hAnsi="Cambria Math" w:cs="Times New Roman"/>
                    </w:rPr>
                  </m:ctrlPr>
                </m:sSubPr>
                <m:e>
                  <m:r>
                    <m:rPr>
                      <m:sty m:val="p"/>
                    </m:rPr>
                    <w:rPr>
                      <w:rFonts w:ascii="Cambria Math" w:hAnsi="Cambria Math" w:cs="Times New Roman"/>
                    </w:rPr>
                    <m:t>ṫ</m:t>
                  </m:r>
                </m:e>
                <m:sub>
                  <m:r>
                    <m:rPr>
                      <m:sty m:val="p"/>
                    </m:rPr>
                    <w:rPr>
                      <w:rFonts w:ascii="Cambria Math" w:hAnsi="Cambria Math" w:cs="Times New Roman"/>
                    </w:rPr>
                    <m:t>i</m:t>
                  </m:r>
                </m:sub>
              </m:sSub>
              <m:r>
                <m:rPr>
                  <m:sty m:val="p"/>
                </m:rPr>
                <w:rPr>
                  <w:rFonts w:ascii="Cambria Math" w:hAnsi="Cambria Math" w:cs="Times New Roman"/>
                </w:rPr>
                <m:t>=</m:t>
              </m:r>
              <m:f>
                <m:fPr>
                  <m:ctrlPr>
                    <w:rPr>
                      <w:rFonts w:ascii="Cambria Math" w:hAnsi="Cambria Math" w:cs="Times New Roman"/>
                    </w:rPr>
                  </m:ctrlPr>
                </m:fPr>
                <m:num>
                  <m:r>
                    <w:rPr>
                      <w:rFonts w:ascii="Cambria Math" w:hAnsi="Cambria Math" w:cs="Times New Roman"/>
                    </w:rPr>
                    <m:t>Ѷ</m:t>
                  </m:r>
                </m:num>
                <m:den>
                  <m:d>
                    <m:dPr>
                      <m:begChr m:val="|"/>
                      <m:endChr m:val="|"/>
                      <m:ctrlPr>
                        <w:rPr>
                          <w:rFonts w:ascii="Cambria Math" w:hAnsi="Cambria Math" w:cs="Times New Roman"/>
                        </w:rPr>
                      </m:ctrlPr>
                    </m:dPr>
                    <m:e>
                      <m:sSub>
                        <m:sSubPr>
                          <m:ctrlPr>
                            <w:rPr>
                              <w:rFonts w:ascii="Cambria Math" w:hAnsi="Cambria Math" w:cs="Times New Roman"/>
                            </w:rPr>
                          </m:ctrlPr>
                        </m:sSubPr>
                        <m:e>
                          <m:r>
                            <m:rPr>
                              <m:sty m:val="p"/>
                            </m:rPr>
                            <w:rPr>
                              <w:rFonts w:ascii="Cambria Math" w:hAnsi="Cambria Math" w:cs="Times New Roman"/>
                            </w:rPr>
                            <m:t>Q</m:t>
                          </m:r>
                        </m:e>
                        <m:sub>
                          <m:r>
                            <m:rPr>
                              <m:sty m:val="p"/>
                            </m:rPr>
                            <w:rPr>
                              <w:rFonts w:ascii="Cambria Math" w:hAnsi="Cambria Math" w:cs="Times New Roman"/>
                            </w:rPr>
                            <m:t>i</m:t>
                          </m:r>
                        </m:sub>
                      </m:sSub>
                    </m:e>
                  </m:d>
                </m:den>
              </m:f>
              <m:r>
                <w:rPr>
                  <w:rFonts w:ascii="Cambria Math" w:hAnsi="Cambria Math" w:cs="Times New Roman"/>
                </w:rPr>
                <m:t>#(</m:t>
              </m:r>
              <m:r>
                <m:rPr>
                  <m:sty m:val="p"/>
                </m:rPr>
                <w:rPr>
                  <w:rFonts w:ascii="Cambria Math" w:hAnsi="Cambria Math" w:cs="Times New Roman"/>
                </w:rPr>
                <m:t>14</m:t>
              </m:r>
              <m:r>
                <w:rPr>
                  <w:rFonts w:ascii="Cambria Math" w:hAnsi="Cambria Math" w:cs="Times New Roman"/>
                </w:rPr>
                <m:t>)</m:t>
              </m:r>
            </m:e>
          </m:eqArr>
        </m:oMath>
      </m:oMathPara>
    </w:p>
    <w:p w14:paraId="534890ED" w14:textId="77777777" w:rsidR="007D6E34" w:rsidRDefault="00CA2C3C" w:rsidP="007D6E34">
      <m:oMathPara>
        <m:oMath>
          <m:eqArr>
            <m:eqArrPr>
              <m:maxDist m:val="1"/>
              <m:ctrlPr>
                <w:rPr>
                  <w:rFonts w:ascii="Cambria Math" w:hAnsi="Cambria Math" w:cs="Times New Roman"/>
                  <w:i/>
                </w:rPr>
              </m:ctrlPr>
            </m:eqArrPr>
            <m:e>
              <m:sSub>
                <m:sSubPr>
                  <m:ctrlPr>
                    <w:rPr>
                      <w:rFonts w:ascii="Cambria Math" w:hAnsi="Cambria Math" w:cs="Times New Roman"/>
                    </w:rPr>
                  </m:ctrlPr>
                </m:sSubPr>
                <m:e>
                  <m:r>
                    <m:rPr>
                      <m:sty m:val="p"/>
                    </m:rPr>
                    <w:rPr>
                      <w:rFonts w:ascii="Cambria Math" w:hAnsi="Cambria Math" w:cs="Times New Roman"/>
                    </w:rPr>
                    <m:t>ṫ</m:t>
                  </m:r>
                </m:e>
                <m:sub>
                  <m:r>
                    <m:rPr>
                      <m:sty m:val="p"/>
                    </m:rPr>
                    <w:rPr>
                      <w:rFonts w:ascii="Cambria Math" w:hAnsi="Cambria Math" w:cs="Times New Roman"/>
                    </w:rPr>
                    <m:t>e</m:t>
                  </m:r>
                </m:sub>
              </m:sSub>
              <m:r>
                <m:rPr>
                  <m:sty m:val="p"/>
                </m:rP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m:rPr>
                          <m:sty m:val="p"/>
                        </m:rPr>
                        <w:rPr>
                          <w:rFonts w:ascii="Cambria Math" w:hAnsi="Cambria Math" w:cs="Times New Roman"/>
                        </w:rPr>
                        <m:t>Ѷ</m:t>
                      </m:r>
                    </m:e>
                    <m:sub>
                      <m:r>
                        <m:rPr>
                          <m:sty m:val="p"/>
                        </m:rPr>
                        <w:rPr>
                          <w:rFonts w:ascii="Cambria Math" w:hAnsi="Cambria Math" w:cs="Times New Roman"/>
                        </w:rPr>
                        <m:t>e</m:t>
                      </m:r>
                    </m:sub>
                  </m:sSub>
                </m:num>
                <m:den>
                  <m:d>
                    <m:dPr>
                      <m:begChr m:val="|"/>
                      <m:endChr m:val="|"/>
                      <m:ctrlPr>
                        <w:rPr>
                          <w:rFonts w:ascii="Cambria Math" w:hAnsi="Cambria Math" w:cs="Times New Roman"/>
                        </w:rPr>
                      </m:ctrlPr>
                    </m:dPr>
                    <m:e>
                      <m:sSub>
                        <m:sSubPr>
                          <m:ctrlPr>
                            <w:rPr>
                              <w:rFonts w:ascii="Cambria Math" w:hAnsi="Cambria Math" w:cs="Times New Roman"/>
                            </w:rPr>
                          </m:ctrlPr>
                        </m:sSubPr>
                        <m:e>
                          <m:r>
                            <m:rPr>
                              <m:sty m:val="p"/>
                            </m:rPr>
                            <w:rPr>
                              <w:rFonts w:ascii="Cambria Math" w:hAnsi="Cambria Math" w:cs="Times New Roman"/>
                            </w:rPr>
                            <m:t>Q</m:t>
                          </m:r>
                        </m:e>
                        <m:sub>
                          <m:r>
                            <m:rPr>
                              <m:sty m:val="p"/>
                            </m:rPr>
                            <w:rPr>
                              <w:rFonts w:ascii="Cambria Math" w:hAnsi="Cambria Math" w:cs="Times New Roman"/>
                            </w:rPr>
                            <m:t>e</m:t>
                          </m:r>
                        </m:sub>
                      </m:sSub>
                    </m:e>
                  </m:d>
                </m:den>
              </m:f>
              <m:r>
                <w:rPr>
                  <w:rFonts w:ascii="Cambria Math" w:hAnsi="Cambria Math" w:cs="Times New Roman"/>
                </w:rPr>
                <m:t>#(</m:t>
              </m:r>
              <m:r>
                <m:rPr>
                  <m:sty m:val="p"/>
                </m:rPr>
                <w:rPr>
                  <w:rFonts w:ascii="Cambria Math" w:hAnsi="Cambria Math" w:cs="Times New Roman"/>
                </w:rPr>
                <m:t>15</m:t>
              </m:r>
              <m:r>
                <w:rPr>
                  <w:rFonts w:ascii="Cambria Math" w:hAnsi="Cambria Math" w:cs="Times New Roman"/>
                </w:rPr>
                <m:t>)</m:t>
              </m:r>
            </m:e>
          </m:eqArr>
        </m:oMath>
      </m:oMathPara>
    </w:p>
    <w:p w14:paraId="21ECC7A4" w14:textId="77777777" w:rsidR="007D6E34" w:rsidRPr="000231F6" w:rsidRDefault="007D6E34" w:rsidP="007D6E34">
      <w:r>
        <w:t xml:space="preserve">Substituting </w:t>
      </w:r>
      <w:r>
        <w:rPr>
          <w:rFonts w:cs="Times New Roman"/>
        </w:rPr>
        <w:t>Ѷ</w:t>
      </w:r>
      <w:r w:rsidRPr="00E023CC">
        <w:rPr>
          <w:vertAlign w:val="subscript"/>
        </w:rPr>
        <w:t>i</w:t>
      </w:r>
      <w:r>
        <w:t xml:space="preserve"> in (11), </w:t>
      </w:r>
      <w:r>
        <w:rPr>
          <w:rFonts w:cs="Times New Roman"/>
        </w:rPr>
        <w:t>Ѷ</w:t>
      </w:r>
      <w:r w:rsidRPr="00E023CC">
        <w:rPr>
          <w:vertAlign w:val="subscript"/>
        </w:rPr>
        <w:t>e</w:t>
      </w:r>
      <w:r>
        <w:t xml:space="preserve"> in (13), </w:t>
      </w:r>
      <w:r>
        <w:rPr>
          <w:rFonts w:cs="Times New Roman"/>
        </w:rPr>
        <w:t>ṫ</w:t>
      </w:r>
      <w:r>
        <w:rPr>
          <w:vertAlign w:val="subscript"/>
        </w:rPr>
        <w:t xml:space="preserve">i </w:t>
      </w:r>
      <w:r w:rsidRPr="000976FC">
        <w:t>in</w:t>
      </w:r>
      <w:r w:rsidRPr="00994F14">
        <w:t xml:space="preserve"> (1</w:t>
      </w:r>
      <w:r>
        <w:t>4</w:t>
      </w:r>
      <w:r w:rsidRPr="00994F14">
        <w:t>)</w:t>
      </w:r>
      <w:r>
        <w:t xml:space="preserve">, and </w:t>
      </w:r>
      <w:r>
        <w:rPr>
          <w:rFonts w:cs="Times New Roman"/>
        </w:rPr>
        <w:t>ṫ</w:t>
      </w:r>
      <w:r>
        <w:rPr>
          <w:vertAlign w:val="subscript"/>
        </w:rPr>
        <w:t>e</w:t>
      </w:r>
      <w:r>
        <w:t xml:space="preserve"> </w:t>
      </w:r>
      <w:r w:rsidRPr="00994F14">
        <w:t>in (</w:t>
      </w:r>
      <w:r>
        <w:t>15</w:t>
      </w:r>
      <w:r w:rsidRPr="00994F14">
        <w:t>)</w:t>
      </w:r>
      <w:r>
        <w:t xml:space="preserve"> for Q</w:t>
      </w:r>
      <w:r w:rsidRPr="00957198">
        <w:rPr>
          <w:vertAlign w:val="subscript"/>
        </w:rPr>
        <w:t>i</w:t>
      </w:r>
      <w:r>
        <w:t>t</w:t>
      </w:r>
      <w:r w:rsidRPr="00957198">
        <w:rPr>
          <w:vertAlign w:val="subscript"/>
        </w:rPr>
        <w:t>i</w:t>
      </w:r>
      <w:r>
        <w:t>, Q</w:t>
      </w:r>
      <w:r>
        <w:rPr>
          <w:vertAlign w:val="subscript"/>
        </w:rPr>
        <w:t>e</w:t>
      </w:r>
      <w:r>
        <w:t>t</w:t>
      </w:r>
      <w:r>
        <w:rPr>
          <w:vertAlign w:val="subscript"/>
        </w:rPr>
        <w:t>e</w:t>
      </w:r>
      <w:r w:rsidRPr="00994F14">
        <w:t>,</w:t>
      </w:r>
      <w:r>
        <w:t xml:space="preserve"> </w:t>
      </w:r>
      <w:r>
        <w:rPr>
          <w:rFonts w:cs="Times New Roman"/>
        </w:rPr>
        <w:t>Δ</w:t>
      </w:r>
      <w:r>
        <w:t>t</w:t>
      </w:r>
      <w:r w:rsidRPr="00994F14">
        <w:rPr>
          <w:vertAlign w:val="subscript"/>
        </w:rPr>
        <w:t>a</w:t>
      </w:r>
      <w:r>
        <w:rPr>
          <w:vertAlign w:val="subscript"/>
        </w:rPr>
        <w:t>1</w:t>
      </w:r>
      <w:r w:rsidRPr="00994F14">
        <w:t>,</w:t>
      </w:r>
      <w:r>
        <w:rPr>
          <w:vertAlign w:val="subscript"/>
        </w:rPr>
        <w:t xml:space="preserve"> </w:t>
      </w:r>
      <w:r w:rsidRPr="00994F14">
        <w:t>and</w:t>
      </w:r>
      <w:r>
        <w:rPr>
          <w:vertAlign w:val="subscript"/>
        </w:rPr>
        <w:t xml:space="preserve"> </w:t>
      </w:r>
      <w:r>
        <w:rPr>
          <w:rFonts w:cs="Times New Roman"/>
        </w:rPr>
        <w:t>Δ</w:t>
      </w:r>
      <w:r>
        <w:t>t</w:t>
      </w:r>
      <w:r w:rsidRPr="00994F14">
        <w:rPr>
          <w:vertAlign w:val="subscript"/>
        </w:rPr>
        <w:t>a</w:t>
      </w:r>
      <w:r>
        <w:rPr>
          <w:vertAlign w:val="subscript"/>
        </w:rPr>
        <w:t xml:space="preserve">3 </w:t>
      </w:r>
      <w:r>
        <w:t>in (9), respectively, gives:</w:t>
      </w:r>
    </w:p>
    <w:p w14:paraId="13B3A0F8" w14:textId="77777777" w:rsidR="007D6E34" w:rsidRPr="00AF4FA9" w:rsidRDefault="00CA2C3C" w:rsidP="007D6E34">
      <w:pPr>
        <w:rPr>
          <w:lang w:val="pt-BR"/>
        </w:rPr>
      </w:pPr>
      <m:oMathPara>
        <m:oMath>
          <m:eqArr>
            <m:eqArrPr>
              <m:maxDist m:val="1"/>
              <m:ctrlPr>
                <w:rPr>
                  <w:rFonts w:ascii="Cambria Math" w:hAnsi="Cambria Math" w:cs="Times New Roman"/>
                  <w:i/>
                </w:rPr>
              </m:ctrlPr>
            </m:eqArrPr>
            <m:e>
              <m:sSup>
                <m:sSupPr>
                  <m:ctrlPr>
                    <w:rPr>
                      <w:rFonts w:ascii="Cambria Math" w:hAnsi="Cambria Math" w:cs="Times New Roman"/>
                    </w:rPr>
                  </m:ctrlPr>
                </m:sSupPr>
                <m:e>
                  <m:d>
                    <m:dPr>
                      <m:ctrlPr>
                        <w:rPr>
                          <w:rFonts w:ascii="Cambria Math" w:hAnsi="Cambria Math" w:cs="Times New Roman"/>
                        </w:rPr>
                      </m:ctrlPr>
                    </m:dPr>
                    <m:e>
                      <m:f>
                        <m:fPr>
                          <m:ctrlPr>
                            <w:rPr>
                              <w:rFonts w:ascii="Cambria Math" w:hAnsi="Cambria Math" w:cs="Times New Roman"/>
                            </w:rPr>
                          </m:ctrlPr>
                        </m:fPr>
                        <m:num>
                          <m:sSub>
                            <m:sSubPr>
                              <m:ctrlPr>
                                <w:rPr>
                                  <w:rFonts w:ascii="Cambria Math" w:hAnsi="Cambria Math" w:cs="Times New Roman"/>
                                </w:rPr>
                              </m:ctrlPr>
                            </m:sSubPr>
                            <m:e>
                              <m:r>
                                <m:rPr>
                                  <m:sty m:val="p"/>
                                </m:rPr>
                                <w:rPr>
                                  <w:rFonts w:ascii="Cambria Math" w:hAnsi="Cambria Math" w:cs="Times New Roman"/>
                                </w:rPr>
                                <m:t>Ѷ</m:t>
                              </m:r>
                            </m:e>
                            <m:sub>
                              <m:r>
                                <m:rPr>
                                  <m:sty m:val="p"/>
                                </m:rPr>
                                <w:rPr>
                                  <w:rFonts w:ascii="Cambria Math" w:hAnsi="Cambria Math" w:cs="Times New Roman"/>
                                  <w:lang w:val="pt-BR"/>
                                </w:rPr>
                                <m:t>i</m:t>
                              </m:r>
                            </m:sub>
                          </m:sSub>
                          <m:r>
                            <w:rPr>
                              <w:rFonts w:ascii="Cambria Math" w:hAnsi="Cambria Math" w:cs="Times New Roman"/>
                              <w:lang w:val="pt-BR"/>
                            </w:rPr>
                            <m:t>-</m:t>
                          </m:r>
                          <m:sSub>
                            <m:sSubPr>
                              <m:ctrlPr>
                                <w:rPr>
                                  <w:rFonts w:ascii="Cambria Math" w:hAnsi="Cambria Math" w:cs="Times New Roman"/>
                                </w:rPr>
                              </m:ctrlPr>
                            </m:sSubPr>
                            <m:e>
                              <m:r>
                                <m:rPr>
                                  <m:sty m:val="p"/>
                                </m:rPr>
                                <w:rPr>
                                  <w:rFonts w:ascii="Cambria Math" w:hAnsi="Cambria Math" w:cs="Times New Roman"/>
                                </w:rPr>
                                <m:t>Ѷ</m:t>
                              </m:r>
                            </m:e>
                            <m:sub>
                              <m:r>
                                <m:rPr>
                                  <m:sty m:val="p"/>
                                </m:rPr>
                                <w:rPr>
                                  <w:rFonts w:ascii="Cambria Math" w:hAnsi="Cambria Math" w:cs="Times New Roman"/>
                                  <w:lang w:val="pt-BR"/>
                                </w:rPr>
                                <m:t>e</m:t>
                              </m:r>
                            </m:sub>
                          </m:sSub>
                        </m:num>
                        <m:den>
                          <m:r>
                            <m:rPr>
                              <m:sty m:val="p"/>
                            </m:rPr>
                            <w:rPr>
                              <w:rFonts w:ascii="Cambria Math" w:hAnsi="Cambria Math" w:cs="Times New Roman"/>
                            </w:rPr>
                            <m:t>π</m:t>
                          </m:r>
                          <m:r>
                            <m:rPr>
                              <m:sty m:val="p"/>
                            </m:rPr>
                            <w:rPr>
                              <w:rFonts w:ascii="Cambria Math" w:hAnsi="Cambria Math" w:cs="Times New Roman"/>
                              <w:lang w:val="pt-BR"/>
                            </w:rPr>
                            <m:t>b</m:t>
                          </m:r>
                          <m:sSub>
                            <m:sSubPr>
                              <m:ctrlPr>
                                <w:rPr>
                                  <w:rFonts w:ascii="Cambria Math" w:hAnsi="Cambria Math" w:cs="Times New Roman"/>
                                </w:rPr>
                              </m:ctrlPr>
                            </m:sSubPr>
                            <m:e>
                              <m:r>
                                <m:rPr>
                                  <m:sty m:val="p"/>
                                </m:rPr>
                                <w:rPr>
                                  <w:rFonts w:ascii="Cambria Math" w:hAnsi="Cambria Math" w:cs="Times New Roman"/>
                                  <w:lang w:val="pt-BR"/>
                                </w:rPr>
                                <m:t>n</m:t>
                              </m:r>
                            </m:e>
                            <m:sub>
                              <m:r>
                                <m:rPr>
                                  <m:sty m:val="p"/>
                                </m:rPr>
                                <w:rPr>
                                  <w:rFonts w:ascii="Cambria Math" w:hAnsi="Cambria Math" w:cs="Times New Roman"/>
                                  <w:lang w:val="pt-BR"/>
                                </w:rPr>
                                <m:t>e</m:t>
                              </m:r>
                            </m:sub>
                          </m:sSub>
                        </m:den>
                      </m:f>
                    </m:e>
                  </m:d>
                </m:e>
                <m:sup>
                  <m:f>
                    <m:fPr>
                      <m:type m:val="skw"/>
                      <m:ctrlPr>
                        <w:rPr>
                          <w:rFonts w:ascii="Cambria Math" w:hAnsi="Cambria Math" w:cs="Times New Roman"/>
                        </w:rPr>
                      </m:ctrlPr>
                    </m:fPr>
                    <m:num>
                      <m:r>
                        <m:rPr>
                          <m:sty m:val="p"/>
                        </m:rPr>
                        <w:rPr>
                          <w:rFonts w:ascii="Cambria Math" w:hAnsi="Cambria Math" w:cs="Times New Roman"/>
                          <w:lang w:val="pt-BR"/>
                        </w:rPr>
                        <m:t>1</m:t>
                      </m:r>
                    </m:num>
                    <m:den>
                      <m:r>
                        <m:rPr>
                          <m:sty m:val="p"/>
                        </m:rPr>
                        <w:rPr>
                          <w:rFonts w:ascii="Cambria Math" w:hAnsi="Cambria Math" w:cs="Times New Roman"/>
                          <w:lang w:val="pt-BR"/>
                        </w:rPr>
                        <m:t>2</m:t>
                      </m:r>
                    </m:den>
                  </m:f>
                </m:sup>
              </m:sSup>
              <m:r>
                <w:rPr>
                  <w:rFonts w:ascii="Cambria Math" w:hAnsi="Cambria Math" w:cs="Times New Roman"/>
                  <w:lang w:val="pt-BR"/>
                </w:rPr>
                <m:t>+</m:t>
              </m:r>
              <m:r>
                <m:rPr>
                  <m:sty m:val="p"/>
                </m:rPr>
                <w:rPr>
                  <w:rFonts w:ascii="Cambria Math" w:hAnsi="Cambria Math" w:cs="Times New Roman"/>
                  <w:lang w:val="pt-BR"/>
                </w:rPr>
                <m:t>v</m:t>
              </m:r>
              <m:d>
                <m:dPr>
                  <m:ctrlPr>
                    <w:rPr>
                      <w:rFonts w:ascii="Cambria Math" w:hAnsi="Cambria Math" w:cs="Times New Roman"/>
                    </w:rPr>
                  </m:ctrlPr>
                </m:dPr>
                <m:e>
                  <m:sSub>
                    <m:sSubPr>
                      <m:ctrlPr>
                        <w:rPr>
                          <w:rFonts w:ascii="Cambria Math" w:hAnsi="Cambria Math" w:cs="Times New Roman"/>
                        </w:rPr>
                      </m:ctrlPr>
                    </m:sSubPr>
                    <m:e>
                      <m:r>
                        <m:rPr>
                          <m:sty m:val="p"/>
                        </m:rPr>
                        <w:rPr>
                          <w:rFonts w:ascii="Cambria Math" w:hAnsi="Cambria Math" w:cs="Times New Roman"/>
                          <w:lang w:val="pt-BR"/>
                        </w:rPr>
                        <m:t>ṫ</m:t>
                      </m:r>
                    </m:e>
                    <m:sub>
                      <m:r>
                        <m:rPr>
                          <m:sty m:val="p"/>
                        </m:rPr>
                        <w:rPr>
                          <w:rFonts w:ascii="Cambria Math" w:hAnsi="Cambria Math" w:cs="Times New Roman"/>
                          <w:lang w:val="pt-BR"/>
                        </w:rPr>
                        <m:t>i</m:t>
                      </m:r>
                    </m:sub>
                  </m:sSub>
                  <m:r>
                    <m:rPr>
                      <m:sty m:val="p"/>
                    </m:rPr>
                    <w:rPr>
                      <w:rFonts w:ascii="Cambria Math" w:hAnsi="Cambria Math" w:cs="Times New Roman"/>
                      <w:lang w:val="pt-BR"/>
                    </w:rPr>
                    <m:t>+</m:t>
                  </m:r>
                  <m:sSub>
                    <m:sSubPr>
                      <m:ctrlPr>
                        <w:rPr>
                          <w:rFonts w:ascii="Cambria Math" w:hAnsi="Cambria Math" w:cs="Times New Roman"/>
                        </w:rPr>
                      </m:ctrlPr>
                    </m:sSubPr>
                    <m:e>
                      <m:r>
                        <m:rPr>
                          <m:sty m:val="p"/>
                        </m:rPr>
                        <w:rPr>
                          <w:rFonts w:ascii="Cambria Math" w:hAnsi="Cambria Math" w:cs="Times New Roman"/>
                          <w:lang w:val="pt-BR"/>
                        </w:rPr>
                        <m:t>t</m:t>
                      </m:r>
                    </m:e>
                    <m:sub>
                      <m:r>
                        <m:rPr>
                          <m:sty m:val="p"/>
                        </m:rPr>
                        <w:rPr>
                          <w:rFonts w:ascii="Cambria Math" w:hAnsi="Cambria Math" w:cs="Times New Roman"/>
                          <w:lang w:val="pt-BR"/>
                        </w:rPr>
                        <m:t>d</m:t>
                      </m:r>
                    </m:sub>
                  </m:sSub>
                  <m:sSub>
                    <m:sSubPr>
                      <m:ctrlPr>
                        <w:rPr>
                          <w:rFonts w:ascii="Cambria Math" w:hAnsi="Cambria Math" w:cs="Times New Roman"/>
                        </w:rPr>
                      </m:ctrlPr>
                    </m:sSubPr>
                    <m:e>
                      <m:r>
                        <m:rPr>
                          <m:sty m:val="p"/>
                        </m:rPr>
                        <w:rPr>
                          <w:rFonts w:ascii="Cambria Math" w:hAnsi="Cambria Math" w:cs="Times New Roman"/>
                          <w:lang w:val="pt-BR"/>
                        </w:rPr>
                        <m:t>+ ṫ</m:t>
                      </m:r>
                    </m:e>
                    <m:sub>
                      <m:r>
                        <m:rPr>
                          <m:sty m:val="p"/>
                        </m:rPr>
                        <w:rPr>
                          <w:rFonts w:ascii="Cambria Math" w:hAnsi="Cambria Math" w:cs="Times New Roman"/>
                          <w:lang w:val="pt-BR"/>
                        </w:rPr>
                        <m:t>e</m:t>
                      </m:r>
                    </m:sub>
                  </m:sSub>
                </m:e>
              </m:d>
              <m:r>
                <m:rPr>
                  <m:sty m:val="p"/>
                </m:rPr>
                <w:rPr>
                  <w:rFonts w:ascii="Cambria Math" w:hAnsi="Cambria Math" w:cs="Times New Roman"/>
                  <w:lang w:val="pt-BR"/>
                </w:rPr>
                <m:t xml:space="preserve"> =0</m:t>
              </m:r>
              <m:r>
                <w:rPr>
                  <w:rFonts w:ascii="Cambria Math" w:hAnsi="Cambria Math" w:cs="Times New Roman"/>
                  <w:lang w:val="pt-BR"/>
                </w:rPr>
                <m:t>#(16)</m:t>
              </m:r>
            </m:e>
          </m:eqArr>
        </m:oMath>
      </m:oMathPara>
    </w:p>
    <w:p w14:paraId="6D32FB05" w14:textId="77777777" w:rsidR="007D6E34" w:rsidRPr="000231F6" w:rsidRDefault="007D6E34" w:rsidP="007D6E34">
      <w:r>
        <w:t>where:</w:t>
      </w:r>
    </w:p>
    <w:p w14:paraId="57D4E01B" w14:textId="77777777" w:rsidR="007D6E34" w:rsidRDefault="007D6E34" w:rsidP="007D6E34">
      <w:r w:rsidRPr="00B61F0C">
        <w:t>t</w:t>
      </w:r>
      <w:r w:rsidRPr="00B61F0C">
        <w:rPr>
          <w:vertAlign w:val="subscript"/>
        </w:rPr>
        <w:t>d</w:t>
      </w:r>
      <w:r>
        <w:rPr>
          <w:vertAlign w:val="subscript"/>
        </w:rPr>
        <w:t xml:space="preserve"> </w:t>
      </w:r>
      <w:r w:rsidRPr="00B61F0C">
        <w:t>=</w:t>
      </w:r>
      <w:r>
        <w:t xml:space="preserve"> </w:t>
      </w:r>
      <w:r w:rsidRPr="00FC55FF">
        <w:rPr>
          <w:rFonts w:cs="Times New Roman"/>
        </w:rPr>
        <w:t>Δ</w:t>
      </w:r>
      <w:r>
        <w:t>t</w:t>
      </w:r>
      <w:r w:rsidRPr="00FC55FF">
        <w:rPr>
          <w:vertAlign w:val="subscript"/>
        </w:rPr>
        <w:t>a2</w:t>
      </w:r>
      <w:r>
        <w:rPr>
          <w:vertAlign w:val="subscript"/>
        </w:rPr>
        <w:t xml:space="preserve"> </w:t>
      </w:r>
      <w:r w:rsidRPr="00B61F0C">
        <w:t>(</w:t>
      </w:r>
      <w:r>
        <w:t>time elapsed from the end of water injection until the start of water extraction) [T]</w:t>
      </w:r>
    </w:p>
    <w:p w14:paraId="1CA65E3A" w14:textId="0EBB2E57" w:rsidR="007D6E34" w:rsidRPr="000231F6" w:rsidRDefault="007D6E34" w:rsidP="007D6E34">
      <w:r>
        <w:t>Equation (16) describes the average position of the center of mass of the tracer during the injection, drift, and extraction phases</w:t>
      </w:r>
      <w:r w:rsidR="000A5750">
        <w:t xml:space="preserve">. </w:t>
      </w:r>
      <w:r>
        <w:t xml:space="preserve">Rearranging (16) to solve for average linear groundwater velocity gives: </w:t>
      </w:r>
    </w:p>
    <w:p w14:paraId="3579988F" w14:textId="77777777" w:rsidR="007D6E34" w:rsidRDefault="00CA2C3C" w:rsidP="007D6E34">
      <w:pPr>
        <w:rPr>
          <w:b/>
        </w:rPr>
      </w:pPr>
      <m:oMathPara>
        <m:oMath>
          <m:eqArr>
            <m:eqArrPr>
              <m:maxDist m:val="1"/>
              <m:ctrlPr>
                <w:rPr>
                  <w:rFonts w:ascii="Cambria Math" w:hAnsi="Cambria Math" w:cs="Times New Roman"/>
                  <w:i/>
                </w:rPr>
              </m:ctrlPr>
            </m:eqArrPr>
            <m:e>
              <m:r>
                <m:rPr>
                  <m:sty m:val="p"/>
                </m:rPr>
                <w:rPr>
                  <w:rFonts w:ascii="Cambria Math" w:hAnsi="Cambria Math" w:cs="Times New Roman"/>
                </w:rPr>
                <m:t>v =</m:t>
              </m:r>
              <m:f>
                <m:fPr>
                  <m:ctrlPr>
                    <w:rPr>
                      <w:rFonts w:ascii="Cambria Math" w:hAnsi="Cambria Math" w:cs="Times New Roman"/>
                      <w:i/>
                    </w:rPr>
                  </m:ctrlPr>
                </m:fPr>
                <m:num>
                  <m:sSup>
                    <m:sSupPr>
                      <m:ctrlPr>
                        <w:rPr>
                          <w:rFonts w:ascii="Cambria Math" w:hAnsi="Cambria Math" w:cs="Times New Roman"/>
                        </w:rPr>
                      </m:ctrlPr>
                    </m:sSupPr>
                    <m:e>
                      <m:d>
                        <m:dPr>
                          <m:ctrlPr>
                            <w:rPr>
                              <w:rFonts w:ascii="Cambria Math" w:hAnsi="Cambria Math" w:cs="Times New Roman"/>
                            </w:rPr>
                          </m:ctrlPr>
                        </m:dPr>
                        <m:e>
                          <m:f>
                            <m:fPr>
                              <m:ctrlPr>
                                <w:rPr>
                                  <w:rFonts w:ascii="Cambria Math" w:hAnsi="Cambria Math" w:cs="Times New Roman"/>
                                </w:rPr>
                              </m:ctrlPr>
                            </m:fPr>
                            <m:num>
                              <m:sSub>
                                <m:sSubPr>
                                  <m:ctrlPr>
                                    <w:rPr>
                                      <w:rFonts w:ascii="Cambria Math" w:hAnsi="Cambria Math" w:cs="Times New Roman"/>
                                    </w:rPr>
                                  </m:ctrlPr>
                                </m:sSubPr>
                                <m:e>
                                  <m:r>
                                    <m:rPr>
                                      <m:sty m:val="p"/>
                                    </m:rPr>
                                    <w:rPr>
                                      <w:rFonts w:ascii="Cambria Math" w:hAnsi="Cambria Math" w:cs="Times New Roman"/>
                                    </w:rPr>
                                    <m:t>Ѷ</m:t>
                                  </m:r>
                                </m:e>
                                <m:sub>
                                  <m:r>
                                    <m:rPr>
                                      <m:sty m:val="p"/>
                                    </m:rPr>
                                    <w:rPr>
                                      <w:rFonts w:ascii="Cambria Math" w:hAnsi="Cambria Math" w:cs="Times New Roman"/>
                                    </w:rPr>
                                    <m:t>e</m:t>
                                  </m:r>
                                </m:sub>
                              </m:sSub>
                              <m: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Ѷ</m:t>
                                  </m:r>
                                </m:e>
                                <m:sub>
                                  <m:r>
                                    <m:rPr>
                                      <m:sty m:val="p"/>
                                    </m:rPr>
                                    <w:rPr>
                                      <w:rFonts w:ascii="Cambria Math" w:hAnsi="Cambria Math" w:cs="Times New Roman"/>
                                    </w:rPr>
                                    <m:t>i</m:t>
                                  </m:r>
                                </m:sub>
                              </m:sSub>
                            </m:num>
                            <m:den>
                              <m:r>
                                <m:rPr>
                                  <m:sty m:val="p"/>
                                </m:rPr>
                                <w:rPr>
                                  <w:rFonts w:ascii="Cambria Math" w:hAnsi="Cambria Math" w:cs="Times New Roman"/>
                                </w:rPr>
                                <m:t>πb</m:t>
                              </m:r>
                              <m:sSub>
                                <m:sSubPr>
                                  <m:ctrlPr>
                                    <w:rPr>
                                      <w:rFonts w:ascii="Cambria Math" w:hAnsi="Cambria Math" w:cs="Times New Roman"/>
                                    </w:rPr>
                                  </m:ctrlPr>
                                </m:sSubPr>
                                <m:e>
                                  <m:r>
                                    <m:rPr>
                                      <m:sty m:val="p"/>
                                    </m:rPr>
                                    <w:rPr>
                                      <w:rFonts w:ascii="Cambria Math" w:hAnsi="Cambria Math" w:cs="Times New Roman"/>
                                    </w:rPr>
                                    <m:t>n</m:t>
                                  </m:r>
                                </m:e>
                                <m:sub>
                                  <m:r>
                                    <m:rPr>
                                      <m:sty m:val="p"/>
                                    </m:rPr>
                                    <w:rPr>
                                      <w:rFonts w:ascii="Cambria Math" w:hAnsi="Cambria Math" w:cs="Times New Roman"/>
                                    </w:rPr>
                                    <m:t>e</m:t>
                                  </m:r>
                                </m:sub>
                              </m:sSub>
                            </m:den>
                          </m:f>
                        </m:e>
                      </m:d>
                    </m:e>
                    <m:sup>
                      <m:f>
                        <m:fPr>
                          <m:type m:val="skw"/>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2</m:t>
                          </m:r>
                        </m:den>
                      </m:f>
                    </m:sup>
                  </m:sSup>
                </m:num>
                <m:den>
                  <m:d>
                    <m:dPr>
                      <m:ctrlPr>
                        <w:rPr>
                          <w:rFonts w:ascii="Cambria Math" w:hAnsi="Cambria Math" w:cs="Times New Roman"/>
                        </w:rPr>
                      </m:ctrlPr>
                    </m:dPr>
                    <m:e>
                      <m:sSub>
                        <m:sSubPr>
                          <m:ctrlPr>
                            <w:rPr>
                              <w:rFonts w:ascii="Cambria Math" w:hAnsi="Cambria Math" w:cs="Times New Roman"/>
                            </w:rPr>
                          </m:ctrlPr>
                        </m:sSubPr>
                        <m:e>
                          <m:r>
                            <m:rPr>
                              <m:sty m:val="p"/>
                            </m:rPr>
                            <w:rPr>
                              <w:rFonts w:ascii="Cambria Math" w:hAnsi="Cambria Math" w:cs="Times New Roman"/>
                            </w:rPr>
                            <m:t>ṫ</m:t>
                          </m:r>
                        </m:e>
                        <m:sub>
                          <m:r>
                            <m:rPr>
                              <m:sty m:val="p"/>
                            </m:rPr>
                            <w:rPr>
                              <w:rFonts w:ascii="Cambria Math" w:hAnsi="Cambria Math" w:cs="Times New Roman"/>
                            </w:rPr>
                            <m:t>i</m:t>
                          </m:r>
                        </m:sub>
                      </m:sSub>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t</m:t>
                          </m:r>
                        </m:e>
                        <m:sub>
                          <m:r>
                            <m:rPr>
                              <m:sty m:val="p"/>
                            </m:rPr>
                            <w:rPr>
                              <w:rFonts w:ascii="Cambria Math" w:hAnsi="Cambria Math" w:cs="Times New Roman"/>
                            </w:rPr>
                            <m:t>d</m:t>
                          </m:r>
                        </m:sub>
                      </m:sSub>
                      <m:sSub>
                        <m:sSubPr>
                          <m:ctrlPr>
                            <w:rPr>
                              <w:rFonts w:ascii="Cambria Math" w:hAnsi="Cambria Math" w:cs="Times New Roman"/>
                            </w:rPr>
                          </m:ctrlPr>
                        </m:sSubPr>
                        <m:e>
                          <m:r>
                            <m:rPr>
                              <m:sty m:val="p"/>
                            </m:rPr>
                            <w:rPr>
                              <w:rFonts w:ascii="Cambria Math" w:hAnsi="Cambria Math" w:cs="Times New Roman"/>
                            </w:rPr>
                            <m:t xml:space="preserve"> + ṫ</m:t>
                          </m:r>
                        </m:e>
                        <m:sub>
                          <m:r>
                            <m:rPr>
                              <m:sty m:val="p"/>
                            </m:rPr>
                            <w:rPr>
                              <w:rFonts w:ascii="Cambria Math" w:hAnsi="Cambria Math" w:cs="Times New Roman"/>
                            </w:rPr>
                            <m:t>e</m:t>
                          </m:r>
                        </m:sub>
                      </m:sSub>
                    </m:e>
                  </m:d>
                </m:den>
              </m:f>
              <m:r>
                <w:rPr>
                  <w:rFonts w:ascii="Cambria Math" w:hAnsi="Cambria Math" w:cs="Times New Roman"/>
                </w:rPr>
                <m:t>#(17)</m:t>
              </m:r>
            </m:e>
          </m:eqArr>
        </m:oMath>
      </m:oMathPara>
    </w:p>
    <w:p w14:paraId="14DE765A" w14:textId="77777777" w:rsidR="007D6E34" w:rsidRPr="000231F6" w:rsidRDefault="007D6E34" w:rsidP="007D6E34">
      <w:r>
        <w:t>Equating (17) and (4), and solving for effective porosity (n</w:t>
      </w:r>
      <w:r w:rsidRPr="002025F7">
        <w:rPr>
          <w:vertAlign w:val="subscript"/>
        </w:rPr>
        <w:t>e</w:t>
      </w:r>
      <w:r>
        <w:t>) gives:</w:t>
      </w:r>
    </w:p>
    <w:p w14:paraId="356F0A5A" w14:textId="77777777" w:rsidR="007D6E34" w:rsidRPr="00AF4FA9" w:rsidRDefault="00CA2C3C" w:rsidP="007D6E34">
      <w:pPr>
        <w:rPr>
          <w:lang w:val="pt-BR"/>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m:rPr>
                      <m:sty m:val="p"/>
                    </m:rPr>
                    <w:rPr>
                      <w:rFonts w:ascii="Cambria Math" w:hAnsi="Cambria Math" w:cs="Times New Roman"/>
                      <w:lang w:val="pt-BR"/>
                    </w:rPr>
                    <m:t>n</m:t>
                  </m:r>
                </m:e>
                <m:sub>
                  <m:r>
                    <m:rPr>
                      <m:sty m:val="p"/>
                    </m:rPr>
                    <w:rPr>
                      <w:rFonts w:ascii="Cambria Math" w:hAnsi="Cambria Math" w:cs="Times New Roman"/>
                      <w:lang w:val="pt-BR"/>
                    </w:rPr>
                    <m:t>e1</m:t>
                  </m:r>
                </m:sub>
              </m:sSub>
              <m:r>
                <m:rPr>
                  <m:sty m:val="p"/>
                </m:rPr>
                <w:rPr>
                  <w:rFonts w:ascii="Cambria Math" w:hAnsi="Cambria Math" w:cs="Times New Roman"/>
                  <w:lang w:val="pt-BR"/>
                </w:rPr>
                <m:t>=</m:t>
              </m:r>
              <m:f>
                <m:fPr>
                  <m:ctrlPr>
                    <w:rPr>
                      <w:rFonts w:ascii="Cambria Math" w:hAnsi="Cambria Math" w:cs="Times New Roman"/>
                    </w:rPr>
                  </m:ctrlPr>
                </m:fPr>
                <m:num>
                  <m:r>
                    <m:rPr>
                      <m:sty m:val="p"/>
                    </m:rPr>
                    <w:rPr>
                      <w:rFonts w:ascii="Cambria Math" w:hAnsi="Cambria Math" w:cs="Times New Roman"/>
                    </w:rPr>
                    <m:t>π</m:t>
                  </m:r>
                  <m:r>
                    <m:rPr>
                      <m:sty m:val="p"/>
                    </m:rPr>
                    <w:rPr>
                      <w:rFonts w:ascii="Cambria Math" w:hAnsi="Cambria Math" w:cs="Times New Roman"/>
                      <w:lang w:val="pt-BR"/>
                    </w:rPr>
                    <m:t>b</m:t>
                  </m:r>
                  <m:sSup>
                    <m:sSupPr>
                      <m:ctrlPr>
                        <w:rPr>
                          <w:rFonts w:ascii="Cambria Math" w:hAnsi="Cambria Math" w:cs="Times New Roman"/>
                        </w:rPr>
                      </m:ctrlPr>
                    </m:sSupPr>
                    <m:e>
                      <m:r>
                        <m:rPr>
                          <m:sty m:val="p"/>
                        </m:rPr>
                        <w:rPr>
                          <w:rFonts w:ascii="Cambria Math" w:hAnsi="Cambria Math" w:cs="Times New Roman"/>
                          <w:lang w:val="pt-BR"/>
                        </w:rPr>
                        <m:t>K</m:t>
                      </m:r>
                    </m:e>
                    <m:sup>
                      <m:r>
                        <m:rPr>
                          <m:sty m:val="p"/>
                        </m:rPr>
                        <w:rPr>
                          <w:rFonts w:ascii="Cambria Math" w:hAnsi="Cambria Math" w:cs="Times New Roman"/>
                          <w:lang w:val="pt-BR"/>
                        </w:rPr>
                        <m:t>2</m:t>
                      </m:r>
                    </m:sup>
                  </m:sSup>
                  <m:sSup>
                    <m:sSupPr>
                      <m:ctrlPr>
                        <w:rPr>
                          <w:rFonts w:ascii="Cambria Math" w:hAnsi="Cambria Math" w:cs="Times New Roman"/>
                        </w:rPr>
                      </m:ctrlPr>
                    </m:sSupPr>
                    <m:e>
                      <m:d>
                        <m:dPr>
                          <m:ctrlPr>
                            <w:rPr>
                              <w:rFonts w:ascii="Cambria Math" w:hAnsi="Cambria Math" w:cs="Times New Roman"/>
                            </w:rPr>
                          </m:ctrlPr>
                        </m:dPr>
                        <m:e>
                          <m:f>
                            <m:fPr>
                              <m:ctrlPr>
                                <w:rPr>
                                  <w:rFonts w:ascii="Cambria Math" w:hAnsi="Cambria Math" w:cs="Times New Roman"/>
                                </w:rPr>
                              </m:ctrlPr>
                            </m:fPr>
                            <m:num>
                              <m:r>
                                <m:rPr>
                                  <m:sty m:val="p"/>
                                </m:rPr>
                                <w:rPr>
                                  <w:rFonts w:ascii="Cambria Math" w:hAnsi="Cambria Math" w:cs="Times New Roman"/>
                                  <w:lang w:val="pt-BR"/>
                                </w:rPr>
                                <m:t>dh</m:t>
                              </m:r>
                            </m:num>
                            <m:den>
                              <m:r>
                                <m:rPr>
                                  <m:sty m:val="p"/>
                                </m:rPr>
                                <w:rPr>
                                  <w:rFonts w:ascii="Cambria Math" w:hAnsi="Cambria Math" w:cs="Times New Roman"/>
                                  <w:lang w:val="pt-BR"/>
                                </w:rPr>
                                <m:t>dr</m:t>
                              </m:r>
                            </m:den>
                          </m:f>
                        </m:e>
                      </m:d>
                    </m:e>
                    <m:sup>
                      <m:r>
                        <m:rPr>
                          <m:sty m:val="p"/>
                        </m:rPr>
                        <w:rPr>
                          <w:rFonts w:ascii="Cambria Math" w:hAnsi="Cambria Math" w:cs="Times New Roman"/>
                          <w:lang w:val="pt-BR"/>
                        </w:rPr>
                        <m:t>2</m:t>
                      </m:r>
                    </m:sup>
                  </m:sSup>
                  <m:sSup>
                    <m:sSupPr>
                      <m:ctrlPr>
                        <w:rPr>
                          <w:rFonts w:ascii="Cambria Math" w:hAnsi="Cambria Math" w:cs="Times New Roman"/>
                        </w:rPr>
                      </m:ctrlPr>
                    </m:sSupPr>
                    <m:e>
                      <m:d>
                        <m:dPr>
                          <m:ctrlPr>
                            <w:rPr>
                              <w:rFonts w:ascii="Cambria Math" w:hAnsi="Cambria Math" w:cs="Times New Roman"/>
                            </w:rPr>
                          </m:ctrlPr>
                        </m:dPr>
                        <m:e>
                          <m:sSub>
                            <m:sSubPr>
                              <m:ctrlPr>
                                <w:rPr>
                                  <w:rFonts w:ascii="Cambria Math" w:hAnsi="Cambria Math" w:cs="Times New Roman"/>
                                </w:rPr>
                              </m:ctrlPr>
                            </m:sSubPr>
                            <m:e>
                              <m:r>
                                <m:rPr>
                                  <m:sty m:val="p"/>
                                </m:rPr>
                                <w:rPr>
                                  <w:rFonts w:ascii="Cambria Math" w:hAnsi="Cambria Math" w:cs="Times New Roman"/>
                                  <w:lang w:val="pt-BR"/>
                                </w:rPr>
                                <m:t>ṫ</m:t>
                              </m:r>
                            </m:e>
                            <m:sub>
                              <m:r>
                                <m:rPr>
                                  <m:sty m:val="p"/>
                                </m:rPr>
                                <w:rPr>
                                  <w:rFonts w:ascii="Cambria Math" w:hAnsi="Cambria Math" w:cs="Times New Roman"/>
                                  <w:lang w:val="pt-BR"/>
                                </w:rPr>
                                <m:t>i</m:t>
                              </m:r>
                            </m:sub>
                          </m:sSub>
                          <m:r>
                            <m:rPr>
                              <m:sty m:val="p"/>
                            </m:rPr>
                            <w:rPr>
                              <w:rFonts w:ascii="Cambria Math" w:hAnsi="Cambria Math" w:cs="Times New Roman"/>
                              <w:lang w:val="pt-BR"/>
                            </w:rPr>
                            <m:t>+</m:t>
                          </m:r>
                          <m:sSub>
                            <m:sSubPr>
                              <m:ctrlPr>
                                <w:rPr>
                                  <w:rFonts w:ascii="Cambria Math" w:hAnsi="Cambria Math" w:cs="Times New Roman"/>
                                </w:rPr>
                              </m:ctrlPr>
                            </m:sSubPr>
                            <m:e>
                              <m:r>
                                <m:rPr>
                                  <m:sty m:val="p"/>
                                </m:rPr>
                                <w:rPr>
                                  <w:rFonts w:ascii="Cambria Math" w:hAnsi="Cambria Math" w:cs="Times New Roman"/>
                                  <w:lang w:val="pt-BR"/>
                                </w:rPr>
                                <m:t>t</m:t>
                              </m:r>
                            </m:e>
                            <m:sub>
                              <m:r>
                                <m:rPr>
                                  <m:sty m:val="p"/>
                                </m:rPr>
                                <w:rPr>
                                  <w:rFonts w:ascii="Cambria Math" w:hAnsi="Cambria Math" w:cs="Times New Roman"/>
                                  <w:lang w:val="pt-BR"/>
                                </w:rPr>
                                <m:t>d</m:t>
                              </m:r>
                            </m:sub>
                          </m:sSub>
                          <m:sSub>
                            <m:sSubPr>
                              <m:ctrlPr>
                                <w:rPr>
                                  <w:rFonts w:ascii="Cambria Math" w:hAnsi="Cambria Math" w:cs="Times New Roman"/>
                                </w:rPr>
                              </m:ctrlPr>
                            </m:sSubPr>
                            <m:e>
                              <m:r>
                                <m:rPr>
                                  <m:sty m:val="p"/>
                                </m:rPr>
                                <w:rPr>
                                  <w:rFonts w:ascii="Cambria Math" w:hAnsi="Cambria Math" w:cs="Times New Roman"/>
                                  <w:lang w:val="pt-BR"/>
                                </w:rPr>
                                <m:t xml:space="preserve"> + ṫ</m:t>
                              </m:r>
                            </m:e>
                            <m:sub>
                              <m:r>
                                <m:rPr>
                                  <m:sty m:val="p"/>
                                </m:rPr>
                                <w:rPr>
                                  <w:rFonts w:ascii="Cambria Math" w:hAnsi="Cambria Math" w:cs="Times New Roman"/>
                                  <w:lang w:val="pt-BR"/>
                                </w:rPr>
                                <m:t>e</m:t>
                              </m:r>
                            </m:sub>
                          </m:sSub>
                        </m:e>
                      </m:d>
                    </m:e>
                    <m:sup>
                      <m:r>
                        <m:rPr>
                          <m:sty m:val="p"/>
                        </m:rPr>
                        <w:rPr>
                          <w:rFonts w:ascii="Cambria Math" w:hAnsi="Cambria Math" w:cs="Times New Roman"/>
                          <w:lang w:val="pt-BR"/>
                        </w:rPr>
                        <m:t>2</m:t>
                      </m:r>
                    </m:sup>
                  </m:sSup>
                </m:num>
                <m:den>
                  <m:sSub>
                    <m:sSubPr>
                      <m:ctrlPr>
                        <w:rPr>
                          <w:rFonts w:ascii="Cambria Math" w:hAnsi="Cambria Math" w:cs="Times New Roman"/>
                        </w:rPr>
                      </m:ctrlPr>
                    </m:sSubPr>
                    <m:e>
                      <m:r>
                        <m:rPr>
                          <m:sty m:val="p"/>
                        </m:rPr>
                        <w:rPr>
                          <w:rFonts w:ascii="Cambria Math" w:hAnsi="Cambria Math" w:cs="Times New Roman"/>
                        </w:rPr>
                        <m:t>Ѷ</m:t>
                      </m:r>
                    </m:e>
                    <m:sub>
                      <m:r>
                        <m:rPr>
                          <m:sty m:val="p"/>
                        </m:rPr>
                        <w:rPr>
                          <w:rFonts w:ascii="Cambria Math" w:hAnsi="Cambria Math" w:cs="Times New Roman"/>
                          <w:lang w:val="pt-BR"/>
                        </w:rPr>
                        <m:t>e</m:t>
                      </m:r>
                    </m:sub>
                  </m:sSub>
                  <m:r>
                    <m:rPr>
                      <m:sty m:val="p"/>
                    </m:rPr>
                    <w:rPr>
                      <w:rFonts w:ascii="Cambria Math" w:hAnsi="Cambria Math" w:cs="Times New Roman"/>
                      <w:lang w:val="pt-BR"/>
                    </w:rPr>
                    <m:t>-</m:t>
                  </m:r>
                  <m:sSub>
                    <m:sSubPr>
                      <m:ctrlPr>
                        <w:rPr>
                          <w:rFonts w:ascii="Cambria Math" w:hAnsi="Cambria Math" w:cs="Times New Roman"/>
                        </w:rPr>
                      </m:ctrlPr>
                    </m:sSubPr>
                    <m:e>
                      <m:r>
                        <m:rPr>
                          <m:sty m:val="p"/>
                        </m:rPr>
                        <w:rPr>
                          <w:rFonts w:ascii="Cambria Math" w:hAnsi="Cambria Math" w:cs="Times New Roman"/>
                        </w:rPr>
                        <m:t>Ѷ</m:t>
                      </m:r>
                    </m:e>
                    <m:sub>
                      <m:r>
                        <m:rPr>
                          <m:sty m:val="p"/>
                        </m:rPr>
                        <w:rPr>
                          <w:rFonts w:ascii="Cambria Math" w:hAnsi="Cambria Math" w:cs="Times New Roman"/>
                          <w:lang w:val="pt-BR"/>
                        </w:rPr>
                        <m:t>i</m:t>
                      </m:r>
                    </m:sub>
                  </m:sSub>
                </m:den>
              </m:f>
              <m:r>
                <w:rPr>
                  <w:rFonts w:ascii="Cambria Math" w:hAnsi="Cambria Math" w:cs="Times New Roman"/>
                  <w:lang w:val="pt-BR"/>
                </w:rPr>
                <m:t>#(18)</m:t>
              </m:r>
            </m:e>
          </m:eqArr>
        </m:oMath>
      </m:oMathPara>
    </w:p>
    <w:p w14:paraId="7FECE640" w14:textId="1374B5AB" w:rsidR="007D6E34" w:rsidRDefault="007D6E34" w:rsidP="007D6E34">
      <w:r>
        <w:lastRenderedPageBreak/>
        <w:t xml:space="preserve">Equation (18) </w:t>
      </w:r>
      <w:r w:rsidRPr="00B263F2">
        <w:t xml:space="preserve">describes </w:t>
      </w:r>
      <w:r>
        <w:t>effective porosity (n</w:t>
      </w:r>
      <w:r w:rsidRPr="00B263F2">
        <w:rPr>
          <w:vertAlign w:val="subscript"/>
        </w:rPr>
        <w:t>e</w:t>
      </w:r>
      <w:r w:rsidRPr="00D45016">
        <w:rPr>
          <w:vertAlign w:val="subscript"/>
        </w:rPr>
        <w:t>1</w:t>
      </w:r>
      <w:r>
        <w:t>) as a function of the aquifer properties, e.g., saturated thickness (b), hydraulic conductivity (K), and hydraulic gradient (dh/dr), and the transport of the center of mass of the tracer during the injection (</w:t>
      </w:r>
      <w:r>
        <w:rPr>
          <w:rFonts w:cs="Times New Roman"/>
        </w:rPr>
        <w:t>Ѷ</w:t>
      </w:r>
      <w:r w:rsidRPr="00EE39F7">
        <w:rPr>
          <w:vertAlign w:val="subscript"/>
        </w:rPr>
        <w:t>i</w:t>
      </w:r>
      <w:r>
        <w:t xml:space="preserve">, </w:t>
      </w:r>
      <w:r>
        <w:rPr>
          <w:rFonts w:cs="Times New Roman"/>
        </w:rPr>
        <w:t>ṫ</w:t>
      </w:r>
      <w:r>
        <w:rPr>
          <w:vertAlign w:val="subscript"/>
        </w:rPr>
        <w:t>i</w:t>
      </w:r>
      <w:r>
        <w:t>), drift (</w:t>
      </w:r>
      <w:r>
        <w:rPr>
          <w:rFonts w:cs="Times New Roman"/>
        </w:rPr>
        <w:t>t</w:t>
      </w:r>
      <w:r>
        <w:rPr>
          <w:vertAlign w:val="subscript"/>
        </w:rPr>
        <w:t>d</w:t>
      </w:r>
      <w:r>
        <w:t>), and extraction (</w:t>
      </w:r>
      <w:r>
        <w:rPr>
          <w:rFonts w:cs="Times New Roman"/>
        </w:rPr>
        <w:t>Ѷ</w:t>
      </w:r>
      <w:r>
        <w:rPr>
          <w:vertAlign w:val="subscript"/>
        </w:rPr>
        <w:t>e</w:t>
      </w:r>
      <w:r>
        <w:t xml:space="preserve">, </w:t>
      </w:r>
      <w:r>
        <w:rPr>
          <w:rFonts w:cs="Times New Roman"/>
        </w:rPr>
        <w:t>ṫ</w:t>
      </w:r>
      <w:r>
        <w:rPr>
          <w:vertAlign w:val="subscript"/>
        </w:rPr>
        <w:t>e</w:t>
      </w:r>
      <w:r>
        <w:t>) phases</w:t>
      </w:r>
      <w:r w:rsidR="000A5750">
        <w:t xml:space="preserve">. </w:t>
      </w:r>
      <w:r>
        <w:t xml:space="preserve">Equations (17) and (18) are very similar to the </w:t>
      </w:r>
      <w:r>
        <w:fldChar w:fldCharType="begin"/>
      </w:r>
      <w:r>
        <w:instrText xml:space="preserve"> ADDIN EN.CITE &lt;EndNote&gt;&lt;Cite AuthorYear="1"&gt;&lt;Author&gt;Leap&lt;/Author&gt;&lt;Year&gt;1988&lt;/Year&gt;&lt;RecNum&gt;108&lt;/RecNum&gt;&lt;DisplayText&gt;Leap and Kaplan (1988)&lt;/DisplayText&gt;&lt;record&gt;&lt;rec-number&gt;108&lt;/rec-number&gt;&lt;foreign-keys&gt;&lt;key app="EN" db-id="rzwe2tae7rs0abe55xgp55w8xtdf5xp9dwrd"&gt;108&lt;/key&gt;&lt;/foreign-keys&gt;&lt;ref-type name="Journal Article"&gt;17&lt;/ref-type&gt;&lt;contributors&gt;&lt;authors&gt;&lt;author&gt;Leap, D. I.&lt;/author&gt;&lt;author&gt;Kaplan, P. G.&lt;/author&gt;&lt;/authors&gt;&lt;/contributors&gt;&lt;titles&gt;&lt;title&gt;A single-well tracing method for estimating regional advective velocity in a confined aquifer - theory and preliminary laboratory verification &lt;/title&gt;&lt;secondary-title&gt;Water Resources Research&lt;/secondary-title&gt;&lt;/titles&gt;&lt;periodical&gt;&lt;full-title&gt;Water Resources Research&lt;/full-title&gt;&lt;/periodical&gt;&lt;pages&gt;993-998&lt;/pages&gt;&lt;volume&gt;24&lt;/volume&gt;&lt;number&gt;7&lt;/number&gt;&lt;dates&gt;&lt;year&gt;1988&lt;/year&gt;&lt;pub-dates&gt;&lt;date&gt;Jul&lt;/date&gt;&lt;/pub-dates&gt;&lt;/dates&gt;&lt;isbn&gt;0043-1397&lt;/isbn&gt;&lt;accession-num&gt;WOS:A1988P264500011&lt;/accession-num&gt;&lt;urls&gt;&lt;related-urls&gt;&lt;url&gt;&amp;lt;Go to ISI&amp;gt;://WOS:A1988P264500011&lt;/url&gt;&lt;url&gt;http://onlinelibrary.wiley.com/doi/10.1029/WR024i007p00993/abstract&lt;/url&gt;&lt;/related-urls&gt;&lt;/urls&gt;&lt;electronic-resource-num&gt;10.1029/WR024i007p00993&lt;/electronic-resource-num&gt;&lt;/record&gt;&lt;/Cite&gt;&lt;/EndNote&gt;</w:instrText>
      </w:r>
      <w:r>
        <w:fldChar w:fldCharType="separate"/>
      </w:r>
      <w:hyperlink w:anchor="_ENREF_15" w:tooltip="Leap, 1988 #108" w:history="1">
        <w:r>
          <w:rPr>
            <w:noProof/>
          </w:rPr>
          <w:t>Leap and Kaplan (1988</w:t>
        </w:r>
      </w:hyperlink>
      <w:r>
        <w:rPr>
          <w:noProof/>
        </w:rPr>
        <w:t>)</w:t>
      </w:r>
      <w:r>
        <w:fldChar w:fldCharType="end"/>
      </w:r>
      <w:r>
        <w:t xml:space="preserve"> and </w:t>
      </w:r>
      <w:r>
        <w:fldChar w:fldCharType="begin"/>
      </w:r>
      <w:r>
        <w:instrText xml:space="preserve"> ADDIN EN.CITE &lt;EndNote&gt;&lt;Cite AuthorYear="1"&gt;&lt;Author&gt;Hall&lt;/Author&gt;&lt;Year&gt;1991&lt;/Year&gt;&lt;RecNum&gt;107&lt;/RecNum&gt;&lt;DisplayText&gt;Hall et al. (1991)&lt;/DisplayText&gt;&lt;record&gt;&lt;rec-number&gt;107&lt;/rec-number&gt;&lt;foreign-keys&gt;&lt;key app="EN" db-id="rzwe2tae7rs0abe55xgp55w8xtdf5xp9dwrd"&gt;107&lt;/key&gt;&lt;/foreign-keys&gt;&lt;ref-type name="Journal Article"&gt;17&lt;/ref-type&gt;&lt;contributors&gt;&lt;authors&gt;&lt;author&gt;Hall, S. H.&lt;/author&gt;&lt;author&gt;Luttrell, S. P.&lt;/author&gt;&lt;author&gt;Cronin, W. E.&lt;/author&gt;&lt;/authors&gt;&lt;/contributors&gt;&lt;titles&gt;&lt;title&gt;A method for estimating effective porosity and groundwater velocity&lt;/title&gt;&lt;secondary-title&gt;Ground Water&lt;/secondary-title&gt;&lt;/titles&gt;&lt;periodical&gt;&lt;full-title&gt;Ground Water&lt;/full-title&gt;&lt;abbr-1&gt;Ground Water&lt;/abbr-1&gt;&lt;/periodical&gt;&lt;pages&gt;171-174&lt;/pages&gt;&lt;volume&gt;29&lt;/volume&gt;&lt;number&gt;2&lt;/number&gt;&lt;dates&gt;&lt;year&gt;1991&lt;/year&gt;&lt;pub-dates&gt;&lt;date&gt;Mar-Apr&lt;/date&gt;&lt;/pub-dates&gt;&lt;/dates&gt;&lt;isbn&gt;0017-467X&lt;/isbn&gt;&lt;accession-num&gt;WOS:A1991FA88300002&lt;/accession-num&gt;&lt;urls&gt;&lt;related-urls&gt;&lt;url&gt;&amp;lt;Go to ISI&amp;gt;://WOS:A1991FA88300002&lt;/url&gt;&lt;url&gt;http://onlinelibrary.wiley.com/doi/10.1111/j.1745-6584.1991.tb00506.x/abstract&lt;/url&gt;&lt;/related-urls&gt;&lt;/urls&gt;&lt;electronic-resource-num&gt;10.1111/j.1745-6584.1991.tb00506.x&lt;/electronic-resource-num&gt;&lt;/record&gt;&lt;/Cite&gt;&lt;/EndNote&gt;</w:instrText>
      </w:r>
      <w:r>
        <w:fldChar w:fldCharType="separate"/>
      </w:r>
      <w:hyperlink w:anchor="_ENREF_8" w:tooltip="Hall, 1991 #107" w:history="1">
        <w:r>
          <w:rPr>
            <w:noProof/>
          </w:rPr>
          <w:t>Hall et al. (1991</w:t>
        </w:r>
      </w:hyperlink>
      <w:r>
        <w:rPr>
          <w:noProof/>
        </w:rPr>
        <w:t>)</w:t>
      </w:r>
      <w:r>
        <w:fldChar w:fldCharType="end"/>
      </w:r>
      <w:r>
        <w:t xml:space="preserve"> equations, respectively</w:t>
      </w:r>
      <w:r w:rsidR="000A5750">
        <w:t xml:space="preserve">. </w:t>
      </w:r>
    </w:p>
    <w:p w14:paraId="3E4A10FF" w14:textId="77777777" w:rsidR="007D6E34" w:rsidRDefault="007D6E34" w:rsidP="007D6E34">
      <w:r>
        <w:t>From Leap and Kaplan (1988):</w:t>
      </w:r>
    </w:p>
    <w:p w14:paraId="3A7AE845" w14:textId="77777777" w:rsidR="007D6E34" w:rsidRDefault="00CA2C3C" w:rsidP="007D6E34">
      <m:oMathPara>
        <m:oMath>
          <m:eqArr>
            <m:eqArrPr>
              <m:maxDist m:val="1"/>
              <m:ctrlPr>
                <w:rPr>
                  <w:rFonts w:ascii="Cambria Math" w:hAnsi="Cambria Math" w:cs="Times New Roman"/>
                  <w:i/>
                </w:rPr>
              </m:ctrlPr>
            </m:eqArrPr>
            <m:e>
              <m:r>
                <m:rPr>
                  <m:sty m:val="p"/>
                </m:rPr>
                <w:rPr>
                  <w:rFonts w:ascii="Cambria Math" w:hAnsi="Cambria Math" w:cs="Times New Roman"/>
                </w:rPr>
                <m:t>v =</m:t>
              </m:r>
              <m:f>
                <m:fPr>
                  <m:ctrlPr>
                    <w:rPr>
                      <w:rFonts w:ascii="Cambria Math" w:hAnsi="Cambria Math" w:cs="Times New Roman"/>
                      <w:i/>
                    </w:rPr>
                  </m:ctrlPr>
                </m:fPr>
                <m:num>
                  <m:sSup>
                    <m:sSupPr>
                      <m:ctrlPr>
                        <w:rPr>
                          <w:rFonts w:ascii="Cambria Math" w:hAnsi="Cambria Math" w:cs="Times New Roman"/>
                        </w:rPr>
                      </m:ctrlPr>
                    </m:sSupPr>
                    <m:e>
                      <m:d>
                        <m:dPr>
                          <m:ctrlPr>
                            <w:rPr>
                              <w:rFonts w:ascii="Cambria Math" w:hAnsi="Cambria Math" w:cs="Times New Roman"/>
                            </w:rPr>
                          </m:ctrlPr>
                        </m:dPr>
                        <m:e>
                          <m:f>
                            <m:fPr>
                              <m:ctrlPr>
                                <w:rPr>
                                  <w:rFonts w:ascii="Cambria Math" w:hAnsi="Cambria Math" w:cs="Times New Roman"/>
                                </w:rPr>
                              </m:ctrlPr>
                            </m:fPr>
                            <m:num>
                              <m:sSub>
                                <m:sSubPr>
                                  <m:ctrlPr>
                                    <w:rPr>
                                      <w:rFonts w:ascii="Cambria Math" w:hAnsi="Cambria Math" w:cs="Times New Roman"/>
                                    </w:rPr>
                                  </m:ctrlPr>
                                </m:sSubPr>
                                <m:e>
                                  <m:r>
                                    <m:rPr>
                                      <m:sty m:val="p"/>
                                    </m:rPr>
                                    <w:rPr>
                                      <w:rFonts w:ascii="Cambria Math" w:hAnsi="Cambria Math" w:cs="Times New Roman"/>
                                    </w:rPr>
                                    <m:t>Ѷ</m:t>
                                  </m:r>
                                </m:e>
                                <m:sub>
                                  <m:r>
                                    <m:rPr>
                                      <m:sty m:val="p"/>
                                    </m:rPr>
                                    <w:rPr>
                                      <w:rFonts w:ascii="Cambria Math" w:hAnsi="Cambria Math" w:cs="Times New Roman"/>
                                    </w:rPr>
                                    <m:t>e</m:t>
                                  </m:r>
                                </m:sub>
                              </m:sSub>
                            </m:num>
                            <m:den>
                              <m:r>
                                <m:rPr>
                                  <m:sty m:val="p"/>
                                </m:rPr>
                                <w:rPr>
                                  <w:rFonts w:ascii="Cambria Math" w:hAnsi="Cambria Math" w:cs="Times New Roman"/>
                                </w:rPr>
                                <m:t>πb</m:t>
                              </m:r>
                              <m:sSub>
                                <m:sSubPr>
                                  <m:ctrlPr>
                                    <w:rPr>
                                      <w:rFonts w:ascii="Cambria Math" w:hAnsi="Cambria Math" w:cs="Times New Roman"/>
                                    </w:rPr>
                                  </m:ctrlPr>
                                </m:sSubPr>
                                <m:e>
                                  <m:r>
                                    <m:rPr>
                                      <m:sty m:val="p"/>
                                    </m:rPr>
                                    <w:rPr>
                                      <w:rFonts w:ascii="Cambria Math" w:hAnsi="Cambria Math" w:cs="Times New Roman"/>
                                    </w:rPr>
                                    <m:t>n</m:t>
                                  </m:r>
                                </m:e>
                                <m:sub>
                                  <m:r>
                                    <m:rPr>
                                      <m:sty m:val="p"/>
                                    </m:rPr>
                                    <w:rPr>
                                      <w:rFonts w:ascii="Cambria Math" w:hAnsi="Cambria Math" w:cs="Times New Roman"/>
                                    </w:rPr>
                                    <m:t>e</m:t>
                                  </m:r>
                                </m:sub>
                              </m:sSub>
                            </m:den>
                          </m:f>
                        </m:e>
                      </m:d>
                    </m:e>
                    <m:sup>
                      <m:f>
                        <m:fPr>
                          <m:type m:val="skw"/>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2</m:t>
                          </m:r>
                        </m:den>
                      </m:f>
                    </m:sup>
                  </m:sSup>
                </m:num>
                <m:den>
                  <m:d>
                    <m:dPr>
                      <m:ctrlPr>
                        <w:rPr>
                          <w:rFonts w:ascii="Cambria Math" w:hAnsi="Cambria Math" w:cs="Times New Roman"/>
                        </w:rPr>
                      </m:ctrlPr>
                    </m:dPr>
                    <m:e>
                      <m:sSub>
                        <m:sSubPr>
                          <m:ctrlPr>
                            <w:rPr>
                              <w:rFonts w:ascii="Cambria Math" w:hAnsi="Cambria Math" w:cs="Times New Roman"/>
                            </w:rPr>
                          </m:ctrlPr>
                        </m:sSubPr>
                        <m:e>
                          <m:r>
                            <m:rPr>
                              <m:sty m:val="p"/>
                            </m:rPr>
                            <w:rPr>
                              <w:rFonts w:ascii="Cambria Math" w:hAnsi="Cambria Math" w:cs="Times New Roman"/>
                            </w:rPr>
                            <m:t>t</m:t>
                          </m:r>
                        </m:e>
                        <m:sub>
                          <m:r>
                            <m:rPr>
                              <m:sty m:val="p"/>
                            </m:rPr>
                            <w:rPr>
                              <w:rFonts w:ascii="Cambria Math" w:hAnsi="Cambria Math" w:cs="Times New Roman"/>
                            </w:rPr>
                            <m:t>d</m:t>
                          </m:r>
                        </m:sub>
                      </m:sSub>
                      <m:sSub>
                        <m:sSubPr>
                          <m:ctrlPr>
                            <w:rPr>
                              <w:rFonts w:ascii="Cambria Math" w:hAnsi="Cambria Math" w:cs="Times New Roman"/>
                            </w:rPr>
                          </m:ctrlPr>
                        </m:sSubPr>
                        <m:e>
                          <m:r>
                            <m:rPr>
                              <m:sty m:val="p"/>
                            </m:rPr>
                            <w:rPr>
                              <w:rFonts w:ascii="Cambria Math" w:hAnsi="Cambria Math" w:cs="Times New Roman"/>
                            </w:rPr>
                            <m:t xml:space="preserve"> + ṫ</m:t>
                          </m:r>
                        </m:e>
                        <m:sub>
                          <m:r>
                            <m:rPr>
                              <m:sty m:val="p"/>
                            </m:rPr>
                            <w:rPr>
                              <w:rFonts w:ascii="Cambria Math" w:hAnsi="Cambria Math" w:cs="Times New Roman"/>
                            </w:rPr>
                            <m:t>e</m:t>
                          </m:r>
                        </m:sub>
                      </m:sSub>
                    </m:e>
                  </m:d>
                </m:den>
              </m:f>
              <m:r>
                <w:rPr>
                  <w:rFonts w:ascii="Cambria Math" w:hAnsi="Cambria Math" w:cs="Times New Roman"/>
                </w:rPr>
                <m:t>#(19)</m:t>
              </m:r>
            </m:e>
          </m:eqArr>
        </m:oMath>
      </m:oMathPara>
    </w:p>
    <w:p w14:paraId="182D6C8C" w14:textId="77777777" w:rsidR="007D6E34" w:rsidRDefault="007D6E34" w:rsidP="007D6E34">
      <w:r>
        <w:t xml:space="preserve">From </w:t>
      </w:r>
      <w:proofErr w:type="gramStart"/>
      <w:r>
        <w:t>Hall</w:t>
      </w:r>
      <w:proofErr w:type="gramEnd"/>
      <w:r>
        <w:t xml:space="preserve"> et al. (1991):</w:t>
      </w:r>
    </w:p>
    <w:p w14:paraId="21A9E34B" w14:textId="77777777" w:rsidR="007D6E34" w:rsidRPr="00AF4FA9" w:rsidRDefault="00CA2C3C" w:rsidP="007D6E34">
      <w:pPr>
        <w:rPr>
          <w:lang w:val="pt-BR"/>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m:rPr>
                      <m:sty m:val="p"/>
                    </m:rPr>
                    <w:rPr>
                      <w:rFonts w:ascii="Cambria Math" w:hAnsi="Cambria Math" w:cs="Times New Roman"/>
                      <w:lang w:val="pt-BR"/>
                    </w:rPr>
                    <m:t>n</m:t>
                  </m:r>
                </m:e>
                <m:sub>
                  <m:r>
                    <m:rPr>
                      <m:sty m:val="p"/>
                    </m:rPr>
                    <w:rPr>
                      <w:rFonts w:ascii="Cambria Math" w:hAnsi="Cambria Math" w:cs="Times New Roman"/>
                      <w:lang w:val="pt-BR"/>
                    </w:rPr>
                    <m:t>e2</m:t>
                  </m:r>
                </m:sub>
              </m:sSub>
              <m:r>
                <m:rPr>
                  <m:sty m:val="p"/>
                </m:rPr>
                <w:rPr>
                  <w:rFonts w:ascii="Cambria Math" w:hAnsi="Cambria Math" w:cs="Times New Roman"/>
                  <w:lang w:val="pt-BR"/>
                </w:rPr>
                <m:t>=</m:t>
              </m:r>
              <m:f>
                <m:fPr>
                  <m:ctrlPr>
                    <w:rPr>
                      <w:rFonts w:ascii="Cambria Math" w:hAnsi="Cambria Math" w:cs="Times New Roman"/>
                    </w:rPr>
                  </m:ctrlPr>
                </m:fPr>
                <m:num>
                  <m:r>
                    <m:rPr>
                      <m:sty m:val="p"/>
                    </m:rPr>
                    <w:rPr>
                      <w:rFonts w:ascii="Cambria Math" w:hAnsi="Cambria Math" w:cs="Times New Roman"/>
                    </w:rPr>
                    <m:t>π</m:t>
                  </m:r>
                  <m:r>
                    <m:rPr>
                      <m:sty m:val="p"/>
                    </m:rPr>
                    <w:rPr>
                      <w:rFonts w:ascii="Cambria Math" w:hAnsi="Cambria Math" w:cs="Times New Roman"/>
                      <w:lang w:val="pt-BR"/>
                    </w:rPr>
                    <m:t>b</m:t>
                  </m:r>
                  <m:sSup>
                    <m:sSupPr>
                      <m:ctrlPr>
                        <w:rPr>
                          <w:rFonts w:ascii="Cambria Math" w:hAnsi="Cambria Math" w:cs="Times New Roman"/>
                        </w:rPr>
                      </m:ctrlPr>
                    </m:sSupPr>
                    <m:e>
                      <m:r>
                        <m:rPr>
                          <m:sty m:val="p"/>
                        </m:rPr>
                        <w:rPr>
                          <w:rFonts w:ascii="Cambria Math" w:hAnsi="Cambria Math" w:cs="Times New Roman"/>
                          <w:lang w:val="pt-BR"/>
                        </w:rPr>
                        <m:t>K</m:t>
                      </m:r>
                    </m:e>
                    <m:sup>
                      <m:r>
                        <m:rPr>
                          <m:sty m:val="p"/>
                        </m:rPr>
                        <w:rPr>
                          <w:rFonts w:ascii="Cambria Math" w:hAnsi="Cambria Math" w:cs="Times New Roman"/>
                          <w:lang w:val="pt-BR"/>
                        </w:rPr>
                        <m:t>2</m:t>
                      </m:r>
                    </m:sup>
                  </m:sSup>
                  <m:sSup>
                    <m:sSupPr>
                      <m:ctrlPr>
                        <w:rPr>
                          <w:rFonts w:ascii="Cambria Math" w:hAnsi="Cambria Math" w:cs="Times New Roman"/>
                        </w:rPr>
                      </m:ctrlPr>
                    </m:sSupPr>
                    <m:e>
                      <m:d>
                        <m:dPr>
                          <m:ctrlPr>
                            <w:rPr>
                              <w:rFonts w:ascii="Cambria Math" w:hAnsi="Cambria Math" w:cs="Times New Roman"/>
                            </w:rPr>
                          </m:ctrlPr>
                        </m:dPr>
                        <m:e>
                          <m:f>
                            <m:fPr>
                              <m:ctrlPr>
                                <w:rPr>
                                  <w:rFonts w:ascii="Cambria Math" w:hAnsi="Cambria Math" w:cs="Times New Roman"/>
                                </w:rPr>
                              </m:ctrlPr>
                            </m:fPr>
                            <m:num>
                              <m:r>
                                <m:rPr>
                                  <m:sty m:val="p"/>
                                </m:rPr>
                                <w:rPr>
                                  <w:rFonts w:ascii="Cambria Math" w:hAnsi="Cambria Math" w:cs="Times New Roman"/>
                                  <w:lang w:val="pt-BR"/>
                                </w:rPr>
                                <m:t>dh</m:t>
                              </m:r>
                            </m:num>
                            <m:den>
                              <m:r>
                                <m:rPr>
                                  <m:sty m:val="p"/>
                                </m:rPr>
                                <w:rPr>
                                  <w:rFonts w:ascii="Cambria Math" w:hAnsi="Cambria Math" w:cs="Times New Roman"/>
                                  <w:lang w:val="pt-BR"/>
                                </w:rPr>
                                <m:t>dr</m:t>
                              </m:r>
                            </m:den>
                          </m:f>
                        </m:e>
                      </m:d>
                    </m:e>
                    <m:sup>
                      <m:r>
                        <m:rPr>
                          <m:sty m:val="p"/>
                        </m:rPr>
                        <w:rPr>
                          <w:rFonts w:ascii="Cambria Math" w:hAnsi="Cambria Math" w:cs="Times New Roman"/>
                          <w:lang w:val="pt-BR"/>
                        </w:rPr>
                        <m:t>2</m:t>
                      </m:r>
                    </m:sup>
                  </m:sSup>
                  <m:sSup>
                    <m:sSupPr>
                      <m:ctrlPr>
                        <w:rPr>
                          <w:rFonts w:ascii="Cambria Math" w:hAnsi="Cambria Math" w:cs="Times New Roman"/>
                        </w:rPr>
                      </m:ctrlPr>
                    </m:sSupPr>
                    <m:e>
                      <m:d>
                        <m:dPr>
                          <m:ctrlPr>
                            <w:rPr>
                              <w:rFonts w:ascii="Cambria Math" w:hAnsi="Cambria Math" w:cs="Times New Roman"/>
                            </w:rPr>
                          </m:ctrlPr>
                        </m:dPr>
                        <m:e>
                          <m:sSub>
                            <m:sSubPr>
                              <m:ctrlPr>
                                <w:rPr>
                                  <w:rFonts w:ascii="Cambria Math" w:hAnsi="Cambria Math" w:cs="Times New Roman"/>
                                </w:rPr>
                              </m:ctrlPr>
                            </m:sSubPr>
                            <m:e>
                              <m:r>
                                <m:rPr>
                                  <m:sty m:val="p"/>
                                </m:rPr>
                                <w:rPr>
                                  <w:rFonts w:ascii="Cambria Math" w:hAnsi="Cambria Math" w:cs="Times New Roman"/>
                                  <w:lang w:val="pt-BR"/>
                                </w:rPr>
                                <m:t>t</m:t>
                              </m:r>
                            </m:e>
                            <m:sub>
                              <m:r>
                                <m:rPr>
                                  <m:sty m:val="p"/>
                                </m:rPr>
                                <w:rPr>
                                  <w:rFonts w:ascii="Cambria Math" w:hAnsi="Cambria Math" w:cs="Times New Roman"/>
                                  <w:lang w:val="pt-BR"/>
                                </w:rPr>
                                <m:t>d</m:t>
                              </m:r>
                            </m:sub>
                          </m:sSub>
                          <m:sSub>
                            <m:sSubPr>
                              <m:ctrlPr>
                                <w:rPr>
                                  <w:rFonts w:ascii="Cambria Math" w:hAnsi="Cambria Math" w:cs="Times New Roman"/>
                                </w:rPr>
                              </m:ctrlPr>
                            </m:sSubPr>
                            <m:e>
                              <m:r>
                                <m:rPr>
                                  <m:sty m:val="p"/>
                                </m:rPr>
                                <w:rPr>
                                  <w:rFonts w:ascii="Cambria Math" w:hAnsi="Cambria Math" w:cs="Times New Roman"/>
                                  <w:lang w:val="pt-BR"/>
                                </w:rPr>
                                <m:t xml:space="preserve"> + ṫ</m:t>
                              </m:r>
                            </m:e>
                            <m:sub>
                              <m:r>
                                <m:rPr>
                                  <m:sty m:val="p"/>
                                </m:rPr>
                                <w:rPr>
                                  <w:rFonts w:ascii="Cambria Math" w:hAnsi="Cambria Math" w:cs="Times New Roman"/>
                                  <w:lang w:val="pt-BR"/>
                                </w:rPr>
                                <m:t>e</m:t>
                              </m:r>
                            </m:sub>
                          </m:sSub>
                        </m:e>
                      </m:d>
                    </m:e>
                    <m:sup>
                      <m:r>
                        <m:rPr>
                          <m:sty m:val="p"/>
                        </m:rPr>
                        <w:rPr>
                          <w:rFonts w:ascii="Cambria Math" w:hAnsi="Cambria Math" w:cs="Times New Roman"/>
                          <w:lang w:val="pt-BR"/>
                        </w:rPr>
                        <m:t>2</m:t>
                      </m:r>
                    </m:sup>
                  </m:sSup>
                </m:num>
                <m:den>
                  <m:sSub>
                    <m:sSubPr>
                      <m:ctrlPr>
                        <w:rPr>
                          <w:rFonts w:ascii="Cambria Math" w:hAnsi="Cambria Math" w:cs="Times New Roman"/>
                        </w:rPr>
                      </m:ctrlPr>
                    </m:sSubPr>
                    <m:e>
                      <m:r>
                        <m:rPr>
                          <m:sty m:val="p"/>
                        </m:rPr>
                        <w:rPr>
                          <w:rFonts w:ascii="Cambria Math" w:hAnsi="Cambria Math" w:cs="Times New Roman"/>
                        </w:rPr>
                        <m:t>Ѷ</m:t>
                      </m:r>
                    </m:e>
                    <m:sub>
                      <m:r>
                        <m:rPr>
                          <m:sty m:val="p"/>
                        </m:rPr>
                        <w:rPr>
                          <w:rFonts w:ascii="Cambria Math" w:hAnsi="Cambria Math" w:cs="Times New Roman"/>
                          <w:lang w:val="pt-BR"/>
                        </w:rPr>
                        <m:t>e</m:t>
                      </m:r>
                    </m:sub>
                  </m:sSub>
                </m:den>
              </m:f>
              <m:r>
                <w:rPr>
                  <w:rFonts w:ascii="Cambria Math" w:hAnsi="Cambria Math" w:cs="Times New Roman"/>
                  <w:lang w:val="pt-BR"/>
                </w:rPr>
                <m:t>#(20)</m:t>
              </m:r>
            </m:e>
          </m:eqArr>
        </m:oMath>
      </m:oMathPara>
    </w:p>
    <w:p w14:paraId="0D818313" w14:textId="1615FDCC" w:rsidR="008F21E3" w:rsidRPr="008F21E3" w:rsidRDefault="007D6E34" w:rsidP="009359A9">
      <w:r>
        <w:t>However, (17) and (18) account for the transport of tracer during the injection phase (</w:t>
      </w:r>
      <w:r>
        <w:rPr>
          <w:rFonts w:cs="Times New Roman"/>
        </w:rPr>
        <w:t>Ѷ</w:t>
      </w:r>
      <w:r w:rsidRPr="00EE39F7">
        <w:rPr>
          <w:vertAlign w:val="subscript"/>
        </w:rPr>
        <w:t>i</w:t>
      </w:r>
      <w:r>
        <w:t xml:space="preserve">, </w:t>
      </w:r>
      <w:r>
        <w:rPr>
          <w:rFonts w:cs="Times New Roman"/>
        </w:rPr>
        <w:t>ṫ</w:t>
      </w:r>
      <w:r>
        <w:rPr>
          <w:vertAlign w:val="subscript"/>
        </w:rPr>
        <w:t>i</w:t>
      </w:r>
      <w:r>
        <w:t>), whereas (19) and (20) do not</w:t>
      </w:r>
      <w:r w:rsidR="000A5750">
        <w:t xml:space="preserve">. </w:t>
      </w:r>
      <w:r>
        <w:t xml:space="preserve">If the transport of the tracer during the injection phase is truly negligible, then </w:t>
      </w:r>
      <w:r>
        <w:rPr>
          <w:rFonts w:cs="Times New Roman"/>
        </w:rPr>
        <w:t>Ѷ</w:t>
      </w:r>
      <w:r w:rsidRPr="00EE39F7">
        <w:rPr>
          <w:vertAlign w:val="subscript"/>
        </w:rPr>
        <w:t>i</w:t>
      </w:r>
      <w:r>
        <w:t xml:space="preserve"> and </w:t>
      </w:r>
      <w:r>
        <w:rPr>
          <w:rFonts w:cs="Times New Roman"/>
        </w:rPr>
        <w:t>ṫ</w:t>
      </w:r>
      <w:r>
        <w:rPr>
          <w:vertAlign w:val="subscript"/>
        </w:rPr>
        <w:t xml:space="preserve">i </w:t>
      </w:r>
      <w:r>
        <w:t>are equal to zero, and (17) and (18) are equivalent to (19) and (20), respectively</w:t>
      </w:r>
      <w:r w:rsidR="000A5750">
        <w:t xml:space="preserve">. </w:t>
      </w:r>
      <w:r>
        <w:t xml:space="preserve">If the transport of the tracer during the injection phase is not truly negligible, then </w:t>
      </w:r>
      <w:r>
        <w:rPr>
          <w:rFonts w:cs="Times New Roman"/>
        </w:rPr>
        <w:t>Ѷ</w:t>
      </w:r>
      <w:r w:rsidRPr="00EE39F7">
        <w:rPr>
          <w:vertAlign w:val="subscript"/>
        </w:rPr>
        <w:t>i</w:t>
      </w:r>
      <w:r>
        <w:t xml:space="preserve"> and </w:t>
      </w:r>
      <w:r>
        <w:rPr>
          <w:rFonts w:cs="Times New Roman"/>
        </w:rPr>
        <w:t>ṫ</w:t>
      </w:r>
      <w:r>
        <w:rPr>
          <w:vertAlign w:val="subscript"/>
        </w:rPr>
        <w:t xml:space="preserve">i </w:t>
      </w:r>
      <w:r>
        <w:t>are greater than zero, and (17) will yield lower values of average linear groundwater velocity than (19), and (18) will yield higher values of effective porosity than (20).</w:t>
      </w:r>
    </w:p>
    <w:p w14:paraId="3C8E26AD" w14:textId="77777777" w:rsidR="00CC2CE9" w:rsidRDefault="00651218" w:rsidP="00CC2CE9">
      <w:pPr>
        <w:pStyle w:val="Heading3"/>
      </w:pPr>
      <w:bookmarkStart w:id="118" w:name="_Toc498505041"/>
      <w:r>
        <w:t>3.3.</w:t>
      </w:r>
      <w:r w:rsidR="008F21E3">
        <w:t>2</w:t>
      </w:r>
      <w:r>
        <w:t>.</w:t>
      </w:r>
      <w:r>
        <w:tab/>
      </w:r>
      <w:r w:rsidR="008215D6">
        <w:t>Study site</w:t>
      </w:r>
      <w:bookmarkEnd w:id="118"/>
    </w:p>
    <w:p w14:paraId="346E8C39" w14:textId="3FA11A13" w:rsidR="003022E7" w:rsidRDefault="006E2AB7" w:rsidP="006E2AB7">
      <w:pPr>
        <w:ind w:firstLine="720"/>
      </w:pPr>
      <w:r w:rsidRPr="00033E11">
        <w:t xml:space="preserve">The </w:t>
      </w:r>
      <w:r>
        <w:t xml:space="preserve">study site is </w:t>
      </w:r>
      <w:r w:rsidRPr="00033E11">
        <w:t>in Area 2 of the Oak Ridge Integrated Field Research Challenge (OR-IFRC) site in Oak Ridge, Tennessee</w:t>
      </w:r>
      <w:r>
        <w:t>, United States of America (</w:t>
      </w:r>
      <w:r w:rsidR="003022E7">
        <w:fldChar w:fldCharType="begin"/>
      </w:r>
      <w:r w:rsidR="003022E7">
        <w:instrText xml:space="preserve"> REF _Ref486655494 \h </w:instrText>
      </w:r>
      <w:r w:rsidR="003022E7">
        <w:fldChar w:fldCharType="separate"/>
      </w:r>
      <w:r w:rsidR="001175BB">
        <w:t xml:space="preserve">Figure </w:t>
      </w:r>
      <w:r w:rsidR="001175BB">
        <w:rPr>
          <w:noProof/>
        </w:rPr>
        <w:t>3</w:t>
      </w:r>
      <w:r w:rsidR="001175BB">
        <w:t>.</w:t>
      </w:r>
      <w:r w:rsidR="001175BB">
        <w:rPr>
          <w:noProof/>
        </w:rPr>
        <w:t>2</w:t>
      </w:r>
      <w:r w:rsidR="003022E7">
        <w:fldChar w:fldCharType="end"/>
      </w:r>
      <w:r>
        <w:t>)</w:t>
      </w:r>
      <w:r w:rsidR="000A5750">
        <w:t xml:space="preserve">. </w:t>
      </w:r>
      <w:r w:rsidRPr="00033E11">
        <w:t>A typical geologic profile of Area 2 consist</w:t>
      </w:r>
      <w:r>
        <w:t>s</w:t>
      </w:r>
      <w:r w:rsidRPr="00033E11">
        <w:t xml:space="preserve"> of approximately 6 meters of </w:t>
      </w:r>
      <w:r>
        <w:t>unconsolidated and heterogeneous materials comprised of s</w:t>
      </w:r>
      <w:r w:rsidRPr="0001012B">
        <w:t>ilty</w:t>
      </w:r>
      <w:r>
        <w:t xml:space="preserve"> and </w:t>
      </w:r>
      <w:r w:rsidRPr="0001012B">
        <w:t>clayey</w:t>
      </w:r>
      <w:r>
        <w:t xml:space="preserve"> fill (soil, limestone, and clay-rich residuum), related to historical construction activities, </w:t>
      </w:r>
      <w:r w:rsidRPr="00033E11">
        <w:t xml:space="preserve">underlain by </w:t>
      </w:r>
      <w:r>
        <w:t xml:space="preserve">undisturbed and clay-rich </w:t>
      </w:r>
      <w:r w:rsidRPr="00033E11">
        <w:t xml:space="preserve">weathered bedrock </w:t>
      </w:r>
    </w:p>
    <w:p w14:paraId="1006243A" w14:textId="77777777" w:rsidR="003022E7" w:rsidRDefault="003022E7" w:rsidP="003022E7">
      <w:r>
        <w:rPr>
          <w:noProof/>
          <w:lang w:eastAsia="zh-CN" w:bidi="ar-SA"/>
        </w:rPr>
        <w:lastRenderedPageBreak/>
        <w:drawing>
          <wp:inline distT="0" distB="0" distL="0" distR="0" wp14:anchorId="3A48A0A4" wp14:editId="0F477CA3">
            <wp:extent cx="5943600" cy="59436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ffective_Porosity_Study_Site_Map_v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56A87D6A" w14:textId="77777777" w:rsidR="003022E7" w:rsidRDefault="003022E7" w:rsidP="003022E7">
      <w:pPr>
        <w:pStyle w:val="Caption"/>
      </w:pPr>
      <w:bookmarkStart w:id="119" w:name="_Ref486655494"/>
      <w:bookmarkStart w:id="120" w:name="_Toc498504896"/>
      <w:r>
        <w:t xml:space="preserve">Figure </w:t>
      </w:r>
      <w:r w:rsidR="00CA2C3C">
        <w:fldChar w:fldCharType="begin"/>
      </w:r>
      <w:r w:rsidR="00CA2C3C">
        <w:instrText xml:space="preserve"> STYLEREF 1 \s </w:instrText>
      </w:r>
      <w:r w:rsidR="00CA2C3C">
        <w:fldChar w:fldCharType="separate"/>
      </w:r>
      <w:r w:rsidR="00E70E91">
        <w:rPr>
          <w:noProof/>
        </w:rPr>
        <w:t>3</w:t>
      </w:r>
      <w:r w:rsidR="00CA2C3C">
        <w:rPr>
          <w:noProof/>
        </w:rPr>
        <w:fldChar w:fldCharType="end"/>
      </w:r>
      <w:r w:rsidR="00E70E91">
        <w:t>.</w:t>
      </w:r>
      <w:r w:rsidR="00CA2C3C">
        <w:fldChar w:fldCharType="begin"/>
      </w:r>
      <w:r w:rsidR="00CA2C3C">
        <w:instrText xml:space="preserve"> SEQ Figure \* ARABIC \s 1 </w:instrText>
      </w:r>
      <w:r w:rsidR="00CA2C3C">
        <w:fldChar w:fldCharType="separate"/>
      </w:r>
      <w:r w:rsidR="00E70E91">
        <w:rPr>
          <w:noProof/>
        </w:rPr>
        <w:t>2</w:t>
      </w:r>
      <w:r w:rsidR="00CA2C3C">
        <w:rPr>
          <w:noProof/>
        </w:rPr>
        <w:fldChar w:fldCharType="end"/>
      </w:r>
      <w:bookmarkEnd w:id="119"/>
      <w:r>
        <w:t xml:space="preserve"> </w:t>
      </w:r>
      <w:r w:rsidRPr="006E2AB7">
        <w:rPr>
          <w:b w:val="0"/>
        </w:rPr>
        <w:t>Plan-view maps of the study site, clockwise from upper left, country map showing study site location in the southeastern United States, area map showing study site location in Area 2 of the OR-IFRC, and study site map showing well locations, groundwater elevations, and groundwater elevation iso-contours, m amsl = meters above mean sea level</w:t>
      </w:r>
      <w:bookmarkEnd w:id="120"/>
      <w:r>
        <w:t xml:space="preserve"> </w:t>
      </w:r>
    </w:p>
    <w:p w14:paraId="18E03C21" w14:textId="77777777" w:rsidR="003022E7" w:rsidRDefault="003022E7" w:rsidP="003022E7"/>
    <w:p w14:paraId="6D6F71B0" w14:textId="77777777" w:rsidR="003022E7" w:rsidRDefault="003022E7" w:rsidP="006E2AB7">
      <w:pPr>
        <w:ind w:firstLine="720"/>
      </w:pPr>
    </w:p>
    <w:p w14:paraId="67695383" w14:textId="77777777" w:rsidR="003022E7" w:rsidRDefault="003022E7" w:rsidP="003022E7">
      <w:r>
        <w:rPr>
          <w:noProof/>
          <w:lang w:eastAsia="zh-CN" w:bidi="ar-SA"/>
        </w:rPr>
        <w:lastRenderedPageBreak/>
        <w:drawing>
          <wp:inline distT="0" distB="0" distL="0" distR="0" wp14:anchorId="44853083" wp14:editId="44A2ED61">
            <wp:extent cx="5943600" cy="3789045"/>
            <wp:effectExtent l="0" t="0" r="0" b="190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3789045"/>
                    </a:xfrm>
                    <a:prstGeom prst="rect">
                      <a:avLst/>
                    </a:prstGeom>
                    <a:noFill/>
                  </pic:spPr>
                </pic:pic>
              </a:graphicData>
            </a:graphic>
          </wp:inline>
        </w:drawing>
      </w:r>
    </w:p>
    <w:p w14:paraId="4EB5BC0E" w14:textId="77777777" w:rsidR="003022E7" w:rsidRPr="006E2AB7" w:rsidRDefault="003022E7" w:rsidP="003022E7">
      <w:pPr>
        <w:pStyle w:val="Caption"/>
      </w:pPr>
      <w:bookmarkStart w:id="121" w:name="_Ref486655514"/>
      <w:bookmarkStart w:id="122" w:name="_Toc498504897"/>
      <w:r>
        <w:t xml:space="preserve">Figure </w:t>
      </w:r>
      <w:r w:rsidR="00CA2C3C">
        <w:fldChar w:fldCharType="begin"/>
      </w:r>
      <w:r w:rsidR="00CA2C3C">
        <w:instrText xml:space="preserve"> STYLEREF 1 \s </w:instrText>
      </w:r>
      <w:r w:rsidR="00CA2C3C">
        <w:fldChar w:fldCharType="separate"/>
      </w:r>
      <w:r w:rsidR="00E70E91">
        <w:rPr>
          <w:noProof/>
        </w:rPr>
        <w:t>3</w:t>
      </w:r>
      <w:r w:rsidR="00CA2C3C">
        <w:rPr>
          <w:noProof/>
        </w:rPr>
        <w:fldChar w:fldCharType="end"/>
      </w:r>
      <w:r w:rsidR="00E70E91">
        <w:t>.</w:t>
      </w:r>
      <w:r w:rsidR="00CA2C3C">
        <w:fldChar w:fldCharType="begin"/>
      </w:r>
      <w:r w:rsidR="00CA2C3C">
        <w:instrText xml:space="preserve"> SEQ Figure \* ARABIC \s 1 </w:instrText>
      </w:r>
      <w:r w:rsidR="00CA2C3C">
        <w:fldChar w:fldCharType="separate"/>
      </w:r>
      <w:r w:rsidR="00E70E91">
        <w:rPr>
          <w:noProof/>
        </w:rPr>
        <w:t>3</w:t>
      </w:r>
      <w:r w:rsidR="00CA2C3C">
        <w:rPr>
          <w:noProof/>
        </w:rPr>
        <w:fldChar w:fldCharType="end"/>
      </w:r>
      <w:bookmarkEnd w:id="121"/>
      <w:r>
        <w:t xml:space="preserve"> </w:t>
      </w:r>
      <w:r w:rsidRPr="006E2AB7">
        <w:rPr>
          <w:b w:val="0"/>
        </w:rPr>
        <w:t>Vertical-view conceptual model of the shallow, unconfined, aquifer and construction details of a test well, horizontal exaggeration is 50-fold</w:t>
      </w:r>
      <w:bookmarkEnd w:id="122"/>
      <w:r>
        <w:t xml:space="preserve"> </w:t>
      </w:r>
    </w:p>
    <w:p w14:paraId="2CFC3B68" w14:textId="77777777" w:rsidR="003022E7" w:rsidRDefault="003022E7" w:rsidP="006E2AB7">
      <w:pPr>
        <w:ind w:firstLine="720"/>
      </w:pPr>
    </w:p>
    <w:p w14:paraId="637FC1D9" w14:textId="77777777" w:rsidR="003022E7" w:rsidRDefault="003022E7" w:rsidP="006E2AB7">
      <w:pPr>
        <w:ind w:firstLine="720"/>
      </w:pPr>
    </w:p>
    <w:p w14:paraId="373C7D18" w14:textId="77777777" w:rsidR="003022E7" w:rsidRDefault="003022E7" w:rsidP="006E2AB7">
      <w:pPr>
        <w:ind w:firstLine="720"/>
      </w:pPr>
    </w:p>
    <w:p w14:paraId="2697E4B3" w14:textId="77777777" w:rsidR="003022E7" w:rsidRDefault="003022E7" w:rsidP="006E2AB7">
      <w:pPr>
        <w:ind w:firstLine="720"/>
      </w:pPr>
    </w:p>
    <w:p w14:paraId="2C2D7ED8" w14:textId="77777777" w:rsidR="003022E7" w:rsidRDefault="003022E7" w:rsidP="006E2AB7">
      <w:pPr>
        <w:ind w:firstLine="720"/>
      </w:pPr>
    </w:p>
    <w:p w14:paraId="6867F9CF" w14:textId="77777777" w:rsidR="003022E7" w:rsidRDefault="003022E7" w:rsidP="006E2AB7">
      <w:pPr>
        <w:ind w:firstLine="720"/>
      </w:pPr>
    </w:p>
    <w:p w14:paraId="77E77621" w14:textId="77777777" w:rsidR="003022E7" w:rsidRDefault="003022E7" w:rsidP="006E2AB7">
      <w:pPr>
        <w:ind w:firstLine="720"/>
      </w:pPr>
    </w:p>
    <w:p w14:paraId="05ABBA77" w14:textId="77777777" w:rsidR="003022E7" w:rsidRDefault="003022E7" w:rsidP="006E2AB7">
      <w:pPr>
        <w:ind w:firstLine="720"/>
      </w:pPr>
    </w:p>
    <w:p w14:paraId="281D1F0E" w14:textId="77777777" w:rsidR="003022E7" w:rsidRDefault="003022E7" w:rsidP="006E2AB7">
      <w:pPr>
        <w:ind w:firstLine="720"/>
      </w:pPr>
    </w:p>
    <w:p w14:paraId="436523A5" w14:textId="4F586AE2" w:rsidR="003022E7" w:rsidRDefault="003022E7" w:rsidP="00830B3D"/>
    <w:p w14:paraId="1A1554E6" w14:textId="556612AB" w:rsidR="006E2AB7" w:rsidRPr="001A1BB1" w:rsidRDefault="006E2AB7" w:rsidP="006E2AB7">
      <w:pPr>
        <w:rPr>
          <w:b/>
        </w:rPr>
      </w:pPr>
      <w:r>
        <w:lastRenderedPageBreak/>
        <w:fldChar w:fldCharType="begin"/>
      </w:r>
      <w:r>
        <w:instrText xml:space="preserve"> ADDIN EN.CITE &lt;EndNote&gt;&lt;Cite&gt;&lt;Author&gt;Watson&lt;/Author&gt;&lt;Year&gt;2004&lt;/Year&gt;&lt;RecNum&gt;550&lt;/RecNum&gt;&lt;DisplayText&gt;(Moon et al. 2006; Watson et al. 2004)&lt;/DisplayText&gt;&lt;record&gt;&lt;rec-number&gt;550&lt;/rec-number&gt;&lt;foreign-keys&gt;&lt;key app="EN" db-id="rzwe2tae7rs0abe55xgp55w8xtdf5xp9dwrd"&gt;550&lt;/key&gt;&lt;/foreign-keys&gt;&lt;ref-type name="Generic"&gt;13&lt;/ref-type&gt;&lt;contributors&gt;&lt;authors&gt;&lt;author&gt;Watson, D. B.&lt;/author&gt;&lt;author&gt;Kostka, J. E.&lt;/author&gt;&lt;author&gt;Fields, M. W. &lt;/author&gt;&lt;author&gt;Jardine , P. M.&lt;/author&gt;&lt;/authors&gt;&lt;/contributors&gt;&lt;titles&gt;&lt;title&gt;The Oak Ridge Field Research Center Conceptual Model&lt;/title&gt;&lt;/titles&gt;&lt;dates&gt;&lt;year&gt;2004&lt;/year&gt;&lt;/dates&gt;&lt;pub-location&gt;Oak Ridge, TN, USA&lt;/pub-location&gt;&lt;publisher&gt;United States Department of Energy&lt;/publisher&gt;&lt;urls&gt;&lt;/urls&gt;&lt;/record&gt;&lt;/Cite&gt;&lt;Cite&gt;&lt;Author&gt;Moon&lt;/Author&gt;&lt;Year&gt;2006&lt;/Year&gt;&lt;RecNum&gt;707&lt;/RecNum&gt;&lt;record&gt;&lt;rec-number&gt;707&lt;/rec-number&gt;&lt;foreign-keys&gt;&lt;key app="EN" db-id="rzwe2tae7rs0abe55xgp55w8xtdf5xp9dwrd"&gt;707&lt;/key&gt;&lt;/foreign-keys&gt;&lt;ref-type name="Journal Article"&gt;17&lt;/ref-type&gt;&lt;contributors&gt;&lt;authors&gt;&lt;author&gt;Moon, J. W.&lt;/author&gt;&lt;author&gt;Roh, Y.&lt;/author&gt;&lt;author&gt;Phelps, T. J.&lt;/author&gt;&lt;author&gt;Phillips, D. H.&lt;/author&gt;&lt;author&gt;Watson, D. B.&lt;/author&gt;&lt;author&gt;Kim, Y. J.&lt;/author&gt;&lt;author&gt;Brooks, S. C.&lt;/author&gt;&lt;/authors&gt;&lt;/contributors&gt;&lt;titles&gt;&lt;title&gt;Physicochemical and mineralogical characterization of soil-saprolite cores from a field research site, Tennessee&lt;/title&gt;&lt;secondary-title&gt;Journal of Environmental Quality&lt;/secondary-title&gt;&lt;/titles&gt;&lt;periodical&gt;&lt;full-title&gt;Journal of Environmental Quality&lt;/full-title&gt;&lt;/periodical&gt;&lt;pages&gt;1731-1741&lt;/pages&gt;&lt;volume&gt;35&lt;/volume&gt;&lt;number&gt;5&lt;/number&gt;&lt;dates&gt;&lt;year&gt;2006&lt;/year&gt;&lt;pub-dates&gt;&lt;date&gt;Sep-Oct&lt;/date&gt;&lt;/pub-dates&gt;&lt;/dates&gt;&lt;isbn&gt;0047-2425&lt;/isbn&gt;&lt;accession-num&gt;WOS:000240924200010&lt;/accession-num&gt;&lt;urls&gt;&lt;related-urls&gt;&lt;url&gt;&amp;lt;Go to ISI&amp;gt;://WOS:000240924200010&lt;/url&gt;&lt;/related-urls&gt;&lt;/urls&gt;&lt;electronic-resource-num&gt;10.2134/jeq2005.0123&lt;/electronic-resource-num&gt;&lt;/record&gt;&lt;/Cite&gt;&lt;/EndNote&gt;</w:instrText>
      </w:r>
      <w:r>
        <w:fldChar w:fldCharType="separate"/>
      </w:r>
      <w:r>
        <w:rPr>
          <w:noProof/>
        </w:rPr>
        <w:t>(</w:t>
      </w:r>
      <w:hyperlink w:anchor="_ENREF_24" w:tooltip="Moon, 2006 #707" w:history="1">
        <w:r>
          <w:rPr>
            <w:noProof/>
          </w:rPr>
          <w:t>Moon et al. 2006</w:t>
        </w:r>
      </w:hyperlink>
      <w:r>
        <w:rPr>
          <w:noProof/>
        </w:rPr>
        <w:t xml:space="preserve">; </w:t>
      </w:r>
      <w:hyperlink w:anchor="_ENREF_34" w:tooltip="Watson, 2004 #550" w:history="1">
        <w:r>
          <w:rPr>
            <w:noProof/>
          </w:rPr>
          <w:t>Watson et al. 2004</w:t>
        </w:r>
      </w:hyperlink>
      <w:r>
        <w:rPr>
          <w:noProof/>
        </w:rPr>
        <w:t>)</w:t>
      </w:r>
      <w:r>
        <w:fldChar w:fldCharType="end"/>
      </w:r>
      <w:r>
        <w:t xml:space="preserve"> (</w:t>
      </w:r>
      <w:r w:rsidR="003022E7">
        <w:fldChar w:fldCharType="begin"/>
      </w:r>
      <w:r w:rsidR="003022E7">
        <w:instrText xml:space="preserve"> REF _Ref486655514 \h </w:instrText>
      </w:r>
      <w:r w:rsidR="003022E7">
        <w:fldChar w:fldCharType="separate"/>
      </w:r>
      <w:r w:rsidR="001175BB">
        <w:t xml:space="preserve">Figure </w:t>
      </w:r>
      <w:r w:rsidR="001175BB">
        <w:rPr>
          <w:noProof/>
        </w:rPr>
        <w:t>3</w:t>
      </w:r>
      <w:r w:rsidR="001175BB">
        <w:t>.</w:t>
      </w:r>
      <w:r w:rsidR="001175BB">
        <w:rPr>
          <w:noProof/>
        </w:rPr>
        <w:t>3</w:t>
      </w:r>
      <w:r w:rsidR="003022E7">
        <w:fldChar w:fldCharType="end"/>
      </w:r>
      <w:r>
        <w:t>)</w:t>
      </w:r>
      <w:r w:rsidR="000A5750">
        <w:t xml:space="preserve">. </w:t>
      </w:r>
      <w:r>
        <w:t>Slug tests indicated that the hydraulic conductivity of the fill materials was approximately two orders of magnitude greater than the weathered bedrock, e.g., 10</w:t>
      </w:r>
      <w:r w:rsidRPr="001A1BB1">
        <w:rPr>
          <w:vertAlign w:val="superscript"/>
        </w:rPr>
        <w:t>-6</w:t>
      </w:r>
      <w:r>
        <w:t xml:space="preserve"> m/s versus 10</w:t>
      </w:r>
      <w:r w:rsidRPr="001A1BB1">
        <w:rPr>
          <w:vertAlign w:val="superscript"/>
        </w:rPr>
        <w:t>-8</w:t>
      </w:r>
      <w:r>
        <w:t xml:space="preserve"> m/s, respectively (</w:t>
      </w:r>
      <w:r w:rsidR="003022E7">
        <w:fldChar w:fldCharType="begin"/>
      </w:r>
      <w:r w:rsidR="003022E7">
        <w:instrText xml:space="preserve"> REF _Ref486655514 \h </w:instrText>
      </w:r>
      <w:r w:rsidR="003022E7">
        <w:fldChar w:fldCharType="separate"/>
      </w:r>
      <w:r w:rsidR="001175BB">
        <w:t xml:space="preserve">Figure </w:t>
      </w:r>
      <w:r w:rsidR="001175BB">
        <w:rPr>
          <w:noProof/>
        </w:rPr>
        <w:t>3</w:t>
      </w:r>
      <w:r w:rsidR="001175BB">
        <w:t>.</w:t>
      </w:r>
      <w:r w:rsidR="001175BB">
        <w:rPr>
          <w:noProof/>
        </w:rPr>
        <w:t>3</w:t>
      </w:r>
      <w:r w:rsidR="003022E7">
        <w:fldChar w:fldCharType="end"/>
      </w:r>
      <w:r>
        <w:t>)</w:t>
      </w:r>
      <w:r w:rsidR="000A5750">
        <w:t xml:space="preserve">. </w:t>
      </w:r>
      <w:r>
        <w:t xml:space="preserve">The study site </w:t>
      </w:r>
      <w:r w:rsidRPr="00033E11">
        <w:t xml:space="preserve">contains </w:t>
      </w:r>
      <w:r>
        <w:t xml:space="preserve">13 monitoring wells (FW218 through FW230), six of which were used as test </w:t>
      </w:r>
      <w:r w:rsidRPr="00033E11">
        <w:t>wells (FW2</w:t>
      </w:r>
      <w:r>
        <w:t>20</w:t>
      </w:r>
      <w:r w:rsidRPr="00033E11">
        <w:t xml:space="preserve"> through FW22</w:t>
      </w:r>
      <w:r>
        <w:t>5), and one of which was used as a source well (FW229) for groundwater injectate for the single-well push-pull tests, as discussed in Section 2.5. (</w:t>
      </w:r>
      <w:r w:rsidR="003022E7">
        <w:fldChar w:fldCharType="begin"/>
      </w:r>
      <w:r w:rsidR="003022E7">
        <w:instrText xml:space="preserve"> REF _Ref486655494 \h </w:instrText>
      </w:r>
      <w:r w:rsidR="003022E7">
        <w:fldChar w:fldCharType="separate"/>
      </w:r>
      <w:r w:rsidR="001175BB">
        <w:t xml:space="preserve">Figure </w:t>
      </w:r>
      <w:r w:rsidR="001175BB">
        <w:rPr>
          <w:noProof/>
        </w:rPr>
        <w:t>3</w:t>
      </w:r>
      <w:r w:rsidR="001175BB">
        <w:t>.</w:t>
      </w:r>
      <w:r w:rsidR="001175BB">
        <w:rPr>
          <w:noProof/>
        </w:rPr>
        <w:t>2</w:t>
      </w:r>
      <w:r w:rsidR="003022E7">
        <w:fldChar w:fldCharType="end"/>
      </w:r>
      <w:r>
        <w:t>)</w:t>
      </w:r>
      <w:r w:rsidR="000A5750">
        <w:t xml:space="preserve">. </w:t>
      </w:r>
      <w:r>
        <w:t xml:space="preserve">The test wells </w:t>
      </w:r>
      <w:r w:rsidRPr="00033E11">
        <w:t>w</w:t>
      </w:r>
      <w:r>
        <w:t>ere installed by direct push coupled with continuous electrical resistivity profiling</w:t>
      </w:r>
      <w:r w:rsidR="000A5750">
        <w:t xml:space="preserve">. </w:t>
      </w:r>
      <w:r>
        <w:t xml:space="preserve">The test wells are </w:t>
      </w:r>
      <w:r w:rsidRPr="00033E11">
        <w:t xml:space="preserve">constructed of </w:t>
      </w:r>
      <w:r>
        <w:t>1.9</w:t>
      </w:r>
      <w:r w:rsidRPr="00033E11">
        <w:t>-</w:t>
      </w:r>
      <w:r>
        <w:t xml:space="preserve">cm </w:t>
      </w:r>
      <w:r w:rsidRPr="00033E11">
        <w:t xml:space="preserve">inside </w:t>
      </w:r>
      <w:r>
        <w:t>diameter schedule-</w:t>
      </w:r>
      <w:r w:rsidRPr="00033E11">
        <w:t>80 polyvinyl chloride (PVC) pipe</w:t>
      </w:r>
      <w:r>
        <w:t xml:space="preserve"> </w:t>
      </w:r>
      <w:r w:rsidRPr="00033E11">
        <w:t>and are screened from 3.</w:t>
      </w:r>
      <w:r>
        <w:t>7</w:t>
      </w:r>
      <w:r w:rsidRPr="00033E11">
        <w:t xml:space="preserve"> to 6</w:t>
      </w:r>
      <w:r>
        <w:t xml:space="preserve">.1 </w:t>
      </w:r>
      <w:r w:rsidRPr="00033E11">
        <w:t>meters below ground surface (mbgs)</w:t>
      </w:r>
      <w:r>
        <w:t xml:space="preserve"> (</w:t>
      </w:r>
      <w:r w:rsidR="003022E7">
        <w:fldChar w:fldCharType="begin"/>
      </w:r>
      <w:r w:rsidR="003022E7">
        <w:instrText xml:space="preserve"> REF _Ref486655514 \h </w:instrText>
      </w:r>
      <w:r w:rsidR="003022E7">
        <w:fldChar w:fldCharType="separate"/>
      </w:r>
      <w:r w:rsidR="001175BB">
        <w:t xml:space="preserve">Figure </w:t>
      </w:r>
      <w:r w:rsidR="001175BB">
        <w:rPr>
          <w:noProof/>
        </w:rPr>
        <w:t>3</w:t>
      </w:r>
      <w:r w:rsidR="001175BB">
        <w:t>.</w:t>
      </w:r>
      <w:r w:rsidR="001175BB">
        <w:rPr>
          <w:noProof/>
        </w:rPr>
        <w:t>3</w:t>
      </w:r>
      <w:r w:rsidR="003022E7">
        <w:fldChar w:fldCharType="end"/>
      </w:r>
      <w:r>
        <w:t>)</w:t>
      </w:r>
      <w:r w:rsidR="000A5750">
        <w:t xml:space="preserve">. </w:t>
      </w:r>
      <w:r>
        <w:t xml:space="preserve">The test wells are screened within the </w:t>
      </w:r>
      <w:r w:rsidRPr="00033E11">
        <w:t xml:space="preserve">fill </w:t>
      </w:r>
      <w:r>
        <w:t>materials and were vertically terminated at contact with the undisturbed weathered bedrock; the contact with undisturbed weathered bedrock was determined by substantial difficulty in advancing the direct-push drill string and a concomitant and notable increase in electrical resistivity (</w:t>
      </w:r>
      <w:r w:rsidR="0022304E">
        <w:fldChar w:fldCharType="begin"/>
      </w:r>
      <w:r w:rsidR="0022304E">
        <w:instrText xml:space="preserve"> REF _Ref486655514 \h </w:instrText>
      </w:r>
      <w:r w:rsidR="0022304E">
        <w:fldChar w:fldCharType="separate"/>
      </w:r>
      <w:r w:rsidR="001175BB">
        <w:t xml:space="preserve">Figure </w:t>
      </w:r>
      <w:r w:rsidR="001175BB">
        <w:rPr>
          <w:noProof/>
        </w:rPr>
        <w:t>3</w:t>
      </w:r>
      <w:r w:rsidR="001175BB">
        <w:t>.</w:t>
      </w:r>
      <w:r w:rsidR="001175BB">
        <w:rPr>
          <w:noProof/>
        </w:rPr>
        <w:t>3</w:t>
      </w:r>
      <w:r w:rsidR="0022304E">
        <w:fldChar w:fldCharType="end"/>
      </w:r>
      <w:r>
        <w:t>)</w:t>
      </w:r>
      <w:r w:rsidR="000A5750">
        <w:t xml:space="preserve">. </w:t>
      </w:r>
      <w:r>
        <w:t>The source well is constructed of 5.1-cm inside diameter schedule-40 PVC pipe and is screened from 3 to 7.5 mbgs</w:t>
      </w:r>
      <w:r w:rsidR="000A5750">
        <w:t xml:space="preserve">. </w:t>
      </w:r>
      <w:r w:rsidRPr="00033E11">
        <w:t xml:space="preserve">The shallow </w:t>
      </w:r>
      <w:r>
        <w:t xml:space="preserve">groundwater aquifer </w:t>
      </w:r>
      <w:r w:rsidRPr="00033E11">
        <w:t>is unconfined and</w:t>
      </w:r>
      <w:r>
        <w:t xml:space="preserve"> the </w:t>
      </w:r>
      <w:r w:rsidRPr="00033E11">
        <w:t>depth to groundwater is approximately 3.5 mbgs</w:t>
      </w:r>
      <w:r>
        <w:t xml:space="preserve"> (</w:t>
      </w:r>
      <w:r w:rsidR="0022304E">
        <w:fldChar w:fldCharType="begin"/>
      </w:r>
      <w:r w:rsidR="0022304E">
        <w:instrText xml:space="preserve"> REF _Ref486655514 \h </w:instrText>
      </w:r>
      <w:r w:rsidR="0022304E">
        <w:fldChar w:fldCharType="separate"/>
      </w:r>
      <w:r w:rsidR="001175BB">
        <w:t xml:space="preserve">Figure </w:t>
      </w:r>
      <w:r w:rsidR="001175BB">
        <w:rPr>
          <w:noProof/>
        </w:rPr>
        <w:t>3</w:t>
      </w:r>
      <w:r w:rsidR="001175BB">
        <w:t>.</w:t>
      </w:r>
      <w:r w:rsidR="001175BB">
        <w:rPr>
          <w:noProof/>
        </w:rPr>
        <w:t>3</w:t>
      </w:r>
      <w:r w:rsidR="0022304E">
        <w:fldChar w:fldCharType="end"/>
      </w:r>
      <w:r>
        <w:t>)</w:t>
      </w:r>
      <w:r w:rsidR="000A5750">
        <w:t xml:space="preserve">. </w:t>
      </w:r>
      <w:r>
        <w:t>The site-wide average magnitude and direction of the hydraulic gradient, as determined graphically, is approximately -0.045 m/m and to the south/southwest, respectively (</w:t>
      </w:r>
      <w:r w:rsidR="0022304E">
        <w:fldChar w:fldCharType="begin"/>
      </w:r>
      <w:r w:rsidR="0022304E">
        <w:instrText xml:space="preserve"> REF _Ref486655494 \h </w:instrText>
      </w:r>
      <w:r w:rsidR="0022304E">
        <w:fldChar w:fldCharType="separate"/>
      </w:r>
      <w:r w:rsidR="001175BB">
        <w:t xml:space="preserve">Figure </w:t>
      </w:r>
      <w:r w:rsidR="001175BB">
        <w:rPr>
          <w:noProof/>
        </w:rPr>
        <w:t>3</w:t>
      </w:r>
      <w:r w:rsidR="001175BB">
        <w:t>.</w:t>
      </w:r>
      <w:r w:rsidR="001175BB">
        <w:rPr>
          <w:noProof/>
        </w:rPr>
        <w:t>2</w:t>
      </w:r>
      <w:r w:rsidR="0022304E">
        <w:fldChar w:fldCharType="end"/>
      </w:r>
      <w:r>
        <w:t>).</w:t>
      </w:r>
    </w:p>
    <w:p w14:paraId="3F66C941" w14:textId="1A0838F2" w:rsidR="006E2AB7" w:rsidRDefault="006E2AB7" w:rsidP="00F11261">
      <w:pPr>
        <w:ind w:firstLine="720"/>
      </w:pPr>
      <w:r>
        <w:t>The physical properties of the fill materials, in which the test wells are screened, are poorly characterized compared to those at other study sites located within Area 2</w:t>
      </w:r>
      <w:r w:rsidR="000A5750">
        <w:t xml:space="preserve">. </w:t>
      </w:r>
      <w:r>
        <w:t xml:space="preserve">This is due, in part, to the lack of: (1) core samples from the direct-push test wells and (2) </w:t>
      </w:r>
      <w:r w:rsidR="00AF4FA9">
        <w:rPr>
          <w:i/>
          <w:iCs/>
        </w:rPr>
        <w:t>in situ</w:t>
      </w:r>
      <w:r w:rsidR="00AF4FA9">
        <w:t xml:space="preserve"> </w:t>
      </w:r>
      <w:r>
        <w:t>hydraulic testing</w:t>
      </w:r>
      <w:r w:rsidR="000A5750">
        <w:t xml:space="preserve">. </w:t>
      </w:r>
      <w:r>
        <w:t>However, there is no evidence to suggest that the fill materials at the study site are not representative of those known to exist within Area 2, i.e., unconsolidated and heterogeneous materials comprised of s</w:t>
      </w:r>
      <w:r w:rsidRPr="0001012B">
        <w:t>ilty</w:t>
      </w:r>
      <w:r>
        <w:t xml:space="preserve"> and </w:t>
      </w:r>
      <w:r w:rsidRPr="0001012B">
        <w:t>clayey</w:t>
      </w:r>
      <w:r>
        <w:t xml:space="preserve"> fill</w:t>
      </w:r>
      <w:r w:rsidR="000A5750">
        <w:t xml:space="preserve">. </w:t>
      </w:r>
      <w:r>
        <w:t>I</w:t>
      </w:r>
      <w:r w:rsidRPr="002E0DE2">
        <w:t xml:space="preserve">t should be noted that the chemical and biological </w:t>
      </w:r>
      <w:r w:rsidRPr="002E0DE2">
        <w:lastRenderedPageBreak/>
        <w:t xml:space="preserve">properties of </w:t>
      </w:r>
      <w:r>
        <w:t xml:space="preserve">the </w:t>
      </w:r>
      <w:r w:rsidRPr="002E0DE2">
        <w:t>groundwater system</w:t>
      </w:r>
      <w:r>
        <w:t xml:space="preserve"> at the study site </w:t>
      </w:r>
      <w:r w:rsidRPr="002E0DE2">
        <w:t>are better characterized</w:t>
      </w:r>
      <w:r w:rsidR="000A5750">
        <w:t xml:space="preserve">. </w:t>
      </w:r>
      <w:r w:rsidRPr="002E0DE2">
        <w:t xml:space="preserve">More specially, a previous study by </w:t>
      </w:r>
      <w:r w:rsidRPr="002E0DE2">
        <w:fldChar w:fldCharType="begin"/>
      </w:r>
      <w:r>
        <w:instrText xml:space="preserve"> ADDIN EN.CITE &lt;EndNote&gt;&lt;Cite AuthorYear="1"&gt;&lt;Author&gt;Paradis&lt;/Author&gt;&lt;Year&gt;2016&lt;/Year&gt;&lt;RecNum&gt;1&lt;/RecNum&gt;&lt;DisplayText&gt;Paradis et al. (2016)&lt;/DisplayText&gt;&lt;record&gt;&lt;rec-number&gt;1&lt;/rec-number&gt;&lt;foreign-keys&gt;&lt;key app="EN" db-id="rzwe2tae7rs0abe55xgp55w8xtdf5xp9dwrd"&gt;1&lt;/key&gt;&lt;/foreign-keys&gt;&lt;ref-type name="Journal Article"&gt;17&lt;/ref-type&gt;&lt;contributors&gt;&lt;authors&gt;&lt;author&gt;Paradis, Charles J.&lt;/author&gt;&lt;author&gt;Jagadamma, Sindhu&lt;/author&gt;&lt;author&gt;Watson, David B.&lt;/author&gt;&lt;author&gt;McKay, Larry D.&lt;/author&gt;&lt;author&gt;Hazen, Terry C.&lt;/author&gt;&lt;author&gt;Park, Melora&lt;/author&gt;&lt;author&gt;Istok, Jonathan D.&lt;/author&gt;&lt;/authors&gt;&lt;/contributors&gt;&lt;titles&gt;&lt;title&gt;In situ mobility of uranium in the presence of nitrate following sulfate-reducing conditions&lt;/title&gt;&lt;secondary-title&gt;Journal of Contaminant Hydrology&lt;/secondary-title&gt;&lt;/titles&gt;&lt;periodical&gt;&lt;full-title&gt;Journal of contaminant hydrology&lt;/full-title&gt;&lt;/periodical&gt;&lt;pages&gt;55-64&lt;/pages&gt;&lt;volume&gt;187&lt;/volume&gt;&lt;dates&gt;&lt;year&gt;2016&lt;/year&gt;&lt;pub-dates&gt;&lt;date&gt;2016-Apr&lt;/date&gt;&lt;/pub-dates&gt;&lt;/dates&gt;&lt;accession-num&gt;MEDLINE:26897652&lt;/accession-num&gt;&lt;urls&gt;&lt;related-urls&gt;&lt;url&gt;&amp;lt;Go to ISI&amp;gt;://MEDLINE:26897652&lt;/url&gt;&lt;url&gt;http://ac.els-cdn.com/S0169772216300201/1-s2.0-S0169772216300201-main.pdf?_tid=ca2124d0-081b-11e6-94e3-00000aacb35f&amp;amp;acdnat=1461282793_85f4b0d6470714e0f46b4e949907bbf8&lt;/url&gt;&lt;/related-urls&gt;&lt;/urls&gt;&lt;electronic-resource-num&gt;10.1016/j.jconhyd.2016.02.002&lt;/electronic-resource-num&gt;&lt;/record&gt;&lt;/Cite&gt;&lt;/EndNote&gt;</w:instrText>
      </w:r>
      <w:r w:rsidRPr="002E0DE2">
        <w:fldChar w:fldCharType="separate"/>
      </w:r>
      <w:hyperlink w:anchor="_ENREF_25" w:tooltip="Paradis, 2016 #1" w:history="1">
        <w:r w:rsidRPr="002E0DE2">
          <w:rPr>
            <w:noProof/>
          </w:rPr>
          <w:t>Paradis et al</w:t>
        </w:r>
        <w:r>
          <w:rPr>
            <w:noProof/>
          </w:rPr>
          <w:t xml:space="preserve">. </w:t>
        </w:r>
        <w:r w:rsidRPr="002E0DE2">
          <w:rPr>
            <w:noProof/>
          </w:rPr>
          <w:t>(2016</w:t>
        </w:r>
      </w:hyperlink>
      <w:r w:rsidRPr="002E0DE2">
        <w:rPr>
          <w:noProof/>
        </w:rPr>
        <w:t>)</w:t>
      </w:r>
      <w:r w:rsidRPr="002E0DE2">
        <w:fldChar w:fldCharType="end"/>
      </w:r>
      <w:r w:rsidRPr="002E0DE2">
        <w:t xml:space="preserve"> reported that despite the high level of aquifer heterogeneity within Area 2, the biogeochemical processes associated with </w:t>
      </w:r>
      <w:r>
        <w:t>the</w:t>
      </w:r>
      <w:r w:rsidRPr="002E0DE2">
        <w:t xml:space="preserve"> reduction </w:t>
      </w:r>
      <w:r>
        <w:t xml:space="preserve">and oxidation of uranium </w:t>
      </w:r>
      <w:r w:rsidRPr="002E0DE2">
        <w:t>within the study site wells (FW218 through FW227) were spatially consistent</w:t>
      </w:r>
      <w:r w:rsidR="000A5750">
        <w:t xml:space="preserve">. </w:t>
      </w:r>
      <w:r w:rsidRPr="002E0DE2">
        <w:t xml:space="preserve">Nevertheless, the spatial </w:t>
      </w:r>
      <w:r>
        <w:t xml:space="preserve">variability of </w:t>
      </w:r>
      <w:r w:rsidRPr="002E0DE2">
        <w:t xml:space="preserve">the physical </w:t>
      </w:r>
      <w:r>
        <w:t xml:space="preserve">properties of the fill materials, </w:t>
      </w:r>
      <w:r w:rsidRPr="002E0DE2">
        <w:t xml:space="preserve">e.g., </w:t>
      </w:r>
      <w:r>
        <w:t xml:space="preserve">hydraulic conductivity and effective porosity, </w:t>
      </w:r>
      <w:r w:rsidRPr="002E0DE2">
        <w:t>w</w:t>
      </w:r>
      <w:r>
        <w:t xml:space="preserve">ere </w:t>
      </w:r>
      <w:r w:rsidRPr="002E0DE2">
        <w:t>unknown at the time of th</w:t>
      </w:r>
      <w:r>
        <w:t xml:space="preserve">is </w:t>
      </w:r>
      <w:r w:rsidRPr="002E0DE2">
        <w:t>study</w:t>
      </w:r>
      <w:r w:rsidR="000A5750">
        <w:t xml:space="preserve">. </w:t>
      </w:r>
    </w:p>
    <w:p w14:paraId="6543AA50" w14:textId="77777777" w:rsidR="008215D6" w:rsidRDefault="00283D1D" w:rsidP="008215D6">
      <w:pPr>
        <w:pStyle w:val="Heading3"/>
      </w:pPr>
      <w:bookmarkStart w:id="123" w:name="_Toc498505042"/>
      <w:r>
        <w:t>3.3.</w:t>
      </w:r>
      <w:r w:rsidR="009D3893">
        <w:t>3</w:t>
      </w:r>
      <w:r>
        <w:t>.</w:t>
      </w:r>
      <w:r>
        <w:tab/>
      </w:r>
      <w:r w:rsidR="009D3893">
        <w:t>Hydraulic gradient</w:t>
      </w:r>
      <w:bookmarkEnd w:id="123"/>
    </w:p>
    <w:p w14:paraId="6FE9A7E2" w14:textId="2EC75883" w:rsidR="008215D6" w:rsidRPr="008215D6" w:rsidRDefault="009D3893" w:rsidP="009D3893">
      <w:pPr>
        <w:ind w:firstLine="720"/>
      </w:pPr>
      <w:r>
        <w:t xml:space="preserve">The hydraulic gradient, within the vicinity of each test well, was estimated using </w:t>
      </w:r>
      <w:r w:rsidRPr="00370323">
        <w:t xml:space="preserve">ArcMap </w:t>
      </w:r>
      <w:r>
        <w:t>(</w:t>
      </w:r>
      <w:r w:rsidRPr="00370323">
        <w:t>version 10.</w:t>
      </w:r>
      <w:r>
        <w:t>5) software</w:t>
      </w:r>
      <w:r w:rsidR="000A5750">
        <w:t xml:space="preserve">. </w:t>
      </w:r>
      <w:r>
        <w:t>The depth to groundwater, relative to the top of the casing (surveyed to 0.3-cm above mean sea level) of each site well, was measured using an electronic water level indicator (Solinst</w:t>
      </w:r>
      <w:r w:rsidRPr="00A528B0">
        <w:rPr>
          <w:rFonts w:cs="Times New Roman"/>
          <w:vertAlign w:val="superscript"/>
        </w:rPr>
        <w:t>®</w:t>
      </w:r>
      <w:r>
        <w:t>) immediately prior to conducting single-well pumping and push-pull tests</w:t>
      </w:r>
      <w:r w:rsidR="000A5750">
        <w:t xml:space="preserve">. </w:t>
      </w:r>
      <w:r>
        <w:t>The depth to groundwater measurements were converted to meters above mean sea level (m amsl) and uploaded to ArcMap, along with the coordinates (latitude and longitude) of each site well, to create a point shape file</w:t>
      </w:r>
      <w:r w:rsidR="000A5750">
        <w:t xml:space="preserve">. </w:t>
      </w:r>
      <w:r>
        <w:t xml:space="preserve">The groundwater elevation data was interpolated, </w:t>
      </w:r>
      <w:r w:rsidRPr="00370323">
        <w:t>using the spline t</w:t>
      </w:r>
      <w:r>
        <w:t xml:space="preserve">ool, </w:t>
      </w:r>
      <w:r w:rsidRPr="00370323">
        <w:t>to c</w:t>
      </w:r>
      <w:r>
        <w:t xml:space="preserve">reate a digital elevation model (raster file) </w:t>
      </w:r>
      <w:r w:rsidRPr="00370323">
        <w:t>of the water table</w:t>
      </w:r>
      <w:r>
        <w:t xml:space="preserve"> (</w:t>
      </w:r>
      <w:r w:rsidRPr="00370323">
        <w:t>cell size = 0.15 meters, weight = 0, all other parameters set at default</w:t>
      </w:r>
      <w:r>
        <w:t>)</w:t>
      </w:r>
      <w:r w:rsidR="000A5750">
        <w:t xml:space="preserve">. </w:t>
      </w:r>
      <w:r>
        <w:t xml:space="preserve">The slope of the water table was calculated using the </w:t>
      </w:r>
      <w:r w:rsidRPr="00370323">
        <w:t>slope tool</w:t>
      </w:r>
      <w:r>
        <w:t xml:space="preserve"> (</w:t>
      </w:r>
      <w:r w:rsidRPr="00370323">
        <w:t>z-factor</w:t>
      </w:r>
      <w:r>
        <w:t xml:space="preserve"> = 1.171x10</w:t>
      </w:r>
      <w:r w:rsidRPr="00A528B0">
        <w:rPr>
          <w:vertAlign w:val="superscript"/>
        </w:rPr>
        <w:t>-5</w:t>
      </w:r>
      <w:r>
        <w:t xml:space="preserve">, based on latitude </w:t>
      </w:r>
      <w:r w:rsidRPr="00370323">
        <w:t>of study site</w:t>
      </w:r>
      <w:r>
        <w:t>)</w:t>
      </w:r>
      <w:r w:rsidR="000A5750">
        <w:t xml:space="preserve">. </w:t>
      </w:r>
      <w:r>
        <w:t>The average slope, within a 1-meter radius about each test well, was c</w:t>
      </w:r>
      <w:r w:rsidRPr="00370323">
        <w:t>alculated using the zonal statistics tool</w:t>
      </w:r>
      <w:r w:rsidR="000A5750">
        <w:t xml:space="preserve">. </w:t>
      </w:r>
      <w:r>
        <w:t>The rationale for a 1-meter radius, as representative of the hydraulic conditions within the vicinity of each test well, was based on equation (3) which describes the leading-edge position of a particle of water within an expanding cylindrical volume of water as it is injected into an aquifer, i.e., the maximum frontal position of bromide tracer during the injection phase of a push-pull test</w:t>
      </w:r>
      <w:r w:rsidR="000A5750">
        <w:t xml:space="preserve">. </w:t>
      </w:r>
      <w:r>
        <w:t>We assumed, a priori, an effective porosity of 5%</w:t>
      </w:r>
      <w:r w:rsidR="000A5750">
        <w:t xml:space="preserve">. </w:t>
      </w:r>
      <w:r>
        <w:t xml:space="preserve">For a 20-liter injection </w:t>
      </w:r>
      <w:r>
        <w:lastRenderedPageBreak/>
        <w:t>volume and a saturated aquifer thickness of 2.5 meters, the radius in equation (3) would be approximately 0.25 meters</w:t>
      </w:r>
      <w:r w:rsidR="000A5750">
        <w:t xml:space="preserve">. </w:t>
      </w:r>
      <w:r>
        <w:t>It is important to note that equation (3) ignores heterogeneity and the drift phase of the push-pull tests which would lead to an underestimation of radius</w:t>
      </w:r>
      <w:r w:rsidR="000A5750">
        <w:t xml:space="preserve">. </w:t>
      </w:r>
      <w:r>
        <w:t>Therefore, a 1-meter radius was assumed</w:t>
      </w:r>
      <w:r w:rsidR="000A5750">
        <w:t xml:space="preserve">. </w:t>
      </w:r>
      <w:r>
        <w:t xml:space="preserve">The slope at each test well was converted from degrees to hydraulic gradient values and inputted into equations (18) and (20) to estimate effective porosity. </w:t>
      </w:r>
    </w:p>
    <w:p w14:paraId="71DA8DB9" w14:textId="77777777" w:rsidR="008215D6" w:rsidRDefault="00283D1D" w:rsidP="008215D6">
      <w:pPr>
        <w:pStyle w:val="Heading3"/>
      </w:pPr>
      <w:bookmarkStart w:id="124" w:name="_Toc498505043"/>
      <w:r>
        <w:t>3.3.</w:t>
      </w:r>
      <w:r w:rsidR="009D3893">
        <w:t>4</w:t>
      </w:r>
      <w:r>
        <w:t>.</w:t>
      </w:r>
      <w:r>
        <w:tab/>
      </w:r>
      <w:r w:rsidR="009D3893">
        <w:t>Hydraulic conductivity</w:t>
      </w:r>
      <w:bookmarkEnd w:id="124"/>
    </w:p>
    <w:p w14:paraId="687BDF86" w14:textId="4262E5A6" w:rsidR="009D3893" w:rsidRDefault="009D3893" w:rsidP="009D3893">
      <w:pPr>
        <w:ind w:firstLine="720"/>
      </w:pPr>
      <w:r>
        <w:t>The hydraulic conductivity, within the vicinity of each test well, was estimated by conducting single-well pumping tests</w:t>
      </w:r>
      <w:r w:rsidR="000A5750">
        <w:t xml:space="preserve">. </w:t>
      </w:r>
      <w:r>
        <w:t xml:space="preserve">Single-well pumping tests were conducted according to the methodology of </w:t>
      </w:r>
      <w:r>
        <w:fldChar w:fldCharType="begin"/>
      </w:r>
      <w:r>
        <w:instrText xml:space="preserve"> ADDIN EN.CITE &lt;EndNote&gt;&lt;Cite AuthorYear="1"&gt;&lt;Author&gt;Robbins&lt;/Author&gt;&lt;Year&gt;2009&lt;/Year&gt;&lt;RecNum&gt;531&lt;/RecNum&gt;&lt;DisplayText&gt;Robbins et al. (2009)&lt;/DisplayText&gt;&lt;record&gt;&lt;rec-number&gt;531&lt;/rec-number&gt;&lt;foreign-keys&gt;&lt;key app="EN" db-id="rzwe2tae7rs0abe55xgp55w8xtdf5xp9dwrd"&gt;531&lt;/key&gt;&lt;/foreign-keys&gt;&lt;ref-type name="Journal Article"&gt;17&lt;/ref-type&gt;&lt;contributors&gt;&lt;authors&gt;&lt;author&gt;Robbins, G. A.&lt;/author&gt;&lt;author&gt;Aragon-Jose, A. T.&lt;/author&gt;&lt;author&gt;Romero, A.&lt;/author&gt;&lt;/authors&gt;&lt;/contributors&gt;&lt;titles&gt;&lt;title&gt;Determining Hydraulic Conductivity Using Pumping Data from Low-Flow Sampling&lt;/title&gt;&lt;secondary-title&gt;Ground Water&lt;/secondary-title&gt;&lt;/titles&gt;&lt;periodical&gt;&lt;full-title&gt;Ground Water&lt;/full-title&gt;&lt;abbr-1&gt;Ground Water&lt;/abbr-1&gt;&lt;/periodical&gt;&lt;pages&gt;271-276&lt;/pages&gt;&lt;volume&gt;47&lt;/volume&gt;&lt;number&gt;2&lt;/number&gt;&lt;dates&gt;&lt;year&gt;2009&lt;/year&gt;&lt;pub-dates&gt;&lt;date&gt;Mar-Apr&lt;/date&gt;&lt;/pub-dates&gt;&lt;/dates&gt;&lt;isbn&gt;0017-467X&lt;/isbn&gt;&lt;accession-num&gt;WOS:000263600800014&lt;/accession-num&gt;&lt;urls&gt;&lt;related-urls&gt;&lt;url&gt;&amp;lt;Go to ISI&amp;gt;://WOS:000263600800014&lt;/url&gt;&lt;/related-urls&gt;&lt;/urls&gt;&lt;electronic-resource-num&gt;10.1111/j.1745-6584.2008.00519.x&lt;/electronic-resource-num&gt;&lt;/record&gt;&lt;/Cite&gt;&lt;/EndNote&gt;</w:instrText>
      </w:r>
      <w:r>
        <w:fldChar w:fldCharType="separate"/>
      </w:r>
      <w:hyperlink w:anchor="_ENREF_29" w:tooltip="Robbins, 2009 #531" w:history="1">
        <w:r>
          <w:rPr>
            <w:noProof/>
          </w:rPr>
          <w:t>Robbins et al. (2009</w:t>
        </w:r>
      </w:hyperlink>
      <w:r>
        <w:rPr>
          <w:noProof/>
        </w:rPr>
        <w:t>)</w:t>
      </w:r>
      <w:r>
        <w:fldChar w:fldCharType="end"/>
      </w:r>
      <w:r>
        <w:t xml:space="preserve"> and </w:t>
      </w:r>
      <w:r>
        <w:fldChar w:fldCharType="begin"/>
      </w:r>
      <w:r>
        <w:instrText xml:space="preserve"> ADDIN EN.CITE &lt;EndNote&gt;&lt;Cite AuthorYear="1"&gt;&lt;Author&gt;Aragon-Jose&lt;/Author&gt;&lt;Year&gt;2011&lt;/Year&gt;&lt;RecNum&gt;532&lt;/RecNum&gt;&lt;DisplayText&gt;Aragon-Jose and Robbins (2011)&lt;/DisplayText&gt;&lt;record&gt;&lt;rec-number&gt;532&lt;/rec-number&gt;&lt;foreign-keys&gt;&lt;key app="EN" db-id="rzwe2tae7rs0abe55xgp55w8xtdf5xp9dwrd"&gt;532&lt;/key&gt;&lt;/foreign-keys&gt;&lt;ref-type name="Journal Article"&gt;17&lt;/ref-type&gt;&lt;contributors&gt;&lt;authors&gt;&lt;author&gt;Aragon-Jose, A. T.&lt;/author&gt;&lt;author&gt;Robbins, G. A.&lt;/author&gt;&lt;/authors&gt;&lt;/contributors&gt;&lt;titles&gt;&lt;title&gt;Low-Flow Hydraulic Conductivity Tests at Wells that Cross the Water Table&lt;/title&gt;&lt;secondary-title&gt;Ground Water&lt;/secondary-title&gt;&lt;/titles&gt;&lt;periodical&gt;&lt;full-title&gt;Ground Water&lt;/full-title&gt;&lt;abbr-1&gt;Ground Water&lt;/abbr-1&gt;&lt;/periodical&gt;&lt;pages&gt;426-431&lt;/pages&gt;&lt;volume&gt;49&lt;/volume&gt;&lt;number&gt;3&lt;/number&gt;&lt;dates&gt;&lt;year&gt;2011&lt;/year&gt;&lt;pub-dates&gt;&lt;date&gt;May-Jun&lt;/date&gt;&lt;/pub-dates&gt;&lt;/dates&gt;&lt;isbn&gt;0017-467X&lt;/isbn&gt;&lt;accession-num&gt;WOS:000289903400017&lt;/accession-num&gt;&lt;urls&gt;&lt;related-urls&gt;&lt;url&gt;&amp;lt;Go to ISI&amp;gt;://WOS:000289903400017&lt;/url&gt;&lt;/related-urls&gt;&lt;/urls&gt;&lt;electronic-resource-num&gt;10.1111/j.1745-6584.2010.00742.x&lt;/electronic-resource-num&gt;&lt;/record&gt;&lt;/Cite&gt;&lt;/EndNote&gt;</w:instrText>
      </w:r>
      <w:r>
        <w:fldChar w:fldCharType="separate"/>
      </w:r>
      <w:hyperlink w:anchor="_ENREF_1" w:tooltip="Aragon-Jose, 2011 #532" w:history="1">
        <w:r>
          <w:rPr>
            <w:noProof/>
          </w:rPr>
          <w:t>Aragon-Jose and Robbins (2011</w:t>
        </w:r>
      </w:hyperlink>
      <w:r>
        <w:rPr>
          <w:noProof/>
        </w:rPr>
        <w:t>)</w:t>
      </w:r>
      <w:r>
        <w:fldChar w:fldCharType="end"/>
      </w:r>
      <w:r w:rsidR="000A5750">
        <w:t xml:space="preserve">. </w:t>
      </w:r>
      <w:r>
        <w:t xml:space="preserve">In brief, </w:t>
      </w:r>
      <w:r w:rsidRPr="00B647B8">
        <w:t>groundwater was pumped from each test well at a constant discharge rate using a peristaltic pump (Geotech Geopump</w:t>
      </w:r>
      <w:r w:rsidRPr="00B647B8">
        <w:rPr>
          <w:vertAlign w:val="superscript"/>
        </w:rPr>
        <w:t>TM</w:t>
      </w:r>
      <w:r w:rsidRPr="00B647B8">
        <w:t xml:space="preserve">) and stored in a </w:t>
      </w:r>
      <w:r>
        <w:t>208</w:t>
      </w:r>
      <w:r w:rsidRPr="00B647B8">
        <w:t>-</w:t>
      </w:r>
      <w:r>
        <w:t xml:space="preserve">liter plastic </w:t>
      </w:r>
      <w:r w:rsidRPr="00B647B8">
        <w:t>drum</w:t>
      </w:r>
      <w:r w:rsidR="000A5750">
        <w:t xml:space="preserve">. </w:t>
      </w:r>
      <w:r w:rsidRPr="00B647B8">
        <w:t xml:space="preserve">The discharge rate was measured using a graduated cylinder and a stop </w:t>
      </w:r>
      <w:r>
        <w:t>watch</w:t>
      </w:r>
      <w:r w:rsidR="000A5750">
        <w:t xml:space="preserve">. </w:t>
      </w:r>
      <w:r w:rsidRPr="00B647B8">
        <w:t xml:space="preserve">The depth to groundwater was measured using an electronic water level </w:t>
      </w:r>
      <w:r>
        <w:t>indicator</w:t>
      </w:r>
      <w:r w:rsidRPr="00B647B8">
        <w:t xml:space="preserve"> (Solinst</w:t>
      </w:r>
      <w:r w:rsidRPr="00402E86">
        <w:rPr>
          <w:rFonts w:cs="Times New Roman"/>
          <w:vertAlign w:val="superscript"/>
        </w:rPr>
        <w:t>®</w:t>
      </w:r>
      <w:r w:rsidRPr="00B647B8">
        <w:t>)</w:t>
      </w:r>
      <w:r w:rsidR="000A5750">
        <w:t xml:space="preserve">. </w:t>
      </w:r>
      <w:r w:rsidRPr="00B647B8">
        <w:t>The discharge rate and depth to groundwater were measured sequentially until steady-state conditions were achieved</w:t>
      </w:r>
      <w:r>
        <w:t>; s</w:t>
      </w:r>
      <w:r w:rsidRPr="00B647B8">
        <w:t>teady-state</w:t>
      </w:r>
      <w:r>
        <w:t xml:space="preserve"> conditions</w:t>
      </w:r>
      <w:r w:rsidRPr="00B647B8">
        <w:t xml:space="preserve"> w</w:t>
      </w:r>
      <w:r>
        <w:t xml:space="preserve">ere defined as </w:t>
      </w:r>
      <w:r w:rsidRPr="00B647B8">
        <w:t>a change in drawdown</w:t>
      </w:r>
      <w:r>
        <w:t xml:space="preserve"> </w:t>
      </w:r>
      <w:r w:rsidRPr="00B647B8">
        <w:t>less than 1.2 cm</w:t>
      </w:r>
      <w:r>
        <w:t xml:space="preserve"> over the course of </w:t>
      </w:r>
      <w:r w:rsidRPr="00B647B8">
        <w:t>15 minutes</w:t>
      </w:r>
      <w:r>
        <w:t xml:space="preserve"> during a constant discharge rate</w:t>
      </w:r>
      <w:r w:rsidR="000A5750">
        <w:t xml:space="preserve">. </w:t>
      </w:r>
    </w:p>
    <w:p w14:paraId="733B187B" w14:textId="051B3910" w:rsidR="008215D6" w:rsidRDefault="009D3893" w:rsidP="009D3893">
      <w:pPr>
        <w:ind w:firstLine="720"/>
      </w:pPr>
      <w:r>
        <w:t xml:space="preserve">Single-well pumping test data were analyzed according to the general methodology of </w:t>
      </w:r>
      <w:r>
        <w:fldChar w:fldCharType="begin"/>
      </w:r>
      <w:r>
        <w:instrText xml:space="preserve"> ADDIN EN.CITE &lt;EndNote&gt;&lt;Cite AuthorYear="1"&gt;&lt;Author&gt;Robbins&lt;/Author&gt;&lt;Year&gt;2009&lt;/Year&gt;&lt;RecNum&gt;531&lt;/RecNum&gt;&lt;DisplayText&gt;Robbins et al. (2009)&lt;/DisplayText&gt;&lt;record&gt;&lt;rec-number&gt;531&lt;/rec-number&gt;&lt;foreign-keys&gt;&lt;key app="EN" db-id="rzwe2tae7rs0abe55xgp55w8xtdf5xp9dwrd"&gt;531&lt;/key&gt;&lt;/foreign-keys&gt;&lt;ref-type name="Journal Article"&gt;17&lt;/ref-type&gt;&lt;contributors&gt;&lt;authors&gt;&lt;author&gt;Robbins, G. A.&lt;/author&gt;&lt;author&gt;Aragon-Jose, A. T.&lt;/author&gt;&lt;author&gt;Romero, A.&lt;/author&gt;&lt;/authors&gt;&lt;/contributors&gt;&lt;titles&gt;&lt;title&gt;Determining Hydraulic Conductivity Using Pumping Data from Low-Flow Sampling&lt;/title&gt;&lt;secondary-title&gt;Ground Water&lt;/secondary-title&gt;&lt;/titles&gt;&lt;periodical&gt;&lt;full-title&gt;Ground Water&lt;/full-title&gt;&lt;abbr-1&gt;Ground Water&lt;/abbr-1&gt;&lt;/periodical&gt;&lt;pages&gt;271-276&lt;/pages&gt;&lt;volume&gt;47&lt;/volume&gt;&lt;number&gt;2&lt;/number&gt;&lt;dates&gt;&lt;year&gt;2009&lt;/year&gt;&lt;pub-dates&gt;&lt;date&gt;Mar-Apr&lt;/date&gt;&lt;/pub-dates&gt;&lt;/dates&gt;&lt;isbn&gt;0017-467X&lt;/isbn&gt;&lt;accession-num&gt;WOS:000263600800014&lt;/accession-num&gt;&lt;urls&gt;&lt;related-urls&gt;&lt;url&gt;&amp;lt;Go to ISI&amp;gt;://WOS:000263600800014&lt;/url&gt;&lt;/related-urls&gt;&lt;/urls&gt;&lt;electronic-resource-num&gt;10.1111/j.1745-6584.2008.00519.x&lt;/electronic-resource-num&gt;&lt;/record&gt;&lt;/Cite&gt;&lt;/EndNote&gt;</w:instrText>
      </w:r>
      <w:r>
        <w:fldChar w:fldCharType="separate"/>
      </w:r>
      <w:hyperlink w:anchor="_ENREF_29" w:tooltip="Robbins, 2009 #531" w:history="1">
        <w:r>
          <w:rPr>
            <w:noProof/>
          </w:rPr>
          <w:t>Robbins et al. (2009</w:t>
        </w:r>
      </w:hyperlink>
      <w:r>
        <w:rPr>
          <w:noProof/>
        </w:rPr>
        <w:t>)</w:t>
      </w:r>
      <w:r>
        <w:fldChar w:fldCharType="end"/>
      </w:r>
      <w:r>
        <w:t xml:space="preserve"> and </w:t>
      </w:r>
      <w:r>
        <w:fldChar w:fldCharType="begin"/>
      </w:r>
      <w:r>
        <w:instrText xml:space="preserve"> ADDIN EN.CITE &lt;EndNote&gt;&lt;Cite AuthorYear="1"&gt;&lt;Author&gt;Aragon-Jose&lt;/Author&gt;&lt;Year&gt;2011&lt;/Year&gt;&lt;RecNum&gt;532&lt;/RecNum&gt;&lt;DisplayText&gt;Aragon-Jose and Robbins (2011)&lt;/DisplayText&gt;&lt;record&gt;&lt;rec-number&gt;532&lt;/rec-number&gt;&lt;foreign-keys&gt;&lt;key app="EN" db-id="rzwe2tae7rs0abe55xgp55w8xtdf5xp9dwrd"&gt;532&lt;/key&gt;&lt;/foreign-keys&gt;&lt;ref-type name="Journal Article"&gt;17&lt;/ref-type&gt;&lt;contributors&gt;&lt;authors&gt;&lt;author&gt;Aragon-Jose, A. T.&lt;/author&gt;&lt;author&gt;Robbins, G. A.&lt;/author&gt;&lt;/authors&gt;&lt;/contributors&gt;&lt;titles&gt;&lt;title&gt;Low-Flow Hydraulic Conductivity Tests at Wells that Cross the Water Table&lt;/title&gt;&lt;secondary-title&gt;Ground Water&lt;/secondary-title&gt;&lt;/titles&gt;&lt;periodical&gt;&lt;full-title&gt;Ground Water&lt;/full-title&gt;&lt;abbr-1&gt;Ground Water&lt;/abbr-1&gt;&lt;/periodical&gt;&lt;pages&gt;426-431&lt;/pages&gt;&lt;volume&gt;49&lt;/volume&gt;&lt;number&gt;3&lt;/number&gt;&lt;dates&gt;&lt;year&gt;2011&lt;/year&gt;&lt;pub-dates&gt;&lt;date&gt;May-Jun&lt;/date&gt;&lt;/pub-dates&gt;&lt;/dates&gt;&lt;isbn&gt;0017-467X&lt;/isbn&gt;&lt;accession-num&gt;WOS:000289903400017&lt;/accession-num&gt;&lt;urls&gt;&lt;related-urls&gt;&lt;url&gt;&amp;lt;Go to ISI&amp;gt;://WOS:000289903400017&lt;/url&gt;&lt;/related-urls&gt;&lt;/urls&gt;&lt;electronic-resource-num&gt;10.1111/j.1745-6584.2010.00742.x&lt;/electronic-resource-num&gt;&lt;/record&gt;&lt;/Cite&gt;&lt;/EndNote&gt;</w:instrText>
      </w:r>
      <w:r>
        <w:fldChar w:fldCharType="separate"/>
      </w:r>
      <w:hyperlink w:anchor="_ENREF_1" w:tooltip="Aragon-Jose, 2011 #532" w:history="1">
        <w:r>
          <w:rPr>
            <w:noProof/>
          </w:rPr>
          <w:t>Aragon-Jose and Robbins (2011</w:t>
        </w:r>
      </w:hyperlink>
      <w:r>
        <w:rPr>
          <w:noProof/>
        </w:rPr>
        <w:t>)</w:t>
      </w:r>
      <w:r>
        <w:fldChar w:fldCharType="end"/>
      </w:r>
      <w:r w:rsidR="000A5750">
        <w:t xml:space="preserve">. </w:t>
      </w:r>
      <w:r>
        <w:t>In brief, t</w:t>
      </w:r>
      <w:r w:rsidRPr="00671A84">
        <w:t>he steady-state discharge</w:t>
      </w:r>
      <w:r>
        <w:t xml:space="preserve"> </w:t>
      </w:r>
      <w:r w:rsidRPr="00671A84">
        <w:t>and drawdown values,</w:t>
      </w:r>
      <w:r>
        <w:t xml:space="preserve"> along with the </w:t>
      </w:r>
      <w:r w:rsidRPr="00671A84">
        <w:t>construction details</w:t>
      </w:r>
      <w:r>
        <w:t xml:space="preserve"> of the test wells, </w:t>
      </w:r>
      <w:r w:rsidRPr="00671A84">
        <w:t xml:space="preserve">e.g., </w:t>
      </w:r>
      <w:r>
        <w:t>saturated screen</w:t>
      </w:r>
      <w:r w:rsidRPr="00671A84">
        <w:t xml:space="preserve"> length</w:t>
      </w:r>
      <w:r>
        <w:t xml:space="preserve"> and radius of well, </w:t>
      </w:r>
      <w:r w:rsidRPr="00671A84">
        <w:t xml:space="preserve">were used to calculate </w:t>
      </w:r>
      <w:r>
        <w:t xml:space="preserve">the hydraulic conductivity </w:t>
      </w:r>
      <w:r w:rsidRPr="00671A84">
        <w:t xml:space="preserve">using </w:t>
      </w:r>
      <w:r>
        <w:t xml:space="preserve">the half-ellipsoid flow equation, described analytically by </w:t>
      </w:r>
      <w:r>
        <w:fldChar w:fldCharType="begin"/>
      </w:r>
      <w:r>
        <w:instrText xml:space="preserve"> ADDIN EN.CITE &lt;EndNote&gt;&lt;Cite AuthorYear="1"&gt;&lt;Author&gt;Dachler&lt;/Author&gt;&lt;Year&gt;1936&lt;/Year&gt;&lt;RecNum&gt;590&lt;/RecNum&gt;&lt;DisplayText&gt;Dachler (1936)&lt;/DisplayText&gt;&lt;record&gt;&lt;rec-number&gt;590&lt;/rec-number&gt;&lt;foreign-keys&gt;&lt;key app="EN" db-id="rzwe2tae7rs0abe55xgp55w8xtdf5xp9dwrd"&gt;590&lt;/key&gt;&lt;/foreign-keys&gt;&lt;ref-type name="Generic"&gt;13&lt;/ref-type&gt;&lt;contributors&gt;&lt;authors&gt;&lt;author&gt;Dachler, R.&lt;/author&gt;&lt;/authors&gt;&lt;/contributors&gt;&lt;titles&gt;&lt;title&gt;Grundwasserstromung (Flow of Ground-water)&lt;/title&gt;&lt;/titles&gt;&lt;dates&gt;&lt;year&gt;1936&lt;/year&gt;&lt;/dates&gt;&lt;pub-location&gt;Wien (Vienna), Austria&lt;/pub-location&gt;&lt;publisher&gt;Julius Springer&lt;/publisher&gt;&lt;urls&gt;&lt;/urls&gt;&lt;/record&gt;&lt;/Cite&gt;&lt;/EndNote&gt;</w:instrText>
      </w:r>
      <w:r>
        <w:fldChar w:fldCharType="separate"/>
      </w:r>
      <w:hyperlink w:anchor="_ENREF_3" w:tooltip="Dachler, 1936 #590" w:history="1">
        <w:r>
          <w:rPr>
            <w:noProof/>
          </w:rPr>
          <w:t>Dachler (1936</w:t>
        </w:r>
      </w:hyperlink>
      <w:r>
        <w:rPr>
          <w:noProof/>
        </w:rPr>
        <w:t>)</w:t>
      </w:r>
      <w:r>
        <w:fldChar w:fldCharType="end"/>
      </w:r>
      <w:r w:rsidR="000A5750">
        <w:t xml:space="preserve">. </w:t>
      </w:r>
    </w:p>
    <w:p w14:paraId="0068C84C" w14:textId="6534C883" w:rsidR="008C461F" w:rsidRDefault="008C461F" w:rsidP="009D3893">
      <w:pPr>
        <w:ind w:firstLine="720"/>
      </w:pPr>
    </w:p>
    <w:p w14:paraId="34FD2BF9" w14:textId="77777777" w:rsidR="008C461F" w:rsidRPr="008215D6" w:rsidRDefault="008C461F" w:rsidP="009D3893">
      <w:pPr>
        <w:ind w:firstLine="720"/>
      </w:pPr>
    </w:p>
    <w:p w14:paraId="3D2709BD" w14:textId="77777777" w:rsidR="008215D6" w:rsidRDefault="00651218" w:rsidP="008215D6">
      <w:pPr>
        <w:pStyle w:val="Heading3"/>
      </w:pPr>
      <w:bookmarkStart w:id="125" w:name="_Toc498505044"/>
      <w:r>
        <w:lastRenderedPageBreak/>
        <w:t>3.3.</w:t>
      </w:r>
      <w:r w:rsidR="009D3893">
        <w:t>5</w:t>
      </w:r>
      <w:r>
        <w:t>.</w:t>
      </w:r>
      <w:r>
        <w:tab/>
      </w:r>
      <w:r w:rsidR="009D3893">
        <w:t>Effective porosity</w:t>
      </w:r>
      <w:bookmarkEnd w:id="125"/>
    </w:p>
    <w:p w14:paraId="1DAD7699" w14:textId="4D9AFE92" w:rsidR="009D3893" w:rsidRDefault="009D3893" w:rsidP="009D3893">
      <w:pPr>
        <w:ind w:firstLine="720"/>
      </w:pPr>
      <w:r>
        <w:t>The effective porosity, within the vicinity of each test well, was estimated by conducting single-well push-pull tests</w:t>
      </w:r>
      <w:r w:rsidR="000A5750">
        <w:t xml:space="preserve">. </w:t>
      </w:r>
      <w:r>
        <w:t xml:space="preserve">Single-well push-pull tests were conducted according to the general methodology of </w:t>
      </w:r>
      <w:r>
        <w:fldChar w:fldCharType="begin"/>
      </w:r>
      <w:r>
        <w:instrText xml:space="preserve"> ADDIN EN.CITE &lt;EndNote&gt;&lt;Cite AuthorYear="1"&gt;&lt;Author&gt;Istok&lt;/Author&gt;&lt;Year&gt;2013&lt;/Year&gt;&lt;RecNum&gt;549&lt;/RecNum&gt;&lt;DisplayText&gt;Istok (2013)&lt;/DisplayText&gt;&lt;record&gt;&lt;rec-number&gt;549&lt;/rec-number&gt;&lt;foreign-keys&gt;&lt;key app="EN" db-id="rzwe2tae7rs0abe55xgp55w8xtdf5xp9dwrd"&gt;549&lt;/key&gt;&lt;/foreign-keys&gt;&lt;ref-type name="Book"&gt;6&lt;/ref-type&gt;&lt;contributors&gt;&lt;authors&gt;&lt;author&gt;Jonathan David Istok&lt;/author&gt;&lt;/authors&gt;&lt;/contributors&gt;&lt;titles&gt;&lt;title&gt;Push-Pull Tests for Site Characterization&lt;/title&gt;&lt;secondary-title&gt;Lecture Notes in Earth System Sciences&lt;/secondary-title&gt;&lt;/titles&gt;&lt;dates&gt;&lt;year&gt;2013&lt;/year&gt;&lt;/dates&gt;&lt;pub-location&gt;Corvaillis, OR, USA&lt;/pub-location&gt;&lt;publisher&gt;Springer&lt;/publisher&gt;&lt;isbn&gt;2193-8571&lt;/isbn&gt;&lt;urls&gt;&lt;/urls&gt;&lt;electronic-resource-num&gt;10.1007/978-3-642-13920-8&lt;/electronic-resource-num&gt;&lt;/record&gt;&lt;/Cite&gt;&lt;/EndNote&gt;</w:instrText>
      </w:r>
      <w:r>
        <w:fldChar w:fldCharType="separate"/>
      </w:r>
      <w:hyperlink w:anchor="_ENREF_13" w:tooltip="Istok, 2013 #549" w:history="1">
        <w:r>
          <w:rPr>
            <w:noProof/>
          </w:rPr>
          <w:t>Istok (2013</w:t>
        </w:r>
      </w:hyperlink>
      <w:r>
        <w:rPr>
          <w:noProof/>
        </w:rPr>
        <w:t>)</w:t>
      </w:r>
      <w:r>
        <w:fldChar w:fldCharType="end"/>
      </w:r>
      <w:r w:rsidR="000A5750">
        <w:t xml:space="preserve">. </w:t>
      </w:r>
      <w:r>
        <w:t>In brief, 23 liters of groundwater (injectate) were collected from the up-gradient well FW229 (</w:t>
      </w:r>
      <w:r w:rsidR="00F72E53">
        <w:fldChar w:fldCharType="begin"/>
      </w:r>
      <w:r w:rsidR="00F72E53">
        <w:instrText xml:space="preserve"> REF _Ref486655494 \h </w:instrText>
      </w:r>
      <w:r w:rsidR="00F72E53">
        <w:fldChar w:fldCharType="separate"/>
      </w:r>
      <w:r w:rsidR="001175BB">
        <w:t xml:space="preserve">Figure </w:t>
      </w:r>
      <w:r w:rsidR="001175BB">
        <w:rPr>
          <w:noProof/>
        </w:rPr>
        <w:t>3</w:t>
      </w:r>
      <w:r w:rsidR="001175BB">
        <w:t>.</w:t>
      </w:r>
      <w:r w:rsidR="001175BB">
        <w:rPr>
          <w:noProof/>
        </w:rPr>
        <w:t>2</w:t>
      </w:r>
      <w:r w:rsidR="00F72E53">
        <w:fldChar w:fldCharType="end"/>
      </w:r>
      <w:r>
        <w:t>) using a peristaltic pump and stored in a plastic carboy</w:t>
      </w:r>
      <w:r w:rsidR="000A5750">
        <w:t xml:space="preserve">. </w:t>
      </w:r>
      <w:r>
        <w:t>Three grams of potassium bromide (KBr) (Sigma-Aldrich) were then added to 20 liters of the injectate and mixed by re-circulation using a peristaltic pump for a target concentration of 100 mg/L bromide</w:t>
      </w:r>
      <w:r w:rsidR="000A5750">
        <w:t xml:space="preserve">. </w:t>
      </w:r>
      <w:r>
        <w:t>During mixing of the injectate, 3 samples were collected in 20-mL scintillation vials and were analyzed for bromide</w:t>
      </w:r>
      <w:r w:rsidR="000A5750">
        <w:t xml:space="preserve">. </w:t>
      </w:r>
      <w:r>
        <w:t xml:space="preserve">The concentration of bromide was determined in the field using </w:t>
      </w:r>
      <w:r w:rsidRPr="00232DEF">
        <w:t xml:space="preserve">a </w:t>
      </w:r>
      <w:r>
        <w:t>b</w:t>
      </w:r>
      <w:r w:rsidRPr="00232DEF">
        <w:t xml:space="preserve">romide </w:t>
      </w:r>
      <w:r>
        <w:t>i</w:t>
      </w:r>
      <w:r w:rsidRPr="00232DEF">
        <w:t xml:space="preserve">on </w:t>
      </w:r>
      <w:r>
        <w:t>s</w:t>
      </w:r>
      <w:r w:rsidRPr="00232DEF">
        <w:t xml:space="preserve">elective </w:t>
      </w:r>
      <w:r>
        <w:t>half-cell e</w:t>
      </w:r>
      <w:r w:rsidRPr="00232DEF">
        <w:t>lectrode</w:t>
      </w:r>
      <w:r>
        <w:t xml:space="preserve"> (Thermo Scientific Cat. No. </w:t>
      </w:r>
      <w:r w:rsidRPr="00183647">
        <w:t>9435BN</w:t>
      </w:r>
      <w:r>
        <w:t xml:space="preserve">) coupled with a </w:t>
      </w:r>
      <w:r w:rsidRPr="001D5124">
        <w:t>double junction reference electrode (</w:t>
      </w:r>
      <w:r>
        <w:t>Thermo Scientific Cat. No. 900200</w:t>
      </w:r>
      <w:r w:rsidRPr="001D5124">
        <w:t>)</w:t>
      </w:r>
      <w:r w:rsidR="000A5750">
        <w:t xml:space="preserve">. </w:t>
      </w:r>
      <w:r w:rsidRPr="00206D9C">
        <w:t>The minimum detection limit for bromide was 1 mg/L</w:t>
      </w:r>
      <w:r w:rsidR="000A5750">
        <w:t xml:space="preserve">. </w:t>
      </w:r>
      <w:r w:rsidRPr="00206D9C">
        <w:t xml:space="preserve">The reproducibility of bromide measurements was </w:t>
      </w:r>
      <w:r w:rsidRPr="00206D9C">
        <w:rPr>
          <w:rFonts w:cs="Times New Roman"/>
        </w:rPr>
        <w:t>±</w:t>
      </w:r>
      <w:r w:rsidRPr="00206D9C">
        <w:t xml:space="preserve"> 2%</w:t>
      </w:r>
      <w:r w:rsidR="000A5750">
        <w:t xml:space="preserve">. </w:t>
      </w:r>
      <w:r>
        <w:t xml:space="preserve">Immediately prior to injection, 1 liter of groundwater was purged from the test well (approximately 2 </w:t>
      </w:r>
      <w:proofErr w:type="gramStart"/>
      <w:r>
        <w:t>test</w:t>
      </w:r>
      <w:proofErr w:type="gramEnd"/>
      <w:r>
        <w:t xml:space="preserve"> well volumes) and 3 samples were collected and analyzed for the background concentration of bromide</w:t>
      </w:r>
      <w:r w:rsidR="000A5750">
        <w:t xml:space="preserve">. </w:t>
      </w:r>
      <w:r>
        <w:t>The push phase of the test consisted of low-flow (approximately 250 to 400 mL/min) injection of the 20-liter bromide-amended injectate followed immediately by the injection of 3 liters of non-amended injectate (herein referred to as the “chase”) using a peristaltic pump</w:t>
      </w:r>
      <w:r w:rsidR="000A5750">
        <w:t xml:space="preserve">. </w:t>
      </w:r>
      <w:r>
        <w:t>The injection of the chase was conducted to clear the test well volume (approximately 0.5 liters) of the bromide-amended injectate</w:t>
      </w:r>
      <w:r w:rsidR="000A5750">
        <w:t xml:space="preserve">. </w:t>
      </w:r>
      <w:r>
        <w:t>The total push time (tracer plus chase) ranged from approximately 1 to 1.5 hours</w:t>
      </w:r>
      <w:r w:rsidR="000A5750">
        <w:t xml:space="preserve">. </w:t>
      </w:r>
      <w:r>
        <w:t>The injectate was then left to drift in the groundwater system under non-pumping conditions for up to 2 hours</w:t>
      </w:r>
      <w:r w:rsidR="000A5750">
        <w:t xml:space="preserve">. </w:t>
      </w:r>
      <w:r>
        <w:t>The pull phase of the test consisted of low-flow extraction (approximately 100 to 300 mL/min) of up to 65 liters of groundwater and sequential collection of 20-mL samples which were analyzed for bromide</w:t>
      </w:r>
      <w:r w:rsidR="000A5750">
        <w:t xml:space="preserve">. </w:t>
      </w:r>
    </w:p>
    <w:p w14:paraId="22AB8461" w14:textId="50B1BFBF" w:rsidR="008215D6" w:rsidRDefault="009D3893" w:rsidP="009D3893">
      <w:pPr>
        <w:ind w:firstLine="720"/>
      </w:pPr>
      <w:r>
        <w:lastRenderedPageBreak/>
        <w:t xml:space="preserve">Single-well push-pull test data were analyzed according to the general methodology of </w:t>
      </w:r>
      <w:r>
        <w:fldChar w:fldCharType="begin"/>
      </w:r>
      <w:r>
        <w:instrText xml:space="preserve"> ADDIN EN.CITE &lt;EndNote&gt;&lt;Cite AuthorYear="1"&gt;&lt;Author&gt;Istok&lt;/Author&gt;&lt;Year&gt;2013&lt;/Year&gt;&lt;RecNum&gt;549&lt;/RecNum&gt;&lt;DisplayText&gt;Istok (2013)&lt;/DisplayText&gt;&lt;record&gt;&lt;rec-number&gt;549&lt;/rec-number&gt;&lt;foreign-keys&gt;&lt;key app="EN" db-id="rzwe2tae7rs0abe55xgp55w8xtdf5xp9dwrd"&gt;549&lt;/key&gt;&lt;/foreign-keys&gt;&lt;ref-type name="Book"&gt;6&lt;/ref-type&gt;&lt;contributors&gt;&lt;authors&gt;&lt;author&gt;Jonathan David Istok&lt;/author&gt;&lt;/authors&gt;&lt;/contributors&gt;&lt;titles&gt;&lt;title&gt;Push-Pull Tests for Site Characterization&lt;/title&gt;&lt;secondary-title&gt;Lecture Notes in Earth System Sciences&lt;/secondary-title&gt;&lt;/titles&gt;&lt;dates&gt;&lt;year&gt;2013&lt;/year&gt;&lt;/dates&gt;&lt;pub-location&gt;Corvaillis, OR, USA&lt;/pub-location&gt;&lt;publisher&gt;Springer&lt;/publisher&gt;&lt;isbn&gt;2193-8571&lt;/isbn&gt;&lt;urls&gt;&lt;/urls&gt;&lt;electronic-resource-num&gt;10.1007/978-3-642-13920-8&lt;/electronic-resource-num&gt;&lt;/record&gt;&lt;/Cite&gt;&lt;/EndNote&gt;</w:instrText>
      </w:r>
      <w:r>
        <w:fldChar w:fldCharType="separate"/>
      </w:r>
      <w:hyperlink w:anchor="_ENREF_13" w:tooltip="Istok, 2013 #549" w:history="1">
        <w:r>
          <w:rPr>
            <w:noProof/>
          </w:rPr>
          <w:t>Istok (2013</w:t>
        </w:r>
      </w:hyperlink>
      <w:r>
        <w:rPr>
          <w:noProof/>
        </w:rPr>
        <w:t>)</w:t>
      </w:r>
      <w:r>
        <w:fldChar w:fldCharType="end"/>
      </w:r>
      <w:r w:rsidR="000A5750">
        <w:t xml:space="preserve">. </w:t>
      </w:r>
      <w:r>
        <w:t>In brief, the time (</w:t>
      </w:r>
      <w:r>
        <w:rPr>
          <w:rFonts w:cs="Times New Roman"/>
        </w:rPr>
        <w:t>ṫ</w:t>
      </w:r>
      <w:r>
        <w:rPr>
          <w:vertAlign w:val="subscript"/>
        </w:rPr>
        <w:t>i</w:t>
      </w:r>
      <w:r>
        <w:t>) and volume (</w:t>
      </w:r>
      <w:r>
        <w:rPr>
          <w:rFonts w:cs="Times New Roman"/>
        </w:rPr>
        <w:t>Ѷ</w:t>
      </w:r>
      <w:r>
        <w:rPr>
          <w:vertAlign w:val="subscript"/>
        </w:rPr>
        <w:t>i</w:t>
      </w:r>
      <w:r>
        <w:t xml:space="preserve">) at which the center of mass of bromide was released </w:t>
      </w:r>
      <w:r w:rsidRPr="00C42559">
        <w:t>w</w:t>
      </w:r>
      <w:r>
        <w:t>ere</w:t>
      </w:r>
      <w:r w:rsidRPr="00C42559">
        <w:t xml:space="preserve"> calculated by </w:t>
      </w:r>
      <w:r>
        <w:t>evaluating equations (10) and (11), respectively</w:t>
      </w:r>
      <w:r w:rsidR="000A5750">
        <w:t xml:space="preserve">. </w:t>
      </w:r>
      <w:r>
        <w:t>The concentration of bromide versus the volume and time elapsed during the pull phase of the tests were generated to calculate the volume (</w:t>
      </w:r>
      <w:r>
        <w:rPr>
          <w:rFonts w:cs="Times New Roman"/>
        </w:rPr>
        <w:t>Ѷ</w:t>
      </w:r>
      <w:r w:rsidRPr="000C6EA6">
        <w:rPr>
          <w:vertAlign w:val="subscript"/>
        </w:rPr>
        <w:t>e</w:t>
      </w:r>
      <w:r>
        <w:t>) and time (</w:t>
      </w:r>
      <w:r>
        <w:rPr>
          <w:rFonts w:cs="Times New Roman"/>
        </w:rPr>
        <w:t>ṫ</w:t>
      </w:r>
      <w:r>
        <w:rPr>
          <w:vertAlign w:val="subscript"/>
        </w:rPr>
        <w:t>e</w:t>
      </w:r>
      <w:r>
        <w:t>) at which the center of mass of bromide was recovered</w:t>
      </w:r>
      <w:r w:rsidR="000A5750">
        <w:t xml:space="preserve">. </w:t>
      </w:r>
      <w:r>
        <w:rPr>
          <w:rFonts w:cs="Times New Roman"/>
        </w:rPr>
        <w:t>Ѷ</w:t>
      </w:r>
      <w:r w:rsidRPr="000C6EA6">
        <w:rPr>
          <w:vertAlign w:val="subscript"/>
        </w:rPr>
        <w:t>e</w:t>
      </w:r>
      <w:r>
        <w:t xml:space="preserve"> and </w:t>
      </w:r>
      <w:r>
        <w:rPr>
          <w:rFonts w:cs="Times New Roman"/>
        </w:rPr>
        <w:t>ṫ</w:t>
      </w:r>
      <w:r>
        <w:rPr>
          <w:vertAlign w:val="subscript"/>
        </w:rPr>
        <w:t>e</w:t>
      </w:r>
      <w:r w:rsidRPr="00C42559">
        <w:t xml:space="preserve"> w</w:t>
      </w:r>
      <w:r>
        <w:t>ere</w:t>
      </w:r>
      <w:r w:rsidRPr="00C42559">
        <w:t xml:space="preserve"> calculated by numerical integration of the bromide versus time data </w:t>
      </w:r>
      <w:r w:rsidRPr="00C42559">
        <w:fldChar w:fldCharType="begin"/>
      </w:r>
      <w:r>
        <w:instrText xml:space="preserve"> ADDIN EN.CITE &lt;EndNote&gt;&lt;Cite&gt;&lt;Author&gt;George&lt;/Author&gt;&lt;Year&gt;2008&lt;/Year&gt;&lt;RecNum&gt;591&lt;/RecNum&gt;&lt;DisplayText&gt;(Thomas Jr. et al. 2008)&lt;/DisplayText&gt;&lt;record&gt;&lt;rec-number&gt;591&lt;/rec-number&gt;&lt;foreign-keys&gt;&lt;key app="EN" db-id="rzwe2tae7rs0abe55xgp55w8xtdf5xp9dwrd"&gt;591&lt;/key&gt;&lt;/foreign-keys&gt;&lt;ref-type name="Book Section"&gt;5&lt;/ref-type&gt;&lt;contributors&gt;&lt;authors&gt;&lt;author&gt;Thomas Jr., George B. &lt;/author&gt;&lt;author&gt;Weir, Maurice D.&lt;/author&gt;&lt;author&gt;Hass, Joel &lt;/author&gt;&lt;author&gt;Giordano, Frank R.&lt;/author&gt;&lt;/authors&gt;&lt;/contributors&gt;&lt;titles&gt;&lt;title&gt;Numerical Integration&lt;/title&gt;&lt;secondary-title&gt;Thomas&amp;apos; Calculus&lt;/secondary-title&gt;&lt;/titles&gt;&lt;pages&gt;603-619&lt;/pages&gt;&lt;edition&gt;Eleventh&lt;/edition&gt;&lt;section&gt;8.7&lt;/section&gt;&lt;dates&gt;&lt;year&gt;2008&lt;/year&gt;&lt;/dates&gt;&lt;pub-location&gt;United States of America&lt;/pub-location&gt;&lt;publisher&gt;Pearson Education, Inc.&lt;/publisher&gt;&lt;isbn&gt;0-321-48987-X&lt;/isbn&gt;&lt;urls&gt;&lt;/urls&gt;&lt;/record&gt;&lt;/Cite&gt;&lt;/EndNote&gt;</w:instrText>
      </w:r>
      <w:r w:rsidRPr="00C42559">
        <w:fldChar w:fldCharType="separate"/>
      </w:r>
      <w:r>
        <w:rPr>
          <w:noProof/>
        </w:rPr>
        <w:t>(</w:t>
      </w:r>
      <w:hyperlink w:anchor="_ENREF_31" w:tooltip="Thomas Jr., 2008 #591" w:history="1">
        <w:r>
          <w:rPr>
            <w:noProof/>
          </w:rPr>
          <w:t>Thomas Jr. et al. 2008</w:t>
        </w:r>
      </w:hyperlink>
      <w:r>
        <w:rPr>
          <w:noProof/>
        </w:rPr>
        <w:t>)</w:t>
      </w:r>
      <w:r w:rsidRPr="00C42559">
        <w:fldChar w:fldCharType="end"/>
      </w:r>
      <w:r w:rsidR="000A5750">
        <w:t xml:space="preserve">. </w:t>
      </w:r>
      <w:r>
        <w:rPr>
          <w:rFonts w:cs="Times New Roman"/>
        </w:rPr>
        <w:t>Ѷ</w:t>
      </w:r>
      <w:r w:rsidRPr="000C6EA6">
        <w:rPr>
          <w:vertAlign w:val="subscript"/>
        </w:rPr>
        <w:t>e</w:t>
      </w:r>
      <w:r>
        <w:t xml:space="preserve"> and </w:t>
      </w:r>
      <w:r>
        <w:rPr>
          <w:rFonts w:cs="Times New Roman"/>
        </w:rPr>
        <w:t>ṫ</w:t>
      </w:r>
      <w:r>
        <w:rPr>
          <w:vertAlign w:val="subscript"/>
        </w:rPr>
        <w:t>e</w:t>
      </w:r>
      <w:r w:rsidRPr="00C42559">
        <w:t xml:space="preserve"> w</w:t>
      </w:r>
      <w:r>
        <w:t>ere</w:t>
      </w:r>
      <w:r w:rsidRPr="00C42559">
        <w:t xml:space="preserve"> concomitant with one half of the region between the bromide and </w:t>
      </w:r>
      <w:r>
        <w:t>volume/</w:t>
      </w:r>
      <w:r w:rsidRPr="00C42559">
        <w:t>time data</w:t>
      </w:r>
      <w:r w:rsidR="000A5750">
        <w:t xml:space="preserve">. </w:t>
      </w:r>
    </w:p>
    <w:p w14:paraId="29024AF1" w14:textId="77777777" w:rsidR="009D3893" w:rsidRDefault="009D3893" w:rsidP="009D3893">
      <w:pPr>
        <w:pStyle w:val="Heading3"/>
      </w:pPr>
      <w:bookmarkStart w:id="126" w:name="_Toc498505045"/>
      <w:r>
        <w:t>3.3.6.</w:t>
      </w:r>
      <w:r>
        <w:tab/>
        <w:t>Uncertainty analysis</w:t>
      </w:r>
      <w:bookmarkEnd w:id="126"/>
    </w:p>
    <w:p w14:paraId="5801C0E3" w14:textId="366F5D19" w:rsidR="009D3893" w:rsidRPr="008215D6" w:rsidRDefault="009D3893" w:rsidP="009D3893">
      <w:pPr>
        <w:ind w:firstLine="720"/>
      </w:pPr>
      <w:r w:rsidRPr="00C42559">
        <w:t>The uncertainty in the measured parameters, e.g.,</w:t>
      </w:r>
      <w:r>
        <w:t xml:space="preserve"> volume injected/extracted, pumping rate, drawdown, elapsed time, etc. </w:t>
      </w:r>
      <w:r w:rsidRPr="00C42559">
        <w:t xml:space="preserve">and the propagated error in the calculated parameters, e.g., </w:t>
      </w:r>
      <w:r>
        <w:t xml:space="preserve">hydraulic gradient, hydraulic conductivity, and effective porosity, </w:t>
      </w:r>
      <w:r w:rsidRPr="00C42559">
        <w:t xml:space="preserve">were analyzed according to the Data Analysis Toolkit #5: Uncertainty Analysis and Error Propagation, by </w:t>
      </w:r>
      <w:r w:rsidRPr="00C42559">
        <w:fldChar w:fldCharType="begin"/>
      </w:r>
      <w:r w:rsidRPr="00C42559">
        <w:instrText xml:space="preserve"> ADDIN EN.CITE &lt;EndNote&gt;&lt;Cite AuthorYear="1"&gt;&lt;Author&gt;Kirchner&lt;/Author&gt;&lt;Year&gt;2001&lt;/Year&gt;&lt;RecNum&gt;461&lt;/RecNum&gt;&lt;DisplayText&gt;Kirchner (2001)&lt;/DisplayText&gt;&lt;record&gt;&lt;rec-number&gt;461&lt;/rec-number&gt;&lt;foreign-keys&gt;&lt;key app="EN" db-id="rzwe2tae7rs0abe55xgp55w8xtdf5xp9dwrd"&gt;461&lt;/key&gt;&lt;/foreign-keys&gt;&lt;ref-type name="Web Page"&gt;12&lt;/ref-type&gt;&lt;contributors&gt;&lt;authors&gt;&lt;author&gt;Kirchner, J.&lt;/author&gt;&lt;/authors&gt;&lt;/contributors&gt;&lt;titles&gt;&lt;title&gt;Analysis of Environmental Data&lt;/title&gt;&lt;/titles&gt;&lt;dates&gt;&lt;year&gt;2001&lt;/year&gt;&lt;/dates&gt;&lt;pub-location&gt;Berkeley, CA&lt;/pub-location&gt;&lt;publisher&gt;University of California Berkeley&lt;/publisher&gt;&lt;urls&gt;&lt;related-urls&gt;&lt;url&gt;http://seismo.berkeley.edu/~kirchner/eps_120/EPSToolkits.htm&lt;/url&gt;&lt;/related-urls&gt;&lt;/urls&gt;&lt;/record&gt;&lt;/Cite&gt;&lt;/EndNote&gt;</w:instrText>
      </w:r>
      <w:r w:rsidRPr="00C42559">
        <w:fldChar w:fldCharType="separate"/>
      </w:r>
      <w:hyperlink w:anchor="_ENREF_14" w:tooltip="Kirchner, 2001 #461" w:history="1">
        <w:r w:rsidRPr="00C42559">
          <w:rPr>
            <w:noProof/>
          </w:rPr>
          <w:t>Kirchner (2001</w:t>
        </w:r>
      </w:hyperlink>
      <w:r w:rsidRPr="00C42559">
        <w:rPr>
          <w:noProof/>
        </w:rPr>
        <w:t>)</w:t>
      </w:r>
      <w:r w:rsidRPr="00C42559">
        <w:fldChar w:fldCharType="end"/>
      </w:r>
      <w:r w:rsidR="000A5750">
        <w:t xml:space="preserve">. </w:t>
      </w:r>
      <w:r w:rsidRPr="00C42559">
        <w:t>More specifically, the simple rules for sums and differences, and for products and ratios, were used</w:t>
      </w:r>
      <w:r>
        <w:t>.</w:t>
      </w:r>
    </w:p>
    <w:p w14:paraId="5651AD4A" w14:textId="77777777" w:rsidR="0026229C" w:rsidRDefault="008B40E1" w:rsidP="0026229C">
      <w:pPr>
        <w:pStyle w:val="Heading2"/>
      </w:pPr>
      <w:bookmarkStart w:id="127" w:name="_Toc498505046"/>
      <w:r>
        <w:t>3.4.</w:t>
      </w:r>
      <w:r>
        <w:tab/>
      </w:r>
      <w:r w:rsidR="0026229C">
        <w:t>Results</w:t>
      </w:r>
      <w:bookmarkEnd w:id="127"/>
      <w:r w:rsidR="0026229C">
        <w:t xml:space="preserve"> </w:t>
      </w:r>
    </w:p>
    <w:p w14:paraId="1671CE25" w14:textId="77777777" w:rsidR="00261E12" w:rsidRDefault="00DD76B1" w:rsidP="00261E12">
      <w:pPr>
        <w:pStyle w:val="Heading3"/>
      </w:pPr>
      <w:bookmarkStart w:id="128" w:name="_Toc498505047"/>
      <w:r>
        <w:t>3.4.1.</w:t>
      </w:r>
      <w:r>
        <w:tab/>
      </w:r>
      <w:r w:rsidR="002B2957">
        <w:t>Hydraulic gradient</w:t>
      </w:r>
      <w:bookmarkEnd w:id="128"/>
    </w:p>
    <w:p w14:paraId="26FE2840" w14:textId="5BE529B3" w:rsidR="002B2957" w:rsidRDefault="002B2957" w:rsidP="002B2957">
      <w:pPr>
        <w:ind w:firstLine="720"/>
      </w:pPr>
      <w:r>
        <w:t>The static water table was relatively stable immediately prior to, and after, conducting the single-well pumping and push-pull tests (data not shown)</w:t>
      </w:r>
      <w:r w:rsidR="000A5750">
        <w:t xml:space="preserve">. </w:t>
      </w:r>
      <w:r>
        <w:t xml:space="preserve">The site-wide average magnitude and direction of the static hydraulic gradient was </w:t>
      </w:r>
      <w:proofErr w:type="gramStart"/>
      <w:r>
        <w:t>similar to</w:t>
      </w:r>
      <w:proofErr w:type="gramEnd"/>
      <w:r>
        <w:t xml:space="preserve"> pre-test conditions, e.g., -0.045 (</w:t>
      </w:r>
      <w:r>
        <w:fldChar w:fldCharType="begin"/>
      </w:r>
      <w:r>
        <w:instrText xml:space="preserve"> REF _Ref486655494 \h </w:instrText>
      </w:r>
      <w:r>
        <w:fldChar w:fldCharType="separate"/>
      </w:r>
      <w:r w:rsidR="001175BB">
        <w:t xml:space="preserve">Figure </w:t>
      </w:r>
      <w:r w:rsidR="001175BB">
        <w:rPr>
          <w:noProof/>
        </w:rPr>
        <w:t>3</w:t>
      </w:r>
      <w:r w:rsidR="001175BB">
        <w:t>.</w:t>
      </w:r>
      <w:r w:rsidR="001175BB">
        <w:rPr>
          <w:noProof/>
        </w:rPr>
        <w:t>2</w:t>
      </w:r>
      <w:r>
        <w:fldChar w:fldCharType="end"/>
      </w:r>
      <w:r>
        <w:t>)</w:t>
      </w:r>
      <w:r w:rsidR="000A5750">
        <w:t xml:space="preserve">. </w:t>
      </w:r>
      <w:r>
        <w:t>The near-well (1-meter radius) hydraulic gradient at each test well, immediately prior to conducing the push-pull tests, ranged from a low of -0.020 in test well FW224 to a high of -</w:t>
      </w:r>
      <w:r>
        <w:lastRenderedPageBreak/>
        <w:t>0.085 in test well FW221 (</w:t>
      </w:r>
      <w:r>
        <w:fldChar w:fldCharType="begin"/>
      </w:r>
      <w:r>
        <w:instrText xml:space="preserve"> REF _Ref486659946 \h </w:instrText>
      </w:r>
      <w:r>
        <w:fldChar w:fldCharType="separate"/>
      </w:r>
      <w:r w:rsidR="001175BB">
        <w:t xml:space="preserve">Table </w:t>
      </w:r>
      <w:r w:rsidR="001175BB">
        <w:rPr>
          <w:noProof/>
        </w:rPr>
        <w:t>3</w:t>
      </w:r>
      <w:r w:rsidR="001175BB">
        <w:t>.</w:t>
      </w:r>
      <w:r w:rsidR="001175BB">
        <w:rPr>
          <w:noProof/>
        </w:rPr>
        <w:t>1</w:t>
      </w:r>
      <w:r>
        <w:fldChar w:fldCharType="end"/>
      </w:r>
      <w:r>
        <w:t>)</w:t>
      </w:r>
      <w:r w:rsidR="000A5750">
        <w:t xml:space="preserve">. </w:t>
      </w:r>
      <w:r>
        <w:t xml:space="preserve">The range of hydraulic gradient values were notably greater than those previously reported at other test sites by </w:t>
      </w:r>
      <w:r>
        <w:fldChar w:fldCharType="begin"/>
      </w:r>
      <w:r>
        <w:instrText xml:space="preserve"> ADDIN EN.CITE &lt;EndNote&gt;&lt;Cite AuthorYear="1"&gt;&lt;Author&gt;Hall&lt;/Author&gt;&lt;Year&gt;1991&lt;/Year&gt;&lt;RecNum&gt;107&lt;/RecNum&gt;&lt;DisplayText&gt;Hall et al. (1991)&lt;/DisplayText&gt;&lt;record&gt;&lt;rec-number&gt;107&lt;/rec-number&gt;&lt;foreign-keys&gt;&lt;key app="EN" db-id="rzwe2tae7rs0abe55xgp55w8xtdf5xp9dwrd"&gt;107&lt;/key&gt;&lt;/foreign-keys&gt;&lt;ref-type name="Journal Article"&gt;17&lt;/ref-type&gt;&lt;contributors&gt;&lt;authors&gt;&lt;author&gt;Hall, S. H.&lt;/author&gt;&lt;author&gt;Luttrell, S. P.&lt;/author&gt;&lt;author&gt;Cronin, W. E.&lt;/author&gt;&lt;/authors&gt;&lt;/contributors&gt;&lt;titles&gt;&lt;title&gt;A method for estimating effective porosity and groundwater velocity&lt;/title&gt;&lt;secondary-title&gt;Ground Water&lt;/secondary-title&gt;&lt;/titles&gt;&lt;periodical&gt;&lt;full-title&gt;Ground Water&lt;/full-title&gt;&lt;abbr-1&gt;Ground Water&lt;/abbr-1&gt;&lt;/periodical&gt;&lt;pages&gt;171-174&lt;/pages&gt;&lt;volume&gt;29&lt;/volume&gt;&lt;number&gt;2&lt;/number&gt;&lt;dates&gt;&lt;year&gt;1991&lt;/year&gt;&lt;pub-dates&gt;&lt;date&gt;Mar-Apr&lt;/date&gt;&lt;/pub-dates&gt;&lt;/dates&gt;&lt;isbn&gt;0017-467X&lt;/isbn&gt;&lt;accession-num&gt;WOS:A1991FA88300002&lt;/accession-num&gt;&lt;urls&gt;&lt;related-urls&gt;&lt;url&gt;&amp;lt;Go to ISI&amp;gt;://WOS:A1991FA88300002&lt;/url&gt;&lt;url&gt;http://onlinelibrary.wiley.com/doi/10.1111/j.1745-6584.1991.tb00506.x/abstract&lt;/url&gt;&lt;/related-urls&gt;&lt;/urls&gt;&lt;electronic-resource-num&gt;10.1111/j.1745-6584.1991.tb00506.x&lt;/electronic-resource-num&gt;&lt;/record&gt;&lt;/Cite&gt;&lt;/EndNote&gt;</w:instrText>
      </w:r>
      <w:r>
        <w:fldChar w:fldCharType="separate"/>
      </w:r>
      <w:hyperlink w:anchor="_ENREF_8" w:tooltip="Hall, 1991 #107" w:history="1">
        <w:r>
          <w:rPr>
            <w:noProof/>
          </w:rPr>
          <w:t>Hall et al. (1991</w:t>
        </w:r>
      </w:hyperlink>
      <w:r>
        <w:rPr>
          <w:noProof/>
        </w:rPr>
        <w:t>)</w:t>
      </w:r>
      <w:r>
        <w:fldChar w:fldCharType="end"/>
      </w:r>
      <w:r>
        <w:t xml:space="preserve"> and </w:t>
      </w:r>
      <w:r>
        <w:fldChar w:fldCharType="begin"/>
      </w:r>
      <w:r>
        <w:instrText xml:space="preserve"> ADDIN EN.CITE &lt;EndNote&gt;&lt;Cite AuthorYear="1"&gt;&lt;Author&gt;Istok&lt;/Author&gt;&lt;Year&gt;2013&lt;/Year&gt;&lt;RecNum&gt;549&lt;/RecNum&gt;&lt;DisplayText&gt;Istok (2013)&lt;/DisplayText&gt;&lt;record&gt;&lt;rec-number&gt;549&lt;/rec-number&gt;&lt;foreign-keys&gt;&lt;key app="EN" db-id="rzwe2tae7rs0abe55xgp55w8xtdf5xp9dwrd"&gt;549&lt;/key&gt;&lt;/foreign-keys&gt;&lt;ref-type name="Book"&gt;6&lt;/ref-type&gt;&lt;contributors&gt;&lt;authors&gt;&lt;author&gt;Jonathan David Istok&lt;/author&gt;&lt;/authors&gt;&lt;/contributors&gt;&lt;titles&gt;&lt;title&gt;Push-Pull Tests for Site Characterization&lt;/title&gt;&lt;secondary-title&gt;Lecture Notes in Earth System Sciences&lt;/secondary-title&gt;&lt;/titles&gt;&lt;dates&gt;&lt;year&gt;2013&lt;/year&gt;&lt;/dates&gt;&lt;pub-location&gt;Corvaillis, OR, USA&lt;/pub-location&gt;&lt;publisher&gt;Springer&lt;/publisher&gt;&lt;isbn&gt;2193-8571&lt;/isbn&gt;&lt;urls&gt;&lt;/urls&gt;&lt;electronic-resource-num&gt;10.1007/978-3-642-13920-8&lt;/electronic-resource-num&gt;&lt;/record&gt;&lt;/Cite&gt;&lt;/EndNote&gt;</w:instrText>
      </w:r>
      <w:r>
        <w:fldChar w:fldCharType="separate"/>
      </w:r>
      <w:hyperlink w:anchor="_ENREF_13" w:tooltip="Istok, 2013 #549" w:history="1">
        <w:r>
          <w:rPr>
            <w:noProof/>
          </w:rPr>
          <w:t>Istok (2013</w:t>
        </w:r>
      </w:hyperlink>
      <w:r>
        <w:rPr>
          <w:noProof/>
        </w:rPr>
        <w:t>)</w:t>
      </w:r>
      <w:r>
        <w:fldChar w:fldCharType="end"/>
      </w:r>
      <w:r>
        <w:t>.</w:t>
      </w:r>
    </w:p>
    <w:p w14:paraId="7F5AEBAC" w14:textId="77777777" w:rsidR="001C6A63" w:rsidRDefault="00E2448F" w:rsidP="001C6A63">
      <w:pPr>
        <w:pStyle w:val="Heading3"/>
      </w:pPr>
      <w:bookmarkStart w:id="129" w:name="_Toc498505048"/>
      <w:r>
        <w:t>3.4.2.</w:t>
      </w:r>
      <w:r>
        <w:tab/>
      </w:r>
      <w:r w:rsidR="001C6A63">
        <w:t>Hydraulic conductivity</w:t>
      </w:r>
      <w:bookmarkEnd w:id="129"/>
    </w:p>
    <w:p w14:paraId="5E10302D" w14:textId="18FCCCA1" w:rsidR="001C6A63" w:rsidRDefault="001C6A63" w:rsidP="001C6A63">
      <w:pPr>
        <w:ind w:firstLine="720"/>
      </w:pPr>
      <w:r>
        <w:t>During the single-well pumping tests, steady-state discharge and drawdown conditions were achieved within a few minutes after the tests began and were maintained for approximately 1 hour (data not shown)</w:t>
      </w:r>
      <w:r w:rsidR="000A5750">
        <w:t xml:space="preserve">. </w:t>
      </w:r>
      <w:r>
        <w:t>The drawdown was typically less than 10% of the static saturated screen length (data not shown)</w:t>
      </w:r>
      <w:r w:rsidR="000A5750">
        <w:t xml:space="preserve">. </w:t>
      </w:r>
      <w:r>
        <w:t>Static water levels were stable prior to initiating the pumping tests and recharge to near-static water levels generally occurred within 0.5 hours after pumping stopped (data not shown)</w:t>
      </w:r>
      <w:r w:rsidR="000A5750">
        <w:t xml:space="preserve">. </w:t>
      </w:r>
      <w:r>
        <w:t xml:space="preserve">The hydraulic conductivity for each test well was then calculated by inputting the </w:t>
      </w:r>
      <w:r w:rsidRPr="00671A84">
        <w:t>steady-state discharge</w:t>
      </w:r>
      <w:r>
        <w:t xml:space="preserve"> </w:t>
      </w:r>
      <w:r w:rsidRPr="00671A84">
        <w:t>and drawdown</w:t>
      </w:r>
      <w:r>
        <w:t xml:space="preserve"> </w:t>
      </w:r>
      <w:r w:rsidRPr="00671A84">
        <w:t>values,</w:t>
      </w:r>
      <w:r>
        <w:t xml:space="preserve"> along with the saturated well screen length and radius, into the half-ellipsoid flow equation </w:t>
      </w:r>
      <w:r>
        <w:fldChar w:fldCharType="begin"/>
      </w:r>
      <w:r>
        <w:instrText xml:space="preserve"> ADDIN EN.CITE &lt;EndNote&gt;&lt;Cite&gt;&lt;Author&gt;Dachler&lt;/Author&gt;&lt;Year&gt;1936&lt;/Year&gt;&lt;RecNum&gt;590&lt;/RecNum&gt;&lt;DisplayText&gt;(Dachler 1936)&lt;/DisplayText&gt;&lt;record&gt;&lt;rec-number&gt;590&lt;/rec-number&gt;&lt;foreign-keys&gt;&lt;key app="EN" db-id="rzwe2tae7rs0abe55xgp55w8xtdf5xp9dwrd"&gt;590&lt;/key&gt;&lt;/foreign-keys&gt;&lt;ref-type name="Generic"&gt;13&lt;/ref-type&gt;&lt;contributors&gt;&lt;authors&gt;&lt;author&gt;Dachler, R.&lt;/author&gt;&lt;/authors&gt;&lt;/contributors&gt;&lt;titles&gt;&lt;title&gt;Grundwasserstromung (Flow of Ground-water)&lt;/title&gt;&lt;/titles&gt;&lt;dates&gt;&lt;year&gt;1936&lt;/year&gt;&lt;/dates&gt;&lt;pub-location&gt;Wien (Vienna), Austria&lt;/pub-location&gt;&lt;publisher&gt;Julius Springer&lt;/publisher&gt;&lt;urls&gt;&lt;/urls&gt;&lt;/record&gt;&lt;/Cite&gt;&lt;/EndNote&gt;</w:instrText>
      </w:r>
      <w:r>
        <w:fldChar w:fldCharType="separate"/>
      </w:r>
      <w:r>
        <w:rPr>
          <w:noProof/>
        </w:rPr>
        <w:t>(</w:t>
      </w:r>
      <w:hyperlink w:anchor="_ENREF_3" w:tooltip="Dachler, 1936 #590" w:history="1">
        <w:r>
          <w:rPr>
            <w:noProof/>
          </w:rPr>
          <w:t>Dachler 1936</w:t>
        </w:r>
      </w:hyperlink>
      <w:r>
        <w:rPr>
          <w:noProof/>
        </w:rPr>
        <w:t>)</w:t>
      </w:r>
      <w:r>
        <w:fldChar w:fldCharType="end"/>
      </w:r>
      <w:r w:rsidR="000A5750">
        <w:t xml:space="preserve">. </w:t>
      </w:r>
      <w:r>
        <w:t>The hydraulic conductivity ranged from a low of 2.1x10</w:t>
      </w:r>
      <w:r w:rsidRPr="001A1BB1">
        <w:rPr>
          <w:vertAlign w:val="superscript"/>
        </w:rPr>
        <w:t>-6</w:t>
      </w:r>
      <w:r>
        <w:t xml:space="preserve"> m/s in test well FW225 to a high of 1.8x10</w:t>
      </w:r>
      <w:r w:rsidRPr="001A1BB1">
        <w:rPr>
          <w:vertAlign w:val="superscript"/>
        </w:rPr>
        <w:t>-5</w:t>
      </w:r>
      <w:r>
        <w:t xml:space="preserve"> m/s in test well FW224 (</w:t>
      </w:r>
      <w:r>
        <w:fldChar w:fldCharType="begin"/>
      </w:r>
      <w:r>
        <w:instrText xml:space="preserve"> REF _Ref486659946 \h </w:instrText>
      </w:r>
      <w:r>
        <w:fldChar w:fldCharType="separate"/>
      </w:r>
      <w:r w:rsidR="001175BB">
        <w:t xml:space="preserve">Table </w:t>
      </w:r>
      <w:r w:rsidR="001175BB">
        <w:rPr>
          <w:noProof/>
        </w:rPr>
        <w:t>3</w:t>
      </w:r>
      <w:r w:rsidR="001175BB">
        <w:t>.</w:t>
      </w:r>
      <w:r w:rsidR="001175BB">
        <w:rPr>
          <w:noProof/>
        </w:rPr>
        <w:t>1</w:t>
      </w:r>
      <w:r>
        <w:fldChar w:fldCharType="end"/>
      </w:r>
      <w:r>
        <w:t>)</w:t>
      </w:r>
      <w:r w:rsidR="000A5750">
        <w:t xml:space="preserve">. </w:t>
      </w:r>
      <w:r>
        <w:t xml:space="preserve">The range of hydraulic conductivity values were within those representative of silts and fine sands </w:t>
      </w:r>
      <w:r>
        <w:fldChar w:fldCharType="begin"/>
      </w:r>
      <w:r>
        <w:instrText xml:space="preserve"> ADDIN EN.CITE &lt;EndNote&gt;&lt;Cite&gt;&lt;Author&gt;Domenico&lt;/Author&gt;&lt;Year&gt;1998&lt;/Year&gt;&lt;RecNum&gt;619&lt;/RecNum&gt;&lt;DisplayText&gt;(Domenico and Schwartz 1998)&lt;/DisplayText&gt;&lt;record&gt;&lt;rec-number&gt;619&lt;/rec-number&gt;&lt;foreign-keys&gt;&lt;key app="EN" db-id="rzwe2tae7rs0abe55xgp55w8xtdf5xp9dwrd"&gt;619&lt;/key&gt;&lt;/foreign-keys&gt;&lt;ref-type name="Book"&gt;6&lt;/ref-type&gt;&lt;contributors&gt;&lt;authors&gt;&lt;author&gt;Domenico, Partick A.&lt;/author&gt;&lt;author&gt;Schwartz, Franklin W.&lt;/author&gt;&lt;/authors&gt;&lt;/contributors&gt;&lt;titles&gt;&lt;title&gt;Physical and Chemical Hydrogeology&lt;/title&gt;&lt;/titles&gt;&lt;edition&gt;Second&lt;/edition&gt;&lt;dates&gt;&lt;year&gt;1998&lt;/year&gt;&lt;/dates&gt;&lt;pub-location&gt;New York, NY&lt;/pub-location&gt;&lt;publisher&gt;John Wiley &amp;amp; Sons, Inc.&lt;/publisher&gt;&lt;isbn&gt;0-471-59762-7&lt;/isbn&gt;&lt;urls&gt;&lt;/urls&gt;&lt;/record&gt;&lt;/Cite&gt;&lt;/EndNote&gt;</w:instrText>
      </w:r>
      <w:r>
        <w:fldChar w:fldCharType="separate"/>
      </w:r>
      <w:r>
        <w:rPr>
          <w:noProof/>
        </w:rPr>
        <w:t>(</w:t>
      </w:r>
      <w:hyperlink w:anchor="_ENREF_5" w:tooltip="Domenico, 1998 #619" w:history="1">
        <w:r>
          <w:rPr>
            <w:noProof/>
          </w:rPr>
          <w:t>Domenico and Schwartz 1998</w:t>
        </w:r>
      </w:hyperlink>
      <w:r>
        <w:rPr>
          <w:noProof/>
        </w:rPr>
        <w:t>)</w:t>
      </w:r>
      <w:r>
        <w:fldChar w:fldCharType="end"/>
      </w:r>
      <w:r>
        <w:t xml:space="preserve"> and notably less than those previously reported at other test sites by </w:t>
      </w:r>
      <w:r>
        <w:fldChar w:fldCharType="begin"/>
      </w:r>
      <w:r>
        <w:instrText xml:space="preserve"> ADDIN EN.CITE &lt;EndNote&gt;&lt;Cite AuthorYear="1"&gt;&lt;Author&gt;Hall&lt;/Author&gt;&lt;Year&gt;1991&lt;/Year&gt;&lt;RecNum&gt;107&lt;/RecNum&gt;&lt;DisplayText&gt;Hall et al. (1991)&lt;/DisplayText&gt;&lt;record&gt;&lt;rec-number&gt;107&lt;/rec-number&gt;&lt;foreign-keys&gt;&lt;key app="EN" db-id="rzwe2tae7rs0abe55xgp55w8xtdf5xp9dwrd"&gt;107&lt;/key&gt;&lt;/foreign-keys&gt;&lt;ref-type name="Journal Article"&gt;17&lt;/ref-type&gt;&lt;contributors&gt;&lt;authors&gt;&lt;author&gt;Hall, S. H.&lt;/author&gt;&lt;author&gt;Luttrell, S. P.&lt;/author&gt;&lt;author&gt;Cronin, W. E.&lt;/author&gt;&lt;/authors&gt;&lt;/contributors&gt;&lt;titles&gt;&lt;title&gt;A method for estimating effective porosity and groundwater velocity&lt;/title&gt;&lt;secondary-title&gt;Ground Water&lt;/secondary-title&gt;&lt;/titles&gt;&lt;periodical&gt;&lt;full-title&gt;Ground Water&lt;/full-title&gt;&lt;abbr-1&gt;Ground Water&lt;/abbr-1&gt;&lt;/periodical&gt;&lt;pages&gt;171-174&lt;/pages&gt;&lt;volume&gt;29&lt;/volume&gt;&lt;number&gt;2&lt;/number&gt;&lt;dates&gt;&lt;year&gt;1991&lt;/year&gt;&lt;pub-dates&gt;&lt;date&gt;Mar-Apr&lt;/date&gt;&lt;/pub-dates&gt;&lt;/dates&gt;&lt;isbn&gt;0017-467X&lt;/isbn&gt;&lt;accession-num&gt;WOS:A1991FA88300002&lt;/accession-num&gt;&lt;urls&gt;&lt;related-urls&gt;&lt;url&gt;&amp;lt;Go to ISI&amp;gt;://WOS:A1991FA88300002&lt;/url&gt;&lt;url&gt;http://onlinelibrary.wiley.com/doi/10.1111/j.1745-6584.1991.tb00506.x/abstract&lt;/url&gt;&lt;/related-urls&gt;&lt;/urls&gt;&lt;electronic-resource-num&gt;10.1111/j.1745-6584.1991.tb00506.x&lt;/electronic-resource-num&gt;&lt;/record&gt;&lt;/Cite&gt;&lt;/EndNote&gt;</w:instrText>
      </w:r>
      <w:r>
        <w:fldChar w:fldCharType="separate"/>
      </w:r>
      <w:hyperlink w:anchor="_ENREF_8" w:tooltip="Hall, 1991 #107" w:history="1">
        <w:r>
          <w:rPr>
            <w:noProof/>
          </w:rPr>
          <w:t>Hall et al. (1991</w:t>
        </w:r>
      </w:hyperlink>
      <w:r>
        <w:rPr>
          <w:noProof/>
        </w:rPr>
        <w:t>)</w:t>
      </w:r>
      <w:r>
        <w:fldChar w:fldCharType="end"/>
      </w:r>
      <w:r>
        <w:t xml:space="preserve"> and </w:t>
      </w:r>
      <w:r>
        <w:fldChar w:fldCharType="begin"/>
      </w:r>
      <w:r>
        <w:instrText xml:space="preserve"> ADDIN EN.CITE &lt;EndNote&gt;&lt;Cite AuthorYear="1"&gt;&lt;Author&gt;Istok&lt;/Author&gt;&lt;Year&gt;2013&lt;/Year&gt;&lt;RecNum&gt;549&lt;/RecNum&gt;&lt;DisplayText&gt;Istok (2013)&lt;/DisplayText&gt;&lt;record&gt;&lt;rec-number&gt;549&lt;/rec-number&gt;&lt;foreign-keys&gt;&lt;key app="EN" db-id="rzwe2tae7rs0abe55xgp55w8xtdf5xp9dwrd"&gt;549&lt;/key&gt;&lt;/foreign-keys&gt;&lt;ref-type name="Book"&gt;6&lt;/ref-type&gt;&lt;contributors&gt;&lt;authors&gt;&lt;author&gt;Jonathan David Istok&lt;/author&gt;&lt;/authors&gt;&lt;/contributors&gt;&lt;titles&gt;&lt;title&gt;Push-Pull Tests for Site Characterization&lt;/title&gt;&lt;secondary-title&gt;Lecture Notes in Earth System Sciences&lt;/secondary-title&gt;&lt;/titles&gt;&lt;dates&gt;&lt;year&gt;2013&lt;/year&gt;&lt;/dates&gt;&lt;pub-location&gt;Corvaillis, OR, USA&lt;/pub-location&gt;&lt;publisher&gt;Springer&lt;/publisher&gt;&lt;isbn&gt;2193-8571&lt;/isbn&gt;&lt;urls&gt;&lt;/urls&gt;&lt;electronic-resource-num&gt;10.1007/978-3-642-13920-8&lt;/electronic-resource-num&gt;&lt;/record&gt;&lt;/Cite&gt;&lt;/EndNote&gt;</w:instrText>
      </w:r>
      <w:r>
        <w:fldChar w:fldCharType="separate"/>
      </w:r>
      <w:hyperlink w:anchor="_ENREF_13" w:tooltip="Istok, 2013 #549" w:history="1">
        <w:r>
          <w:rPr>
            <w:noProof/>
          </w:rPr>
          <w:t>Istok (2013</w:t>
        </w:r>
      </w:hyperlink>
      <w:r>
        <w:rPr>
          <w:noProof/>
        </w:rPr>
        <w:t>)</w:t>
      </w:r>
      <w:r>
        <w:fldChar w:fldCharType="end"/>
      </w:r>
      <w:r>
        <w:t xml:space="preserve"> (</w:t>
      </w:r>
      <w:r>
        <w:fldChar w:fldCharType="begin"/>
      </w:r>
      <w:r>
        <w:instrText xml:space="preserve"> REF _Ref486659946 \h </w:instrText>
      </w:r>
      <w:r>
        <w:fldChar w:fldCharType="separate"/>
      </w:r>
      <w:r w:rsidR="001175BB">
        <w:t xml:space="preserve">Table </w:t>
      </w:r>
      <w:r w:rsidR="001175BB">
        <w:rPr>
          <w:noProof/>
        </w:rPr>
        <w:t>3</w:t>
      </w:r>
      <w:r w:rsidR="001175BB">
        <w:t>.</w:t>
      </w:r>
      <w:r w:rsidR="001175BB">
        <w:rPr>
          <w:noProof/>
        </w:rPr>
        <w:t>1</w:t>
      </w:r>
      <w:r>
        <w:fldChar w:fldCharType="end"/>
      </w:r>
      <w:r>
        <w:t xml:space="preserve">). </w:t>
      </w:r>
    </w:p>
    <w:p w14:paraId="2E151094" w14:textId="77777777" w:rsidR="001C6A63" w:rsidRPr="001C6A63" w:rsidRDefault="001C6A63" w:rsidP="001C6A63"/>
    <w:p w14:paraId="7929DC9F" w14:textId="77777777" w:rsidR="002B2957" w:rsidRDefault="002B2957" w:rsidP="002B2957">
      <w:pPr>
        <w:ind w:firstLine="720"/>
      </w:pPr>
    </w:p>
    <w:p w14:paraId="5601BE51" w14:textId="77777777" w:rsidR="002B2957" w:rsidRDefault="002B2957" w:rsidP="002B2957">
      <w:pPr>
        <w:rPr>
          <w:b/>
        </w:rPr>
      </w:pPr>
    </w:p>
    <w:p w14:paraId="1BEEFB53" w14:textId="77777777" w:rsidR="002B2957" w:rsidRDefault="002B2957" w:rsidP="002B2957">
      <w:pPr>
        <w:rPr>
          <w:b/>
        </w:rPr>
      </w:pPr>
    </w:p>
    <w:p w14:paraId="3A2C6716" w14:textId="77777777" w:rsidR="002B2957" w:rsidRDefault="002B2957" w:rsidP="002B2957">
      <w:pPr>
        <w:rPr>
          <w:b/>
        </w:rPr>
      </w:pPr>
    </w:p>
    <w:p w14:paraId="547B78DA" w14:textId="77777777" w:rsidR="002B2957" w:rsidRDefault="002B2957" w:rsidP="002B2957">
      <w:pPr>
        <w:rPr>
          <w:b/>
        </w:rPr>
      </w:pPr>
    </w:p>
    <w:p w14:paraId="1FD83670" w14:textId="77777777" w:rsidR="002B2957" w:rsidRDefault="002B2957" w:rsidP="002B2957">
      <w:pPr>
        <w:rPr>
          <w:b/>
        </w:rPr>
      </w:pPr>
    </w:p>
    <w:p w14:paraId="44AD281A" w14:textId="77777777" w:rsidR="002B2957" w:rsidRDefault="002B2957" w:rsidP="002B2957">
      <w:pPr>
        <w:rPr>
          <w:b/>
        </w:rPr>
      </w:pPr>
    </w:p>
    <w:p w14:paraId="41E836E0" w14:textId="77777777" w:rsidR="002B2957" w:rsidRDefault="002B2957" w:rsidP="002B2957">
      <w:pPr>
        <w:pStyle w:val="Caption"/>
      </w:pPr>
      <w:bookmarkStart w:id="130" w:name="_Ref486659946"/>
      <w:bookmarkStart w:id="131" w:name="_Toc498504883"/>
      <w:r>
        <w:lastRenderedPageBreak/>
        <w:t xml:space="preserve">Table </w:t>
      </w:r>
      <w:r w:rsidR="00CA2C3C">
        <w:fldChar w:fldCharType="begin"/>
      </w:r>
      <w:r w:rsidR="00CA2C3C">
        <w:instrText xml:space="preserve"> STYLEREF 1 \s </w:instrText>
      </w:r>
      <w:r w:rsidR="00CA2C3C">
        <w:fldChar w:fldCharType="separate"/>
      </w:r>
      <w:r w:rsidR="002105EE">
        <w:rPr>
          <w:noProof/>
        </w:rPr>
        <w:t>3</w:t>
      </w:r>
      <w:r w:rsidR="00CA2C3C">
        <w:rPr>
          <w:noProof/>
        </w:rPr>
        <w:fldChar w:fldCharType="end"/>
      </w:r>
      <w:r w:rsidR="002105EE">
        <w:t>.</w:t>
      </w:r>
      <w:r w:rsidR="00CA2C3C">
        <w:fldChar w:fldCharType="begin"/>
      </w:r>
      <w:r w:rsidR="00CA2C3C">
        <w:instrText xml:space="preserve"> SEQ Table \* ARABIC \s 1 </w:instrText>
      </w:r>
      <w:r w:rsidR="00CA2C3C">
        <w:fldChar w:fldCharType="separate"/>
      </w:r>
      <w:r w:rsidR="002105EE">
        <w:rPr>
          <w:noProof/>
        </w:rPr>
        <w:t>1</w:t>
      </w:r>
      <w:r w:rsidR="00CA2C3C">
        <w:rPr>
          <w:noProof/>
        </w:rPr>
        <w:fldChar w:fldCharType="end"/>
      </w:r>
      <w:bookmarkEnd w:id="130"/>
      <w:r>
        <w:t xml:space="preserve"> </w:t>
      </w:r>
      <w:r w:rsidRPr="002B2957">
        <w:rPr>
          <w:b w:val="0"/>
        </w:rPr>
        <w:t xml:space="preserve">Hydraulic gradient (dh/dr) and hydraulic conductivity (K) for tests in this study (FW220 through FW225) and for tests from </w:t>
      </w:r>
      <w:r w:rsidRPr="002B2957">
        <w:rPr>
          <w:b w:val="0"/>
        </w:rPr>
        <w:fldChar w:fldCharType="begin"/>
      </w:r>
      <w:r w:rsidRPr="002B2957">
        <w:rPr>
          <w:b w:val="0"/>
        </w:rPr>
        <w:instrText xml:space="preserve"> ADDIN EN.CITE &lt;EndNote&gt;&lt;Cite AuthorYear="1"&gt;&lt;Author&gt;Hall&lt;/Author&gt;&lt;Year&gt;1991&lt;/Year&gt;&lt;RecNum&gt;107&lt;/RecNum&gt;&lt;DisplayText&gt;Hall et al. (1991)&lt;/DisplayText&gt;&lt;record&gt;&lt;rec-number&gt;107&lt;/rec-number&gt;&lt;foreign-keys&gt;&lt;key app="EN" db-id="rzwe2tae7rs0abe55xgp55w8xtdf5xp9dwrd"&gt;107&lt;/key&gt;&lt;/foreign-keys&gt;&lt;ref-type name="Journal Article"&gt;17&lt;/ref-type&gt;&lt;contributors&gt;&lt;authors&gt;&lt;author&gt;Hall, S. H.&lt;/author&gt;&lt;author&gt;Luttrell, S. P.&lt;/author&gt;&lt;author&gt;Cronin, W. E.&lt;/author&gt;&lt;/authors&gt;&lt;/contributors&gt;&lt;titles&gt;&lt;title&gt;A method for estimating effective porosity and groundwater velocity&lt;/title&gt;&lt;secondary-title&gt;Ground Water&lt;/secondary-title&gt;&lt;/titles&gt;&lt;periodical&gt;&lt;full-title&gt;Ground Water&lt;/full-title&gt;&lt;abbr-1&gt;Ground Water&lt;/abbr-1&gt;&lt;/periodical&gt;&lt;pages&gt;171-174&lt;/pages&gt;&lt;volume&gt;29&lt;/volume&gt;&lt;number&gt;2&lt;/number&gt;&lt;dates&gt;&lt;year&gt;1991&lt;/year&gt;&lt;pub-dates&gt;&lt;date&gt;Mar-Apr&lt;/date&gt;&lt;/pub-dates&gt;&lt;/dates&gt;&lt;isbn&gt;0017-467X&lt;/isbn&gt;&lt;accession-num&gt;WOS:A1991FA88300002&lt;/accession-num&gt;&lt;urls&gt;&lt;related-urls&gt;&lt;url&gt;&amp;lt;Go to ISI&amp;gt;://WOS:A1991FA88300002&lt;/url&gt;&lt;url&gt;http://onlinelibrary.wiley.com/doi/10.1111/j.1745-6584.1991.tb00506.x/abstract&lt;/url&gt;&lt;/related-urls&gt;&lt;/urls&gt;&lt;electronic-resource-num&gt;10.1111/j.1745-6584.1991.tb00506.x&lt;/electronic-resource-num&gt;&lt;/record&gt;&lt;/Cite&gt;&lt;/EndNote&gt;</w:instrText>
      </w:r>
      <w:r w:rsidRPr="002B2957">
        <w:rPr>
          <w:b w:val="0"/>
        </w:rPr>
        <w:fldChar w:fldCharType="separate"/>
      </w:r>
      <w:hyperlink w:anchor="_ENREF_8" w:tooltip="Hall, 1991 #107" w:history="1">
        <w:r w:rsidRPr="002B2957">
          <w:rPr>
            <w:b w:val="0"/>
            <w:noProof/>
          </w:rPr>
          <w:t>Hall et al. (1991</w:t>
        </w:r>
      </w:hyperlink>
      <w:r w:rsidRPr="002B2957">
        <w:rPr>
          <w:b w:val="0"/>
          <w:noProof/>
        </w:rPr>
        <w:t>)</w:t>
      </w:r>
      <w:r w:rsidRPr="002B2957">
        <w:rPr>
          <w:b w:val="0"/>
        </w:rPr>
        <w:fldChar w:fldCharType="end"/>
      </w:r>
      <w:r w:rsidRPr="002B2957">
        <w:rPr>
          <w:b w:val="0"/>
        </w:rPr>
        <w:t xml:space="preserve"> and </w:t>
      </w:r>
      <w:r w:rsidRPr="002B2957">
        <w:rPr>
          <w:b w:val="0"/>
        </w:rPr>
        <w:fldChar w:fldCharType="begin"/>
      </w:r>
      <w:r w:rsidRPr="002B2957">
        <w:rPr>
          <w:b w:val="0"/>
        </w:rPr>
        <w:instrText xml:space="preserve"> ADDIN EN.CITE &lt;EndNote&gt;&lt;Cite AuthorYear="1"&gt;&lt;Author&gt;Istok&lt;/Author&gt;&lt;Year&gt;2013&lt;/Year&gt;&lt;RecNum&gt;549&lt;/RecNum&gt;&lt;DisplayText&gt;Istok (2013)&lt;/DisplayText&gt;&lt;record&gt;&lt;rec-number&gt;549&lt;/rec-number&gt;&lt;foreign-keys&gt;&lt;key app="EN" db-id="rzwe2tae7rs0abe55xgp55w8xtdf5xp9dwrd"&gt;549&lt;/key&gt;&lt;/foreign-keys&gt;&lt;ref-type name="Book"&gt;6&lt;/ref-type&gt;&lt;contributors&gt;&lt;authors&gt;&lt;author&gt;Jonathan David Istok&lt;/author&gt;&lt;/authors&gt;&lt;/contributors&gt;&lt;titles&gt;&lt;title&gt;Push-Pull Tests for Site Characterization&lt;/title&gt;&lt;secondary-title&gt;Lecture Notes in Earth System Sciences&lt;/secondary-title&gt;&lt;/titles&gt;&lt;dates&gt;&lt;year&gt;2013&lt;/year&gt;&lt;/dates&gt;&lt;pub-location&gt;Corvaillis, OR, USA&lt;/pub-location&gt;&lt;publisher&gt;Springer&lt;/publisher&gt;&lt;isbn&gt;2193-8571&lt;/isbn&gt;&lt;urls&gt;&lt;/urls&gt;&lt;electronic-resource-num&gt;10.1007/978-3-642-13920-8&lt;/electronic-resource-num&gt;&lt;/record&gt;&lt;/Cite&gt;&lt;/EndNote&gt;</w:instrText>
      </w:r>
      <w:r w:rsidRPr="002B2957">
        <w:rPr>
          <w:b w:val="0"/>
        </w:rPr>
        <w:fldChar w:fldCharType="separate"/>
      </w:r>
      <w:hyperlink w:anchor="_ENREF_13" w:tooltip="Istok, 2013 #549" w:history="1">
        <w:r w:rsidRPr="002B2957">
          <w:rPr>
            <w:b w:val="0"/>
            <w:noProof/>
          </w:rPr>
          <w:t>Istok (2013</w:t>
        </w:r>
      </w:hyperlink>
      <w:r w:rsidRPr="002B2957">
        <w:rPr>
          <w:b w:val="0"/>
          <w:noProof/>
        </w:rPr>
        <w:t>)</w:t>
      </w:r>
      <w:bookmarkEnd w:id="131"/>
      <w:r w:rsidRPr="002B2957">
        <w:rPr>
          <w:b w:val="0"/>
        </w:rPr>
        <w:fldChar w:fldCharType="end"/>
      </w:r>
    </w:p>
    <w:tbl>
      <w:tblPr>
        <w:tblW w:w="9360" w:type="dxa"/>
        <w:jc w:val="center"/>
        <w:tblLayout w:type="fixed"/>
        <w:tblLook w:val="04A0" w:firstRow="1" w:lastRow="0" w:firstColumn="1" w:lastColumn="0" w:noHBand="0" w:noVBand="1"/>
      </w:tblPr>
      <w:tblGrid>
        <w:gridCol w:w="3120"/>
        <w:gridCol w:w="3120"/>
        <w:gridCol w:w="3120"/>
      </w:tblGrid>
      <w:tr w:rsidR="002B2957" w:rsidRPr="0041408A" w14:paraId="1DACA27D" w14:textId="77777777" w:rsidTr="00DD3BC8">
        <w:trPr>
          <w:trHeight w:val="432"/>
          <w:jc w:val="center"/>
        </w:trPr>
        <w:tc>
          <w:tcPr>
            <w:tcW w:w="3120" w:type="dxa"/>
            <w:tcBorders>
              <w:top w:val="single" w:sz="4" w:space="0" w:color="auto"/>
              <w:left w:val="nil"/>
              <w:bottom w:val="nil"/>
              <w:right w:val="nil"/>
            </w:tcBorders>
            <w:shd w:val="clear" w:color="auto" w:fill="auto"/>
            <w:noWrap/>
            <w:vAlign w:val="center"/>
            <w:hideMark/>
          </w:tcPr>
          <w:p w14:paraId="048E0985" w14:textId="77777777" w:rsidR="002B2957" w:rsidRPr="00007259" w:rsidRDefault="002B2957" w:rsidP="00DD3BC8">
            <w:pPr>
              <w:spacing w:line="240" w:lineRule="auto"/>
              <w:jc w:val="center"/>
              <w:rPr>
                <w:rFonts w:eastAsia="Times New Roman" w:cs="Times New Roman"/>
                <w:szCs w:val="24"/>
              </w:rPr>
            </w:pPr>
            <w:r w:rsidRPr="00007259">
              <w:rPr>
                <w:rFonts w:eastAsia="Times New Roman" w:cs="Times New Roman"/>
                <w:szCs w:val="24"/>
              </w:rPr>
              <w:t>Test</w:t>
            </w:r>
          </w:p>
        </w:tc>
        <w:tc>
          <w:tcPr>
            <w:tcW w:w="3120" w:type="dxa"/>
            <w:tcBorders>
              <w:top w:val="single" w:sz="4" w:space="0" w:color="auto"/>
              <w:left w:val="nil"/>
              <w:bottom w:val="nil"/>
              <w:right w:val="nil"/>
            </w:tcBorders>
            <w:shd w:val="clear" w:color="auto" w:fill="auto"/>
            <w:noWrap/>
            <w:vAlign w:val="center"/>
          </w:tcPr>
          <w:p w14:paraId="580FD422" w14:textId="77777777" w:rsidR="002B2957" w:rsidRPr="00007259" w:rsidRDefault="002B2957" w:rsidP="00DD3BC8">
            <w:pPr>
              <w:spacing w:line="240" w:lineRule="auto"/>
              <w:jc w:val="center"/>
              <w:rPr>
                <w:rFonts w:eastAsia="Times New Roman" w:cs="Times New Roman"/>
                <w:szCs w:val="24"/>
              </w:rPr>
            </w:pPr>
            <w:r>
              <w:t>dh/dr</w:t>
            </w:r>
          </w:p>
        </w:tc>
        <w:tc>
          <w:tcPr>
            <w:tcW w:w="3120" w:type="dxa"/>
            <w:tcBorders>
              <w:top w:val="single" w:sz="4" w:space="0" w:color="auto"/>
              <w:left w:val="nil"/>
              <w:bottom w:val="nil"/>
              <w:right w:val="nil"/>
            </w:tcBorders>
            <w:shd w:val="clear" w:color="auto" w:fill="auto"/>
            <w:noWrap/>
            <w:vAlign w:val="center"/>
          </w:tcPr>
          <w:p w14:paraId="724A0B9E" w14:textId="77777777" w:rsidR="002B2957" w:rsidRPr="00262192" w:rsidRDefault="002B2957" w:rsidP="00DD3BC8">
            <w:pPr>
              <w:spacing w:line="240" w:lineRule="auto"/>
              <w:jc w:val="center"/>
              <w:rPr>
                <w:rFonts w:eastAsia="Times New Roman" w:cs="Times New Roman"/>
                <w:szCs w:val="24"/>
              </w:rPr>
            </w:pPr>
            <w:r>
              <w:t>K</w:t>
            </w:r>
          </w:p>
        </w:tc>
      </w:tr>
      <w:tr w:rsidR="002B2957" w:rsidRPr="0041408A" w14:paraId="252DB29D" w14:textId="77777777" w:rsidTr="00DD3BC8">
        <w:trPr>
          <w:trHeight w:val="432"/>
          <w:jc w:val="center"/>
        </w:trPr>
        <w:tc>
          <w:tcPr>
            <w:tcW w:w="3120" w:type="dxa"/>
            <w:tcBorders>
              <w:top w:val="nil"/>
              <w:left w:val="nil"/>
              <w:bottom w:val="single" w:sz="4" w:space="0" w:color="auto"/>
              <w:right w:val="nil"/>
            </w:tcBorders>
            <w:shd w:val="clear" w:color="auto" w:fill="auto"/>
            <w:noWrap/>
            <w:vAlign w:val="center"/>
            <w:hideMark/>
          </w:tcPr>
          <w:p w14:paraId="02E25315" w14:textId="77777777" w:rsidR="002B2957" w:rsidRPr="00007259" w:rsidRDefault="002B2957" w:rsidP="00DD3BC8">
            <w:pPr>
              <w:spacing w:line="240" w:lineRule="auto"/>
              <w:jc w:val="center"/>
              <w:rPr>
                <w:rFonts w:eastAsia="Times New Roman" w:cs="Times New Roman"/>
                <w:szCs w:val="24"/>
              </w:rPr>
            </w:pPr>
            <w:r w:rsidRPr="00007259">
              <w:rPr>
                <w:rFonts w:eastAsia="Times New Roman" w:cs="Times New Roman"/>
                <w:szCs w:val="24"/>
              </w:rPr>
              <w:t>Well</w:t>
            </w:r>
            <w:r>
              <w:rPr>
                <w:rFonts w:eastAsia="Times New Roman" w:cs="Times New Roman"/>
                <w:szCs w:val="24"/>
              </w:rPr>
              <w:t>/Study</w:t>
            </w:r>
          </w:p>
        </w:tc>
        <w:tc>
          <w:tcPr>
            <w:tcW w:w="3120" w:type="dxa"/>
            <w:tcBorders>
              <w:top w:val="nil"/>
              <w:left w:val="nil"/>
              <w:bottom w:val="single" w:sz="4" w:space="0" w:color="auto"/>
              <w:right w:val="nil"/>
            </w:tcBorders>
            <w:shd w:val="clear" w:color="auto" w:fill="auto"/>
            <w:noWrap/>
            <w:vAlign w:val="center"/>
          </w:tcPr>
          <w:p w14:paraId="3F99EC8C" w14:textId="77777777" w:rsidR="002B2957" w:rsidRPr="00007259" w:rsidRDefault="002B2957" w:rsidP="00DD3BC8">
            <w:pPr>
              <w:spacing w:line="240" w:lineRule="auto"/>
              <w:jc w:val="center"/>
              <w:rPr>
                <w:rFonts w:eastAsia="Times New Roman" w:cs="Times New Roman"/>
                <w:szCs w:val="24"/>
              </w:rPr>
            </w:pPr>
            <w:r>
              <w:t>(</w:t>
            </w:r>
            <w:r w:rsidRPr="00DA3683">
              <w:t>m/</w:t>
            </w:r>
            <w:r>
              <w:t>m)</w:t>
            </w:r>
          </w:p>
        </w:tc>
        <w:tc>
          <w:tcPr>
            <w:tcW w:w="3120" w:type="dxa"/>
            <w:tcBorders>
              <w:top w:val="nil"/>
              <w:left w:val="nil"/>
              <w:bottom w:val="single" w:sz="4" w:space="0" w:color="auto"/>
              <w:right w:val="nil"/>
            </w:tcBorders>
            <w:shd w:val="clear" w:color="auto" w:fill="auto"/>
            <w:noWrap/>
            <w:vAlign w:val="center"/>
          </w:tcPr>
          <w:p w14:paraId="0F149F3D" w14:textId="77777777" w:rsidR="002B2957" w:rsidRPr="00262192" w:rsidRDefault="002B2957" w:rsidP="00DD3BC8">
            <w:pPr>
              <w:spacing w:line="240" w:lineRule="auto"/>
              <w:jc w:val="center"/>
              <w:rPr>
                <w:rFonts w:eastAsia="Times New Roman" w:cs="Times New Roman"/>
                <w:szCs w:val="24"/>
              </w:rPr>
            </w:pPr>
            <w:r>
              <w:rPr>
                <w:rFonts w:cs="Times New Roman"/>
                <w:szCs w:val="24"/>
              </w:rPr>
              <w:t>(m/s)</w:t>
            </w:r>
          </w:p>
        </w:tc>
      </w:tr>
      <w:tr w:rsidR="002B2957" w:rsidRPr="0041408A" w14:paraId="0AB458DB" w14:textId="77777777" w:rsidTr="00DD3BC8">
        <w:trPr>
          <w:trHeight w:val="432"/>
          <w:jc w:val="center"/>
        </w:trPr>
        <w:tc>
          <w:tcPr>
            <w:tcW w:w="3120" w:type="dxa"/>
            <w:tcBorders>
              <w:top w:val="nil"/>
              <w:left w:val="nil"/>
              <w:bottom w:val="nil"/>
              <w:right w:val="nil"/>
            </w:tcBorders>
            <w:shd w:val="clear" w:color="auto" w:fill="auto"/>
            <w:noWrap/>
            <w:vAlign w:val="center"/>
          </w:tcPr>
          <w:p w14:paraId="652A0780" w14:textId="77777777" w:rsidR="002B2957" w:rsidRPr="00007259" w:rsidRDefault="002B2957" w:rsidP="00DD3BC8">
            <w:pPr>
              <w:spacing w:line="240" w:lineRule="auto"/>
              <w:jc w:val="center"/>
              <w:rPr>
                <w:rFonts w:eastAsia="Times New Roman" w:cs="Times New Roman"/>
                <w:szCs w:val="24"/>
              </w:rPr>
            </w:pPr>
            <w:r w:rsidRPr="00007259">
              <w:rPr>
                <w:rFonts w:eastAsia="Times New Roman" w:cs="Times New Roman"/>
                <w:szCs w:val="24"/>
              </w:rPr>
              <w:t>FW220</w:t>
            </w:r>
          </w:p>
        </w:tc>
        <w:tc>
          <w:tcPr>
            <w:tcW w:w="3120" w:type="dxa"/>
            <w:tcBorders>
              <w:top w:val="nil"/>
              <w:left w:val="nil"/>
              <w:bottom w:val="nil"/>
              <w:right w:val="nil"/>
            </w:tcBorders>
            <w:shd w:val="clear" w:color="auto" w:fill="auto"/>
            <w:noWrap/>
            <w:vAlign w:val="center"/>
          </w:tcPr>
          <w:p w14:paraId="186EAADF" w14:textId="77777777" w:rsidR="002B2957" w:rsidRPr="00007259" w:rsidRDefault="002B2957" w:rsidP="00DD3BC8">
            <w:pPr>
              <w:spacing w:line="240" w:lineRule="auto"/>
              <w:jc w:val="center"/>
              <w:rPr>
                <w:rFonts w:eastAsia="Times New Roman" w:cs="Times New Roman"/>
                <w:szCs w:val="24"/>
              </w:rPr>
            </w:pPr>
            <w:r>
              <w:t>-0.036</w:t>
            </w:r>
          </w:p>
        </w:tc>
        <w:tc>
          <w:tcPr>
            <w:tcW w:w="3120" w:type="dxa"/>
            <w:tcBorders>
              <w:top w:val="nil"/>
              <w:left w:val="nil"/>
              <w:bottom w:val="nil"/>
              <w:right w:val="nil"/>
            </w:tcBorders>
            <w:shd w:val="clear" w:color="auto" w:fill="auto"/>
            <w:noWrap/>
            <w:vAlign w:val="center"/>
          </w:tcPr>
          <w:p w14:paraId="689DD9AB" w14:textId="77777777" w:rsidR="002B2957" w:rsidRPr="00262192" w:rsidRDefault="002B2957" w:rsidP="00DD3BC8">
            <w:pPr>
              <w:spacing w:line="240" w:lineRule="auto"/>
              <w:jc w:val="center"/>
              <w:rPr>
                <w:rFonts w:eastAsia="Times New Roman" w:cs="Times New Roman"/>
                <w:szCs w:val="24"/>
              </w:rPr>
            </w:pPr>
            <w:r w:rsidRPr="00DA3683">
              <w:t>4.1</w:t>
            </w:r>
            <w:r>
              <w:t>x10</w:t>
            </w:r>
            <w:r w:rsidRPr="004D764C">
              <w:rPr>
                <w:vertAlign w:val="superscript"/>
              </w:rPr>
              <w:t>-6</w:t>
            </w:r>
          </w:p>
        </w:tc>
      </w:tr>
      <w:tr w:rsidR="002B2957" w:rsidRPr="0041408A" w14:paraId="3DFCCC3E" w14:textId="77777777" w:rsidTr="00DD3BC8">
        <w:trPr>
          <w:trHeight w:val="432"/>
          <w:jc w:val="center"/>
        </w:trPr>
        <w:tc>
          <w:tcPr>
            <w:tcW w:w="3120" w:type="dxa"/>
            <w:tcBorders>
              <w:top w:val="nil"/>
              <w:left w:val="nil"/>
              <w:bottom w:val="nil"/>
              <w:right w:val="nil"/>
            </w:tcBorders>
            <w:shd w:val="clear" w:color="auto" w:fill="auto"/>
            <w:noWrap/>
            <w:vAlign w:val="center"/>
          </w:tcPr>
          <w:p w14:paraId="43C173F8" w14:textId="77777777" w:rsidR="002B2957" w:rsidRPr="00007259" w:rsidRDefault="002B2957" w:rsidP="00DD3BC8">
            <w:pPr>
              <w:spacing w:line="240" w:lineRule="auto"/>
              <w:jc w:val="center"/>
              <w:rPr>
                <w:rFonts w:eastAsia="Times New Roman" w:cs="Times New Roman"/>
                <w:szCs w:val="24"/>
              </w:rPr>
            </w:pPr>
            <w:r w:rsidRPr="00007259">
              <w:rPr>
                <w:rFonts w:eastAsia="Times New Roman" w:cs="Times New Roman"/>
                <w:szCs w:val="24"/>
              </w:rPr>
              <w:t>FW221</w:t>
            </w:r>
          </w:p>
        </w:tc>
        <w:tc>
          <w:tcPr>
            <w:tcW w:w="3120" w:type="dxa"/>
            <w:tcBorders>
              <w:top w:val="nil"/>
              <w:left w:val="nil"/>
              <w:bottom w:val="nil"/>
              <w:right w:val="nil"/>
            </w:tcBorders>
            <w:shd w:val="clear" w:color="auto" w:fill="auto"/>
            <w:noWrap/>
            <w:vAlign w:val="center"/>
          </w:tcPr>
          <w:p w14:paraId="6F8AC396" w14:textId="77777777" w:rsidR="002B2957" w:rsidRPr="00007259" w:rsidRDefault="002B2957" w:rsidP="00DD3BC8">
            <w:pPr>
              <w:spacing w:line="240" w:lineRule="auto"/>
              <w:jc w:val="center"/>
              <w:rPr>
                <w:rFonts w:eastAsia="Times New Roman" w:cs="Times New Roman"/>
                <w:szCs w:val="24"/>
              </w:rPr>
            </w:pPr>
            <w:r w:rsidRPr="00117DF4">
              <w:t>-0.0</w:t>
            </w:r>
            <w:r>
              <w:t>85</w:t>
            </w:r>
          </w:p>
        </w:tc>
        <w:tc>
          <w:tcPr>
            <w:tcW w:w="3120" w:type="dxa"/>
            <w:tcBorders>
              <w:top w:val="nil"/>
              <w:left w:val="nil"/>
              <w:bottom w:val="nil"/>
              <w:right w:val="nil"/>
            </w:tcBorders>
            <w:shd w:val="clear" w:color="auto" w:fill="auto"/>
            <w:noWrap/>
            <w:vAlign w:val="center"/>
          </w:tcPr>
          <w:p w14:paraId="397E512C" w14:textId="77777777" w:rsidR="002B2957" w:rsidRPr="00262192" w:rsidRDefault="002B2957" w:rsidP="00DD3BC8">
            <w:pPr>
              <w:spacing w:line="240" w:lineRule="auto"/>
              <w:jc w:val="center"/>
              <w:rPr>
                <w:rFonts w:eastAsia="Times New Roman" w:cs="Times New Roman"/>
                <w:szCs w:val="24"/>
              </w:rPr>
            </w:pPr>
            <w:r w:rsidRPr="00DA3683">
              <w:t>5.0</w:t>
            </w:r>
            <w:r>
              <w:t>x10</w:t>
            </w:r>
            <w:r w:rsidRPr="00591A56">
              <w:rPr>
                <w:vertAlign w:val="superscript"/>
              </w:rPr>
              <w:t>-6</w:t>
            </w:r>
          </w:p>
        </w:tc>
      </w:tr>
      <w:tr w:rsidR="002B2957" w:rsidRPr="0041408A" w14:paraId="197C7A74" w14:textId="77777777" w:rsidTr="00DD3BC8">
        <w:trPr>
          <w:trHeight w:val="432"/>
          <w:jc w:val="center"/>
        </w:trPr>
        <w:tc>
          <w:tcPr>
            <w:tcW w:w="3120" w:type="dxa"/>
            <w:tcBorders>
              <w:top w:val="nil"/>
              <w:left w:val="nil"/>
              <w:bottom w:val="nil"/>
              <w:right w:val="nil"/>
            </w:tcBorders>
            <w:shd w:val="clear" w:color="auto" w:fill="auto"/>
            <w:noWrap/>
            <w:vAlign w:val="center"/>
          </w:tcPr>
          <w:p w14:paraId="26343666" w14:textId="77777777" w:rsidR="002B2957" w:rsidRPr="00007259" w:rsidRDefault="002B2957" w:rsidP="00DD3BC8">
            <w:pPr>
              <w:spacing w:line="240" w:lineRule="auto"/>
              <w:jc w:val="center"/>
              <w:rPr>
                <w:rFonts w:eastAsia="Times New Roman" w:cs="Times New Roman"/>
                <w:szCs w:val="24"/>
              </w:rPr>
            </w:pPr>
            <w:r w:rsidRPr="00007259">
              <w:rPr>
                <w:rFonts w:eastAsia="Times New Roman" w:cs="Times New Roman"/>
                <w:szCs w:val="24"/>
              </w:rPr>
              <w:t>FW222</w:t>
            </w:r>
          </w:p>
        </w:tc>
        <w:tc>
          <w:tcPr>
            <w:tcW w:w="3120" w:type="dxa"/>
            <w:tcBorders>
              <w:top w:val="nil"/>
              <w:left w:val="nil"/>
              <w:bottom w:val="nil"/>
              <w:right w:val="nil"/>
            </w:tcBorders>
            <w:shd w:val="clear" w:color="auto" w:fill="auto"/>
            <w:noWrap/>
            <w:vAlign w:val="center"/>
          </w:tcPr>
          <w:p w14:paraId="3C17B2A8" w14:textId="77777777" w:rsidR="002B2957" w:rsidRPr="00007259" w:rsidRDefault="002B2957" w:rsidP="00DD3BC8">
            <w:pPr>
              <w:spacing w:line="240" w:lineRule="auto"/>
              <w:jc w:val="center"/>
              <w:rPr>
                <w:rFonts w:eastAsia="Times New Roman" w:cs="Times New Roman"/>
                <w:szCs w:val="24"/>
              </w:rPr>
            </w:pPr>
            <w:r w:rsidRPr="00117DF4">
              <w:t>-0.03</w:t>
            </w:r>
            <w:r>
              <w:t>3</w:t>
            </w:r>
          </w:p>
        </w:tc>
        <w:tc>
          <w:tcPr>
            <w:tcW w:w="3120" w:type="dxa"/>
            <w:tcBorders>
              <w:top w:val="nil"/>
              <w:left w:val="nil"/>
              <w:bottom w:val="nil"/>
              <w:right w:val="nil"/>
            </w:tcBorders>
            <w:shd w:val="clear" w:color="auto" w:fill="auto"/>
            <w:noWrap/>
            <w:vAlign w:val="center"/>
          </w:tcPr>
          <w:p w14:paraId="742DBB6F" w14:textId="77777777" w:rsidR="002B2957" w:rsidRPr="00262192" w:rsidRDefault="002B2957" w:rsidP="00DD3BC8">
            <w:pPr>
              <w:spacing w:line="240" w:lineRule="auto"/>
              <w:jc w:val="center"/>
              <w:rPr>
                <w:rFonts w:eastAsia="Times New Roman" w:cs="Times New Roman"/>
                <w:szCs w:val="24"/>
              </w:rPr>
            </w:pPr>
            <w:r w:rsidRPr="00DA3683">
              <w:t>6.9</w:t>
            </w:r>
            <w:r>
              <w:t>x10</w:t>
            </w:r>
            <w:r w:rsidRPr="00591A56">
              <w:rPr>
                <w:vertAlign w:val="superscript"/>
              </w:rPr>
              <w:t>-6</w:t>
            </w:r>
          </w:p>
        </w:tc>
      </w:tr>
      <w:tr w:rsidR="002B2957" w:rsidRPr="0041408A" w14:paraId="33BDA177" w14:textId="77777777" w:rsidTr="00DD3BC8">
        <w:trPr>
          <w:trHeight w:val="432"/>
          <w:jc w:val="center"/>
        </w:trPr>
        <w:tc>
          <w:tcPr>
            <w:tcW w:w="3120" w:type="dxa"/>
            <w:tcBorders>
              <w:top w:val="nil"/>
              <w:left w:val="nil"/>
              <w:bottom w:val="nil"/>
              <w:right w:val="nil"/>
            </w:tcBorders>
            <w:shd w:val="clear" w:color="auto" w:fill="auto"/>
            <w:noWrap/>
            <w:vAlign w:val="center"/>
          </w:tcPr>
          <w:p w14:paraId="5772619F" w14:textId="77777777" w:rsidR="002B2957" w:rsidRPr="00007259" w:rsidRDefault="002B2957" w:rsidP="00DD3BC8">
            <w:pPr>
              <w:spacing w:line="240" w:lineRule="auto"/>
              <w:jc w:val="center"/>
              <w:rPr>
                <w:rFonts w:eastAsia="Times New Roman" w:cs="Times New Roman"/>
                <w:szCs w:val="24"/>
              </w:rPr>
            </w:pPr>
            <w:r w:rsidRPr="00007259">
              <w:rPr>
                <w:rFonts w:eastAsia="Times New Roman" w:cs="Times New Roman"/>
                <w:szCs w:val="24"/>
              </w:rPr>
              <w:t>FW223</w:t>
            </w:r>
          </w:p>
        </w:tc>
        <w:tc>
          <w:tcPr>
            <w:tcW w:w="3120" w:type="dxa"/>
            <w:tcBorders>
              <w:top w:val="nil"/>
              <w:left w:val="nil"/>
              <w:bottom w:val="nil"/>
              <w:right w:val="nil"/>
            </w:tcBorders>
            <w:shd w:val="clear" w:color="auto" w:fill="auto"/>
            <w:noWrap/>
            <w:vAlign w:val="center"/>
          </w:tcPr>
          <w:p w14:paraId="5A17F46A" w14:textId="77777777" w:rsidR="002B2957" w:rsidRPr="00007259" w:rsidRDefault="002B2957" w:rsidP="00DD3BC8">
            <w:pPr>
              <w:spacing w:line="240" w:lineRule="auto"/>
              <w:jc w:val="center"/>
              <w:rPr>
                <w:rFonts w:eastAsia="Times New Roman" w:cs="Times New Roman"/>
                <w:szCs w:val="24"/>
              </w:rPr>
            </w:pPr>
            <w:r w:rsidRPr="00117DF4">
              <w:t>-0.0</w:t>
            </w:r>
            <w:r>
              <w:t>28</w:t>
            </w:r>
          </w:p>
        </w:tc>
        <w:tc>
          <w:tcPr>
            <w:tcW w:w="3120" w:type="dxa"/>
            <w:tcBorders>
              <w:top w:val="nil"/>
              <w:left w:val="nil"/>
              <w:bottom w:val="nil"/>
              <w:right w:val="nil"/>
            </w:tcBorders>
            <w:shd w:val="clear" w:color="auto" w:fill="auto"/>
            <w:noWrap/>
            <w:vAlign w:val="center"/>
          </w:tcPr>
          <w:p w14:paraId="640876AC" w14:textId="77777777" w:rsidR="002B2957" w:rsidRPr="00262192" w:rsidRDefault="002B2957" w:rsidP="00DD3BC8">
            <w:pPr>
              <w:spacing w:line="240" w:lineRule="auto"/>
              <w:jc w:val="center"/>
              <w:rPr>
                <w:rFonts w:eastAsia="Times New Roman" w:cs="Times New Roman"/>
                <w:szCs w:val="24"/>
              </w:rPr>
            </w:pPr>
            <w:r w:rsidRPr="00DA3683">
              <w:t>7.0</w:t>
            </w:r>
            <w:r>
              <w:t>x10</w:t>
            </w:r>
            <w:r w:rsidRPr="00591A56">
              <w:rPr>
                <w:vertAlign w:val="superscript"/>
              </w:rPr>
              <w:t>-6</w:t>
            </w:r>
          </w:p>
        </w:tc>
      </w:tr>
      <w:tr w:rsidR="002B2957" w:rsidRPr="0041408A" w14:paraId="7C666584" w14:textId="77777777" w:rsidTr="00DD3BC8">
        <w:trPr>
          <w:trHeight w:val="432"/>
          <w:jc w:val="center"/>
        </w:trPr>
        <w:tc>
          <w:tcPr>
            <w:tcW w:w="3120" w:type="dxa"/>
            <w:tcBorders>
              <w:top w:val="nil"/>
              <w:left w:val="nil"/>
              <w:right w:val="nil"/>
            </w:tcBorders>
            <w:shd w:val="clear" w:color="auto" w:fill="auto"/>
            <w:noWrap/>
            <w:vAlign w:val="center"/>
          </w:tcPr>
          <w:p w14:paraId="0CE82B2C" w14:textId="77777777" w:rsidR="002B2957" w:rsidRPr="00007259" w:rsidRDefault="002B2957" w:rsidP="00DD3BC8">
            <w:pPr>
              <w:spacing w:line="240" w:lineRule="auto"/>
              <w:jc w:val="center"/>
              <w:rPr>
                <w:rFonts w:eastAsia="Times New Roman" w:cs="Times New Roman"/>
                <w:szCs w:val="24"/>
              </w:rPr>
            </w:pPr>
            <w:r w:rsidRPr="00007259">
              <w:rPr>
                <w:rFonts w:eastAsia="Times New Roman" w:cs="Times New Roman"/>
                <w:szCs w:val="24"/>
              </w:rPr>
              <w:t>FW224</w:t>
            </w:r>
          </w:p>
        </w:tc>
        <w:tc>
          <w:tcPr>
            <w:tcW w:w="3120" w:type="dxa"/>
            <w:tcBorders>
              <w:top w:val="nil"/>
              <w:left w:val="nil"/>
              <w:right w:val="nil"/>
            </w:tcBorders>
            <w:shd w:val="clear" w:color="auto" w:fill="auto"/>
            <w:noWrap/>
            <w:vAlign w:val="center"/>
          </w:tcPr>
          <w:p w14:paraId="41CD01C3" w14:textId="77777777" w:rsidR="002B2957" w:rsidRPr="00007259" w:rsidRDefault="002B2957" w:rsidP="00DD3BC8">
            <w:pPr>
              <w:spacing w:line="240" w:lineRule="auto"/>
              <w:jc w:val="center"/>
              <w:rPr>
                <w:rFonts w:eastAsia="Times New Roman" w:cs="Times New Roman"/>
                <w:szCs w:val="24"/>
              </w:rPr>
            </w:pPr>
            <w:r w:rsidRPr="00117DF4">
              <w:t>-0.0</w:t>
            </w:r>
            <w:r>
              <w:t>20</w:t>
            </w:r>
          </w:p>
        </w:tc>
        <w:tc>
          <w:tcPr>
            <w:tcW w:w="3120" w:type="dxa"/>
            <w:tcBorders>
              <w:top w:val="nil"/>
              <w:left w:val="nil"/>
              <w:right w:val="nil"/>
            </w:tcBorders>
            <w:shd w:val="clear" w:color="auto" w:fill="auto"/>
            <w:noWrap/>
            <w:vAlign w:val="center"/>
          </w:tcPr>
          <w:p w14:paraId="70C97A51" w14:textId="77777777" w:rsidR="002B2957" w:rsidRPr="00262192" w:rsidRDefault="002B2957" w:rsidP="00DD3BC8">
            <w:pPr>
              <w:spacing w:line="240" w:lineRule="auto"/>
              <w:jc w:val="center"/>
              <w:rPr>
                <w:rFonts w:eastAsia="Times New Roman" w:cs="Times New Roman"/>
                <w:szCs w:val="24"/>
              </w:rPr>
            </w:pPr>
            <w:r w:rsidRPr="00DA3683">
              <w:t>1.</w:t>
            </w:r>
            <w:r>
              <w:t>8x10</w:t>
            </w:r>
            <w:r w:rsidRPr="00591A56">
              <w:rPr>
                <w:vertAlign w:val="superscript"/>
              </w:rPr>
              <w:t>-</w:t>
            </w:r>
            <w:r>
              <w:rPr>
                <w:vertAlign w:val="superscript"/>
              </w:rPr>
              <w:t>5</w:t>
            </w:r>
          </w:p>
        </w:tc>
      </w:tr>
      <w:tr w:rsidR="002B2957" w:rsidRPr="0041408A" w14:paraId="632287A4" w14:textId="77777777" w:rsidTr="00DD3BC8">
        <w:trPr>
          <w:trHeight w:val="432"/>
          <w:jc w:val="center"/>
        </w:trPr>
        <w:tc>
          <w:tcPr>
            <w:tcW w:w="3120" w:type="dxa"/>
            <w:tcBorders>
              <w:top w:val="nil"/>
              <w:left w:val="nil"/>
              <w:bottom w:val="single" w:sz="4" w:space="0" w:color="auto"/>
              <w:right w:val="nil"/>
            </w:tcBorders>
            <w:shd w:val="clear" w:color="auto" w:fill="auto"/>
            <w:noWrap/>
            <w:vAlign w:val="center"/>
          </w:tcPr>
          <w:p w14:paraId="7F516EF6" w14:textId="77777777" w:rsidR="002B2957" w:rsidRPr="00007259" w:rsidRDefault="002B2957" w:rsidP="00DD3BC8">
            <w:pPr>
              <w:spacing w:line="240" w:lineRule="auto"/>
              <w:jc w:val="center"/>
              <w:rPr>
                <w:rFonts w:eastAsia="Times New Roman" w:cs="Times New Roman"/>
                <w:szCs w:val="24"/>
              </w:rPr>
            </w:pPr>
            <w:r>
              <w:rPr>
                <w:rFonts w:eastAsia="Times New Roman" w:cs="Times New Roman"/>
                <w:szCs w:val="24"/>
              </w:rPr>
              <w:t>FW225</w:t>
            </w:r>
          </w:p>
        </w:tc>
        <w:tc>
          <w:tcPr>
            <w:tcW w:w="3120" w:type="dxa"/>
            <w:tcBorders>
              <w:top w:val="nil"/>
              <w:left w:val="nil"/>
              <w:bottom w:val="single" w:sz="4" w:space="0" w:color="auto"/>
              <w:right w:val="nil"/>
            </w:tcBorders>
            <w:shd w:val="clear" w:color="auto" w:fill="auto"/>
            <w:noWrap/>
            <w:vAlign w:val="center"/>
          </w:tcPr>
          <w:p w14:paraId="721AD6DD" w14:textId="77777777" w:rsidR="002B2957" w:rsidRPr="00007259" w:rsidRDefault="002B2957" w:rsidP="00DD3BC8">
            <w:pPr>
              <w:spacing w:line="240" w:lineRule="auto"/>
              <w:jc w:val="center"/>
              <w:rPr>
                <w:rFonts w:eastAsia="Times New Roman" w:cs="Times New Roman"/>
                <w:szCs w:val="24"/>
              </w:rPr>
            </w:pPr>
            <w:r w:rsidRPr="00117DF4">
              <w:t>-0.0</w:t>
            </w:r>
            <w:r>
              <w:t>63</w:t>
            </w:r>
          </w:p>
        </w:tc>
        <w:tc>
          <w:tcPr>
            <w:tcW w:w="3120" w:type="dxa"/>
            <w:tcBorders>
              <w:top w:val="nil"/>
              <w:left w:val="nil"/>
              <w:bottom w:val="single" w:sz="4" w:space="0" w:color="auto"/>
              <w:right w:val="nil"/>
            </w:tcBorders>
            <w:shd w:val="clear" w:color="auto" w:fill="auto"/>
            <w:noWrap/>
            <w:vAlign w:val="center"/>
          </w:tcPr>
          <w:p w14:paraId="0AB1D419" w14:textId="77777777" w:rsidR="002B2957" w:rsidRPr="00262192" w:rsidRDefault="002B2957" w:rsidP="00DD3BC8">
            <w:pPr>
              <w:spacing w:line="240" w:lineRule="auto"/>
              <w:jc w:val="center"/>
              <w:rPr>
                <w:rFonts w:eastAsia="Times New Roman" w:cs="Times New Roman"/>
                <w:szCs w:val="24"/>
              </w:rPr>
            </w:pPr>
            <w:r>
              <w:t>2</w:t>
            </w:r>
            <w:r w:rsidRPr="00DA3683">
              <w:t>.</w:t>
            </w:r>
            <w:r>
              <w:t>1x10</w:t>
            </w:r>
            <w:r w:rsidRPr="00591A56">
              <w:rPr>
                <w:vertAlign w:val="superscript"/>
              </w:rPr>
              <w:t>-</w:t>
            </w:r>
            <w:r>
              <w:rPr>
                <w:vertAlign w:val="superscript"/>
              </w:rPr>
              <w:t>6</w:t>
            </w:r>
          </w:p>
        </w:tc>
      </w:tr>
      <w:tr w:rsidR="002B2957" w:rsidRPr="0041408A" w14:paraId="55CA7293" w14:textId="77777777" w:rsidTr="00DD3BC8">
        <w:trPr>
          <w:trHeight w:val="432"/>
          <w:jc w:val="center"/>
        </w:trPr>
        <w:tc>
          <w:tcPr>
            <w:tcW w:w="3120" w:type="dxa"/>
            <w:tcBorders>
              <w:top w:val="single" w:sz="4" w:space="0" w:color="auto"/>
              <w:left w:val="nil"/>
              <w:bottom w:val="nil"/>
              <w:right w:val="nil"/>
            </w:tcBorders>
            <w:shd w:val="clear" w:color="auto" w:fill="auto"/>
            <w:noWrap/>
            <w:vAlign w:val="center"/>
          </w:tcPr>
          <w:p w14:paraId="3EBA8023" w14:textId="77777777" w:rsidR="002B2957" w:rsidRDefault="002B2957" w:rsidP="00DD3BC8">
            <w:pPr>
              <w:spacing w:line="240" w:lineRule="auto"/>
              <w:jc w:val="center"/>
              <w:rPr>
                <w:rFonts w:eastAsia="Times New Roman" w:cs="Times New Roman"/>
                <w:szCs w:val="24"/>
              </w:rPr>
            </w:pPr>
            <w:r w:rsidRPr="004D764C">
              <w:rPr>
                <w:rFonts w:eastAsia="Times New Roman" w:cs="Times New Roman"/>
                <w:szCs w:val="24"/>
              </w:rPr>
              <w:t>Hall et al. (1991)</w:t>
            </w:r>
          </w:p>
        </w:tc>
        <w:tc>
          <w:tcPr>
            <w:tcW w:w="3120" w:type="dxa"/>
            <w:tcBorders>
              <w:top w:val="single" w:sz="4" w:space="0" w:color="auto"/>
              <w:left w:val="nil"/>
              <w:bottom w:val="nil"/>
              <w:right w:val="nil"/>
            </w:tcBorders>
            <w:shd w:val="clear" w:color="auto" w:fill="auto"/>
            <w:noWrap/>
            <w:vAlign w:val="center"/>
          </w:tcPr>
          <w:p w14:paraId="13D2853A" w14:textId="77777777" w:rsidR="002B2957" w:rsidRPr="00117DF4" w:rsidRDefault="002B2957" w:rsidP="00DD3BC8">
            <w:pPr>
              <w:spacing w:line="240" w:lineRule="auto"/>
              <w:jc w:val="center"/>
            </w:pPr>
            <w:r>
              <w:t>-0.005</w:t>
            </w:r>
          </w:p>
        </w:tc>
        <w:tc>
          <w:tcPr>
            <w:tcW w:w="3120" w:type="dxa"/>
            <w:tcBorders>
              <w:top w:val="single" w:sz="4" w:space="0" w:color="auto"/>
              <w:left w:val="nil"/>
              <w:bottom w:val="nil"/>
              <w:right w:val="nil"/>
            </w:tcBorders>
            <w:shd w:val="clear" w:color="auto" w:fill="auto"/>
            <w:noWrap/>
            <w:vAlign w:val="center"/>
          </w:tcPr>
          <w:p w14:paraId="0E4DB2A1" w14:textId="77777777" w:rsidR="002B2957" w:rsidRPr="00DA3683" w:rsidRDefault="002B2957" w:rsidP="00DD3BC8">
            <w:pPr>
              <w:spacing w:line="240" w:lineRule="auto"/>
              <w:jc w:val="center"/>
            </w:pPr>
            <w:r>
              <w:t>1.4x10</w:t>
            </w:r>
            <w:r w:rsidRPr="001A1BB1">
              <w:rPr>
                <w:vertAlign w:val="superscript"/>
              </w:rPr>
              <w:t>-4</w:t>
            </w:r>
          </w:p>
        </w:tc>
      </w:tr>
      <w:tr w:rsidR="002B2957" w:rsidRPr="0041408A" w14:paraId="1633A644" w14:textId="77777777" w:rsidTr="00DD3BC8">
        <w:trPr>
          <w:trHeight w:val="432"/>
          <w:jc w:val="center"/>
        </w:trPr>
        <w:tc>
          <w:tcPr>
            <w:tcW w:w="3120" w:type="dxa"/>
            <w:tcBorders>
              <w:top w:val="nil"/>
              <w:left w:val="nil"/>
              <w:bottom w:val="single" w:sz="4" w:space="0" w:color="auto"/>
              <w:right w:val="nil"/>
            </w:tcBorders>
            <w:shd w:val="clear" w:color="auto" w:fill="auto"/>
            <w:noWrap/>
            <w:vAlign w:val="center"/>
          </w:tcPr>
          <w:p w14:paraId="529A520F" w14:textId="77777777" w:rsidR="002B2957" w:rsidRDefault="002B2957" w:rsidP="00DD3BC8">
            <w:pPr>
              <w:spacing w:line="240" w:lineRule="auto"/>
              <w:jc w:val="center"/>
              <w:rPr>
                <w:rFonts w:eastAsia="Times New Roman" w:cs="Times New Roman"/>
                <w:szCs w:val="24"/>
              </w:rPr>
            </w:pPr>
            <w:r w:rsidRPr="004D764C">
              <w:rPr>
                <w:rFonts w:eastAsia="Times New Roman" w:cs="Times New Roman"/>
                <w:szCs w:val="24"/>
              </w:rPr>
              <w:t>Istok (2013)</w:t>
            </w:r>
          </w:p>
        </w:tc>
        <w:tc>
          <w:tcPr>
            <w:tcW w:w="3120" w:type="dxa"/>
            <w:tcBorders>
              <w:top w:val="nil"/>
              <w:left w:val="nil"/>
              <w:bottom w:val="single" w:sz="4" w:space="0" w:color="auto"/>
              <w:right w:val="nil"/>
            </w:tcBorders>
            <w:shd w:val="clear" w:color="auto" w:fill="auto"/>
            <w:noWrap/>
            <w:vAlign w:val="center"/>
          </w:tcPr>
          <w:p w14:paraId="054AEF6E" w14:textId="77777777" w:rsidR="002B2957" w:rsidRPr="00117DF4" w:rsidRDefault="002B2957" w:rsidP="00DD3BC8">
            <w:pPr>
              <w:spacing w:line="240" w:lineRule="auto"/>
              <w:jc w:val="center"/>
            </w:pPr>
            <w:r>
              <w:t>-0.015</w:t>
            </w:r>
          </w:p>
        </w:tc>
        <w:tc>
          <w:tcPr>
            <w:tcW w:w="3120" w:type="dxa"/>
            <w:tcBorders>
              <w:top w:val="nil"/>
              <w:left w:val="nil"/>
              <w:bottom w:val="single" w:sz="4" w:space="0" w:color="auto"/>
              <w:right w:val="nil"/>
            </w:tcBorders>
            <w:shd w:val="clear" w:color="auto" w:fill="auto"/>
            <w:noWrap/>
            <w:vAlign w:val="center"/>
          </w:tcPr>
          <w:p w14:paraId="26D00A9B" w14:textId="77777777" w:rsidR="002B2957" w:rsidRPr="00DA3683" w:rsidRDefault="002B2957" w:rsidP="00DD3BC8">
            <w:pPr>
              <w:spacing w:line="240" w:lineRule="auto"/>
              <w:jc w:val="center"/>
            </w:pPr>
            <w:r>
              <w:t>2.8x10</w:t>
            </w:r>
            <w:r w:rsidRPr="001A1BB1">
              <w:rPr>
                <w:vertAlign w:val="superscript"/>
              </w:rPr>
              <w:t>-5</w:t>
            </w:r>
          </w:p>
        </w:tc>
      </w:tr>
    </w:tbl>
    <w:p w14:paraId="567E3CE4" w14:textId="77777777" w:rsidR="002B2957" w:rsidRDefault="002B2957" w:rsidP="002B2957"/>
    <w:p w14:paraId="43F2EDE4" w14:textId="77777777" w:rsidR="002B2957" w:rsidRDefault="002B2957" w:rsidP="002B2957">
      <w:pPr>
        <w:ind w:firstLine="720"/>
        <w:rPr>
          <w:b/>
        </w:rPr>
      </w:pPr>
    </w:p>
    <w:p w14:paraId="599D0F5B" w14:textId="77777777" w:rsidR="002B2957" w:rsidRDefault="002B2957" w:rsidP="002B2957">
      <w:pPr>
        <w:ind w:firstLine="720"/>
        <w:rPr>
          <w:b/>
        </w:rPr>
      </w:pPr>
    </w:p>
    <w:p w14:paraId="7962F37E" w14:textId="77777777" w:rsidR="002B2957" w:rsidRDefault="002B2957" w:rsidP="002B2957">
      <w:pPr>
        <w:ind w:firstLine="720"/>
        <w:rPr>
          <w:b/>
        </w:rPr>
      </w:pPr>
    </w:p>
    <w:p w14:paraId="64241604" w14:textId="77777777" w:rsidR="002B2957" w:rsidRDefault="002B2957" w:rsidP="002B2957">
      <w:pPr>
        <w:ind w:firstLine="720"/>
        <w:rPr>
          <w:b/>
        </w:rPr>
      </w:pPr>
    </w:p>
    <w:p w14:paraId="576D915C" w14:textId="77777777" w:rsidR="002B2957" w:rsidRDefault="002B2957" w:rsidP="002B2957">
      <w:pPr>
        <w:ind w:firstLine="720"/>
        <w:rPr>
          <w:b/>
        </w:rPr>
      </w:pPr>
    </w:p>
    <w:p w14:paraId="216E6492" w14:textId="77777777" w:rsidR="002B2957" w:rsidRDefault="002B2957" w:rsidP="002B2957">
      <w:pPr>
        <w:ind w:firstLine="720"/>
        <w:rPr>
          <w:b/>
        </w:rPr>
      </w:pPr>
    </w:p>
    <w:p w14:paraId="2314E8F7" w14:textId="77777777" w:rsidR="002B2957" w:rsidRDefault="002B2957" w:rsidP="002B2957">
      <w:pPr>
        <w:ind w:firstLine="720"/>
        <w:rPr>
          <w:b/>
        </w:rPr>
      </w:pPr>
    </w:p>
    <w:p w14:paraId="743A20D9" w14:textId="77777777" w:rsidR="002B2957" w:rsidRDefault="002B2957" w:rsidP="002B2957">
      <w:pPr>
        <w:ind w:firstLine="720"/>
        <w:rPr>
          <w:b/>
        </w:rPr>
      </w:pPr>
    </w:p>
    <w:p w14:paraId="750B0BDB" w14:textId="77777777" w:rsidR="002B2957" w:rsidRDefault="002B2957" w:rsidP="002B2957">
      <w:pPr>
        <w:ind w:firstLine="720"/>
        <w:rPr>
          <w:b/>
        </w:rPr>
      </w:pPr>
    </w:p>
    <w:p w14:paraId="43D2C778" w14:textId="77777777" w:rsidR="002B2957" w:rsidRDefault="002B2957" w:rsidP="002B2957">
      <w:pPr>
        <w:ind w:firstLine="720"/>
        <w:rPr>
          <w:b/>
        </w:rPr>
      </w:pPr>
    </w:p>
    <w:p w14:paraId="083B2AA0" w14:textId="77777777" w:rsidR="002B2957" w:rsidRDefault="002B2957" w:rsidP="002B2957">
      <w:pPr>
        <w:ind w:firstLine="720"/>
        <w:rPr>
          <w:b/>
        </w:rPr>
      </w:pPr>
    </w:p>
    <w:p w14:paraId="60DF0268" w14:textId="77777777" w:rsidR="002B2957" w:rsidRDefault="002B2957" w:rsidP="002B2957">
      <w:pPr>
        <w:ind w:firstLine="720"/>
        <w:rPr>
          <w:b/>
        </w:rPr>
      </w:pPr>
    </w:p>
    <w:p w14:paraId="666C3828" w14:textId="77777777" w:rsidR="002B2957" w:rsidRPr="002B2957" w:rsidRDefault="002B2957" w:rsidP="002B2957">
      <w:pPr>
        <w:ind w:firstLine="720"/>
        <w:rPr>
          <w:b/>
        </w:rPr>
      </w:pPr>
    </w:p>
    <w:p w14:paraId="60B33158" w14:textId="77777777" w:rsidR="003037B2" w:rsidRDefault="003037B2" w:rsidP="003037B2">
      <w:pPr>
        <w:pStyle w:val="Heading3"/>
      </w:pPr>
      <w:bookmarkStart w:id="132" w:name="_Toc498505049"/>
      <w:r>
        <w:lastRenderedPageBreak/>
        <w:t>3.4.</w:t>
      </w:r>
      <w:r w:rsidR="00A873A8">
        <w:t>3</w:t>
      </w:r>
      <w:r>
        <w:t>.</w:t>
      </w:r>
      <w:r>
        <w:tab/>
      </w:r>
      <w:r w:rsidR="00A873A8">
        <w:t>Effective porosity</w:t>
      </w:r>
      <w:bookmarkEnd w:id="132"/>
    </w:p>
    <w:p w14:paraId="5578DC80" w14:textId="6611D441" w:rsidR="00C30E64" w:rsidRDefault="00A873A8" w:rsidP="00A873A8">
      <w:pPr>
        <w:ind w:firstLine="720"/>
      </w:pPr>
      <w:r>
        <w:t>The breakthrough curves of bromide, during the pull phase of the tests, showed sharp and short-lived increases followed by gradual and non-linear decreases (</w:t>
      </w:r>
      <w:r w:rsidR="00C11E57">
        <w:fldChar w:fldCharType="begin"/>
      </w:r>
      <w:r w:rsidR="00C11E57">
        <w:instrText xml:space="preserve"> REF _Ref486660345 \h </w:instrText>
      </w:r>
      <w:r w:rsidR="00C11E57">
        <w:fldChar w:fldCharType="separate"/>
      </w:r>
      <w:r w:rsidR="001175BB">
        <w:t xml:space="preserve">Figure </w:t>
      </w:r>
      <w:r w:rsidR="001175BB">
        <w:rPr>
          <w:noProof/>
        </w:rPr>
        <w:t>3</w:t>
      </w:r>
      <w:r w:rsidR="001175BB">
        <w:t>.</w:t>
      </w:r>
      <w:r w:rsidR="001175BB">
        <w:rPr>
          <w:noProof/>
        </w:rPr>
        <w:t>4</w:t>
      </w:r>
      <w:r w:rsidR="00C11E57">
        <w:fldChar w:fldCharType="end"/>
      </w:r>
      <w:r>
        <w:t>)</w:t>
      </w:r>
      <w:r w:rsidR="000A5750">
        <w:t xml:space="preserve">. </w:t>
      </w:r>
      <w:r>
        <w:t>It is important to note that the concentrations of bromide in the test wells prior to injection were below the minimum detection limit (</w:t>
      </w:r>
      <w:r>
        <w:rPr>
          <w:rFonts w:cs="Times New Roman"/>
        </w:rPr>
        <w:t>≈</w:t>
      </w:r>
      <w:r>
        <w:t>1 mg/L) and that the concentration of bromide in the injectate was near the target concentration (</w:t>
      </w:r>
      <w:r>
        <w:rPr>
          <w:rFonts w:cs="Times New Roman"/>
        </w:rPr>
        <w:t>≈</w:t>
      </w:r>
      <w:r>
        <w:t>100 mg/L) (data not shown)</w:t>
      </w:r>
      <w:r w:rsidR="000A5750">
        <w:t xml:space="preserve">. </w:t>
      </w:r>
      <w:r>
        <w:t>The time (</w:t>
      </w:r>
      <w:r>
        <w:rPr>
          <w:rFonts w:cs="Times New Roman"/>
        </w:rPr>
        <w:t>ṫ</w:t>
      </w:r>
      <w:r>
        <w:rPr>
          <w:vertAlign w:val="subscript"/>
        </w:rPr>
        <w:t>e</w:t>
      </w:r>
      <w:r>
        <w:t>) from the start of pull phase until the center of mass of bromide was recovered ranged from a low of 0.85 hours (3,077 s) in test well FW223 to a high of 1.14 hours (4,087 s) in test well FW222 (</w:t>
      </w:r>
      <w:r w:rsidR="00C11E57">
        <w:fldChar w:fldCharType="begin"/>
      </w:r>
      <w:r w:rsidR="00C11E57">
        <w:instrText xml:space="preserve"> REF _Ref486660345 \h </w:instrText>
      </w:r>
      <w:r w:rsidR="00C11E57">
        <w:fldChar w:fldCharType="separate"/>
      </w:r>
      <w:r w:rsidR="001175BB">
        <w:t xml:space="preserve">Figure </w:t>
      </w:r>
      <w:r w:rsidR="001175BB">
        <w:rPr>
          <w:noProof/>
        </w:rPr>
        <w:t>3</w:t>
      </w:r>
      <w:r w:rsidR="001175BB">
        <w:t>.</w:t>
      </w:r>
      <w:r w:rsidR="001175BB">
        <w:rPr>
          <w:noProof/>
        </w:rPr>
        <w:t>4</w:t>
      </w:r>
      <w:r w:rsidR="00C11E57">
        <w:fldChar w:fldCharType="end"/>
      </w:r>
      <w:r>
        <w:t xml:space="preserve"> and </w:t>
      </w:r>
      <w:r w:rsidR="00C11E57">
        <w:fldChar w:fldCharType="begin"/>
      </w:r>
      <w:r w:rsidR="00C11E57">
        <w:instrText xml:space="preserve"> REF _Ref486660376 \h </w:instrText>
      </w:r>
      <w:r w:rsidR="00C11E57">
        <w:fldChar w:fldCharType="separate"/>
      </w:r>
      <w:r w:rsidR="001175BB">
        <w:t xml:space="preserve">Table </w:t>
      </w:r>
      <w:r w:rsidR="001175BB">
        <w:rPr>
          <w:noProof/>
        </w:rPr>
        <w:t>3</w:t>
      </w:r>
      <w:r w:rsidR="001175BB">
        <w:t>.</w:t>
      </w:r>
      <w:r w:rsidR="001175BB">
        <w:rPr>
          <w:noProof/>
        </w:rPr>
        <w:t>2</w:t>
      </w:r>
      <w:r w:rsidR="00C11E57">
        <w:fldChar w:fldCharType="end"/>
      </w:r>
      <w:r>
        <w:t>)</w:t>
      </w:r>
      <w:r w:rsidR="000A5750">
        <w:t xml:space="preserve">. </w:t>
      </w:r>
      <w:r>
        <w:t>The corresponding volume (</w:t>
      </w:r>
      <w:r>
        <w:rPr>
          <w:rFonts w:cs="Times New Roman"/>
        </w:rPr>
        <w:t>Ѷ</w:t>
      </w:r>
      <w:r>
        <w:rPr>
          <w:vertAlign w:val="subscript"/>
        </w:rPr>
        <w:t>e</w:t>
      </w:r>
      <w:r>
        <w:t>), at which the center of mass of bromide was recovered ranged from a low of 6 liters (</w:t>
      </w:r>
      <w:r w:rsidRPr="00CE3274">
        <w:t>0.006</w:t>
      </w:r>
      <w:r>
        <w:t xml:space="preserve"> m</w:t>
      </w:r>
      <w:r w:rsidRPr="001A1BB1">
        <w:rPr>
          <w:vertAlign w:val="superscript"/>
        </w:rPr>
        <w:t>3</w:t>
      </w:r>
      <w:r>
        <w:t>) in test well FW225 to a high of 15 liters (</w:t>
      </w:r>
      <w:r w:rsidRPr="00CE3274">
        <w:t>0.015</w:t>
      </w:r>
      <w:r>
        <w:t xml:space="preserve"> m</w:t>
      </w:r>
      <w:r w:rsidRPr="001A1BB1">
        <w:rPr>
          <w:vertAlign w:val="superscript"/>
        </w:rPr>
        <w:t>3</w:t>
      </w:r>
      <w:r>
        <w:t>) in test well FW221 (</w:t>
      </w:r>
      <w:r w:rsidR="00C11E57">
        <w:fldChar w:fldCharType="begin"/>
      </w:r>
      <w:r w:rsidR="00C11E57">
        <w:instrText xml:space="preserve"> REF _Ref486660345 \h </w:instrText>
      </w:r>
      <w:r w:rsidR="00C11E57">
        <w:fldChar w:fldCharType="separate"/>
      </w:r>
      <w:r w:rsidR="001175BB">
        <w:t xml:space="preserve">Figure </w:t>
      </w:r>
      <w:r w:rsidR="001175BB">
        <w:rPr>
          <w:noProof/>
        </w:rPr>
        <w:t>3</w:t>
      </w:r>
      <w:r w:rsidR="001175BB">
        <w:t>.</w:t>
      </w:r>
      <w:r w:rsidR="001175BB">
        <w:rPr>
          <w:noProof/>
        </w:rPr>
        <w:t>4</w:t>
      </w:r>
      <w:r w:rsidR="00C11E57">
        <w:fldChar w:fldCharType="end"/>
      </w:r>
      <w:r w:rsidR="00C11E57">
        <w:t xml:space="preserve"> and </w:t>
      </w:r>
      <w:r w:rsidR="00C11E57">
        <w:fldChar w:fldCharType="begin"/>
      </w:r>
      <w:r w:rsidR="00C11E57">
        <w:instrText xml:space="preserve"> REF _Ref486660376 \h </w:instrText>
      </w:r>
      <w:r w:rsidR="00C11E57">
        <w:fldChar w:fldCharType="separate"/>
      </w:r>
      <w:r w:rsidR="001175BB">
        <w:t xml:space="preserve">Table </w:t>
      </w:r>
      <w:r w:rsidR="001175BB">
        <w:rPr>
          <w:noProof/>
        </w:rPr>
        <w:t>3</w:t>
      </w:r>
      <w:r w:rsidR="001175BB">
        <w:t>.</w:t>
      </w:r>
      <w:r w:rsidR="001175BB">
        <w:rPr>
          <w:noProof/>
        </w:rPr>
        <w:t>2</w:t>
      </w:r>
      <w:r w:rsidR="00C11E57">
        <w:fldChar w:fldCharType="end"/>
      </w:r>
      <w:r>
        <w:t>)</w:t>
      </w:r>
      <w:r w:rsidR="000A5750">
        <w:t xml:space="preserve">. </w:t>
      </w:r>
      <w:r>
        <w:t>The saturated aquifer thickness (</w:t>
      </w:r>
      <w:r>
        <w:rPr>
          <w:rFonts w:cs="Times New Roman"/>
        </w:rPr>
        <w:t>≈</w:t>
      </w:r>
      <w:r>
        <w:t>2.4 m) was similar among all test wells (</w:t>
      </w:r>
      <w:r w:rsidR="00C11E57">
        <w:fldChar w:fldCharType="begin"/>
      </w:r>
      <w:r w:rsidR="00C11E57">
        <w:instrText xml:space="preserve"> REF _Ref486660376 \h </w:instrText>
      </w:r>
      <w:r w:rsidR="00C11E57">
        <w:fldChar w:fldCharType="separate"/>
      </w:r>
      <w:r w:rsidR="001175BB">
        <w:t xml:space="preserve">Table </w:t>
      </w:r>
      <w:r w:rsidR="001175BB">
        <w:rPr>
          <w:noProof/>
        </w:rPr>
        <w:t>3</w:t>
      </w:r>
      <w:r w:rsidR="001175BB">
        <w:t>.</w:t>
      </w:r>
      <w:r w:rsidR="001175BB">
        <w:rPr>
          <w:noProof/>
        </w:rPr>
        <w:t>2</w:t>
      </w:r>
      <w:r w:rsidR="00C11E57">
        <w:fldChar w:fldCharType="end"/>
      </w:r>
      <w:r>
        <w:t>)</w:t>
      </w:r>
      <w:r w:rsidR="000A5750">
        <w:t xml:space="preserve">. </w:t>
      </w:r>
      <w:r>
        <w:t>The drift times (t</w:t>
      </w:r>
      <w:r w:rsidRPr="001A1BB1">
        <w:rPr>
          <w:vertAlign w:val="subscript"/>
        </w:rPr>
        <w:t>d</w:t>
      </w:r>
      <w:r>
        <w:t>) were similar among five of the six wells (</w:t>
      </w:r>
      <w:r>
        <w:rPr>
          <w:rFonts w:cs="Times New Roman"/>
        </w:rPr>
        <w:t>≈1.8 hours</w:t>
      </w:r>
      <w:r>
        <w:t>) whereas the drift time in test well FW225 was notably short (</w:t>
      </w:r>
      <w:r>
        <w:rPr>
          <w:rFonts w:cs="Times New Roman"/>
        </w:rPr>
        <w:t>≈0.5 hours</w:t>
      </w:r>
      <w:r>
        <w:t>) (</w:t>
      </w:r>
      <w:r w:rsidR="00C11E57">
        <w:fldChar w:fldCharType="begin"/>
      </w:r>
      <w:r w:rsidR="00C11E57">
        <w:instrText xml:space="preserve"> REF _Ref486660376 \h </w:instrText>
      </w:r>
      <w:r w:rsidR="00C11E57">
        <w:fldChar w:fldCharType="separate"/>
      </w:r>
      <w:r w:rsidR="001175BB">
        <w:t xml:space="preserve">Table </w:t>
      </w:r>
      <w:r w:rsidR="001175BB">
        <w:rPr>
          <w:noProof/>
        </w:rPr>
        <w:t>3</w:t>
      </w:r>
      <w:r w:rsidR="001175BB">
        <w:t>.</w:t>
      </w:r>
      <w:r w:rsidR="001175BB">
        <w:rPr>
          <w:noProof/>
        </w:rPr>
        <w:t>2</w:t>
      </w:r>
      <w:r w:rsidR="00C11E57">
        <w:fldChar w:fldCharType="end"/>
      </w:r>
      <w:r>
        <w:t>)</w:t>
      </w:r>
      <w:r w:rsidR="000A5750">
        <w:t xml:space="preserve">. </w:t>
      </w:r>
      <w:r>
        <w:t>The percent mass recovery of bromide ranged from a low of 41% in test well FW225 to a high of 71% in test well FW221 (data not shown)</w:t>
      </w:r>
      <w:r w:rsidR="000A5750">
        <w:t xml:space="preserve">. </w:t>
      </w:r>
      <w:r>
        <w:t>In general, the experimental design, aquifer properties (</w:t>
      </w:r>
      <w:r w:rsidR="00C11E57">
        <w:fldChar w:fldCharType="begin"/>
      </w:r>
      <w:r w:rsidR="00C11E57">
        <w:instrText xml:space="preserve"> REF _Ref486659946 \h </w:instrText>
      </w:r>
      <w:r w:rsidR="00C11E57">
        <w:fldChar w:fldCharType="separate"/>
      </w:r>
      <w:r w:rsidR="001175BB">
        <w:t xml:space="preserve">Table </w:t>
      </w:r>
      <w:r w:rsidR="001175BB">
        <w:rPr>
          <w:noProof/>
        </w:rPr>
        <w:t>3</w:t>
      </w:r>
      <w:r w:rsidR="001175BB">
        <w:t>.</w:t>
      </w:r>
      <w:r w:rsidR="001175BB">
        <w:rPr>
          <w:noProof/>
        </w:rPr>
        <w:t>1</w:t>
      </w:r>
      <w:r w:rsidR="00C11E57">
        <w:fldChar w:fldCharType="end"/>
      </w:r>
      <w:r>
        <w:t>), and results of the push-pull tests (</w:t>
      </w:r>
      <w:r w:rsidR="00C11E57">
        <w:fldChar w:fldCharType="begin"/>
      </w:r>
      <w:r w:rsidR="00C11E57">
        <w:instrText xml:space="preserve"> REF _Ref486660376 \h </w:instrText>
      </w:r>
      <w:r w:rsidR="00C11E57">
        <w:fldChar w:fldCharType="separate"/>
      </w:r>
      <w:r w:rsidR="001175BB">
        <w:t xml:space="preserve">Table </w:t>
      </w:r>
      <w:r w:rsidR="001175BB">
        <w:rPr>
          <w:noProof/>
        </w:rPr>
        <w:t>3</w:t>
      </w:r>
      <w:r w:rsidR="001175BB">
        <w:t>.</w:t>
      </w:r>
      <w:r w:rsidR="001175BB">
        <w:rPr>
          <w:noProof/>
        </w:rPr>
        <w:t>2</w:t>
      </w:r>
      <w:r w:rsidR="00C11E57">
        <w:fldChar w:fldCharType="end"/>
      </w:r>
      <w:r>
        <w:t xml:space="preserve">) for this study were more similar to those from </w:t>
      </w:r>
      <w:r>
        <w:fldChar w:fldCharType="begin"/>
      </w:r>
      <w:r>
        <w:instrText xml:space="preserve"> ADDIN EN.CITE &lt;EndNote&gt;&lt;Cite AuthorYear="1"&gt;&lt;Author&gt;Istok&lt;/Author&gt;&lt;Year&gt;2013&lt;/Year&gt;&lt;RecNum&gt;549&lt;/RecNum&gt;&lt;DisplayText&gt;Istok (2013)&lt;/DisplayText&gt;&lt;record&gt;&lt;rec-number&gt;549&lt;/rec-number&gt;&lt;foreign-keys&gt;&lt;key app="EN" db-id="rzwe2tae7rs0abe55xgp55w8xtdf5xp9dwrd"&gt;549&lt;/key&gt;&lt;/foreign-keys&gt;&lt;ref-type name="Book"&gt;6&lt;/ref-type&gt;&lt;contributors&gt;&lt;authors&gt;&lt;author&gt;Jonathan David Istok&lt;/author&gt;&lt;/authors&gt;&lt;/contributors&gt;&lt;titles&gt;&lt;title&gt;Push-Pull Tests for Site Characterization&lt;/title&gt;&lt;secondary-title&gt;Lecture Notes in Earth System Sciences&lt;/secondary-title&gt;&lt;/titles&gt;&lt;dates&gt;&lt;year&gt;2013&lt;/year&gt;&lt;/dates&gt;&lt;pub-location&gt;Corvaillis, OR, USA&lt;/pub-location&gt;&lt;publisher&gt;Springer&lt;/publisher&gt;&lt;isbn&gt;2193-8571&lt;/isbn&gt;&lt;urls&gt;&lt;/urls&gt;&lt;electronic-resource-num&gt;10.1007/978-3-642-13920-8&lt;/electronic-resource-num&gt;&lt;/record&gt;&lt;/Cite&gt;&lt;/EndNote&gt;</w:instrText>
      </w:r>
      <w:r>
        <w:fldChar w:fldCharType="separate"/>
      </w:r>
      <w:hyperlink w:anchor="_ENREF_13" w:tooltip="Istok, 2013 #549" w:history="1">
        <w:r>
          <w:rPr>
            <w:noProof/>
          </w:rPr>
          <w:t>Istok (2013</w:t>
        </w:r>
      </w:hyperlink>
      <w:r>
        <w:rPr>
          <w:noProof/>
        </w:rPr>
        <w:t>)</w:t>
      </w:r>
      <w:r>
        <w:fldChar w:fldCharType="end"/>
      </w:r>
      <w:r>
        <w:t xml:space="preserve"> than from </w:t>
      </w:r>
      <w:r>
        <w:fldChar w:fldCharType="begin"/>
      </w:r>
      <w:r>
        <w:instrText xml:space="preserve"> ADDIN EN.CITE &lt;EndNote&gt;&lt;Cite AuthorYear="1"&gt;&lt;Author&gt;Hall&lt;/Author&gt;&lt;Year&gt;1991&lt;/Year&gt;&lt;RecNum&gt;107&lt;/RecNum&gt;&lt;DisplayText&gt;Hall et al. (1991)&lt;/DisplayText&gt;&lt;record&gt;&lt;rec-number&gt;107&lt;/rec-number&gt;&lt;foreign-keys&gt;&lt;key app="EN" db-id="rzwe2tae7rs0abe55xgp55w8xtdf5xp9dwrd"&gt;107&lt;/key&gt;&lt;/foreign-keys&gt;&lt;ref-type name="Journal Article"&gt;17&lt;/ref-type&gt;&lt;contributors&gt;&lt;authors&gt;&lt;author&gt;Hall, S. H.&lt;/author&gt;&lt;author&gt;Luttrell, S. P.&lt;/author&gt;&lt;author&gt;Cronin, W. E.&lt;/author&gt;&lt;/authors&gt;&lt;/contributors&gt;&lt;titles&gt;&lt;title&gt;A method for estimating effective porosity and groundwater velocity&lt;/title&gt;&lt;secondary-title&gt;Ground Water&lt;/secondary-title&gt;&lt;/titles&gt;&lt;periodical&gt;&lt;full-title&gt;Ground Water&lt;/full-title&gt;&lt;abbr-1&gt;Ground Water&lt;/abbr-1&gt;&lt;/periodical&gt;&lt;pages&gt;171-174&lt;/pages&gt;&lt;volume&gt;29&lt;/volume&gt;&lt;number&gt;2&lt;/number&gt;&lt;dates&gt;&lt;year&gt;1991&lt;/year&gt;&lt;pub-dates&gt;&lt;date&gt;Mar-Apr&lt;/date&gt;&lt;/pub-dates&gt;&lt;/dates&gt;&lt;isbn&gt;0017-467X&lt;/isbn&gt;&lt;accession-num&gt;WOS:A1991FA88300002&lt;/accession-num&gt;&lt;urls&gt;&lt;related-urls&gt;&lt;url&gt;&amp;lt;Go to ISI&amp;gt;://WOS:A1991FA88300002&lt;/url&gt;&lt;url&gt;http://onlinelibrary.wiley.com/doi/10.1111/j.1745-6584.1991.tb00506.x/abstract&lt;/url&gt;&lt;/related-urls&gt;&lt;/urls&gt;&lt;electronic-resource-num&gt;10.1111/j.1745-6584.1991.tb00506.x&lt;/electronic-resource-num&gt;&lt;/record&gt;&lt;/Cite&gt;&lt;/EndNote&gt;</w:instrText>
      </w:r>
      <w:r>
        <w:fldChar w:fldCharType="separate"/>
      </w:r>
      <w:hyperlink w:anchor="_ENREF_8" w:tooltip="Hall, 1991 #107" w:history="1">
        <w:r>
          <w:rPr>
            <w:noProof/>
          </w:rPr>
          <w:t>Hall et al. (1991</w:t>
        </w:r>
      </w:hyperlink>
      <w:r>
        <w:rPr>
          <w:noProof/>
        </w:rPr>
        <w:t>)</w:t>
      </w:r>
      <w:r>
        <w:fldChar w:fldCharType="end"/>
      </w:r>
      <w:r w:rsidR="000A5750">
        <w:t xml:space="preserve">. </w:t>
      </w:r>
      <w:r>
        <w:t>However, it should be noted that the drift times (t</w:t>
      </w:r>
      <w:r w:rsidRPr="00BA0EEA">
        <w:rPr>
          <w:vertAlign w:val="subscript"/>
        </w:rPr>
        <w:t>d</w:t>
      </w:r>
      <w:r>
        <w:t xml:space="preserve">) for this study were substantially less than </w:t>
      </w:r>
      <w:r>
        <w:fldChar w:fldCharType="begin"/>
      </w:r>
      <w:r>
        <w:instrText xml:space="preserve"> ADDIN EN.CITE &lt;EndNote&gt;&lt;Cite AuthorYear="1"&gt;&lt;Author&gt;Istok&lt;/Author&gt;&lt;Year&gt;2013&lt;/Year&gt;&lt;RecNum&gt;549&lt;/RecNum&gt;&lt;DisplayText&gt;Istok (2013)&lt;/DisplayText&gt;&lt;record&gt;&lt;rec-number&gt;549&lt;/rec-number&gt;&lt;foreign-keys&gt;&lt;key app="EN" db-id="rzwe2tae7rs0abe55xgp55w8xtdf5xp9dwrd"&gt;549&lt;/key&gt;&lt;/foreign-keys&gt;&lt;ref-type name="Book"&gt;6&lt;/ref-type&gt;&lt;contributors&gt;&lt;authors&gt;&lt;author&gt;Jonathan David Istok&lt;/author&gt;&lt;/authors&gt;&lt;/contributors&gt;&lt;titles&gt;&lt;title&gt;Push-Pull Tests for Site Characterization&lt;/title&gt;&lt;secondary-title&gt;Lecture Notes in Earth System Sciences&lt;/secondary-title&gt;&lt;/titles&gt;&lt;dates&gt;&lt;year&gt;2013&lt;/year&gt;&lt;/dates&gt;&lt;pub-location&gt;Corvaillis, OR, USA&lt;/pub-location&gt;&lt;publisher&gt;Springer&lt;/publisher&gt;&lt;isbn&gt;2193-8571&lt;/isbn&gt;&lt;urls&gt;&lt;/urls&gt;&lt;electronic-resource-num&gt;10.1007/978-3-642-13920-8&lt;/electronic-resource-num&gt;&lt;/record&gt;&lt;/Cite&gt;&lt;/EndNote&gt;</w:instrText>
      </w:r>
      <w:r>
        <w:fldChar w:fldCharType="separate"/>
      </w:r>
      <w:hyperlink w:anchor="_ENREF_13" w:tooltip="Istok, 2013 #549" w:history="1">
        <w:r>
          <w:rPr>
            <w:noProof/>
          </w:rPr>
          <w:t>Istok (2013</w:t>
        </w:r>
      </w:hyperlink>
      <w:r>
        <w:rPr>
          <w:noProof/>
        </w:rPr>
        <w:t>)</w:t>
      </w:r>
      <w:r>
        <w:fldChar w:fldCharType="end"/>
      </w:r>
      <w:r>
        <w:t>.</w:t>
      </w:r>
    </w:p>
    <w:p w14:paraId="18B00B0C" w14:textId="77680F0A" w:rsidR="00C30E64" w:rsidRDefault="00C30E64" w:rsidP="00C30E64">
      <w:pPr>
        <w:ind w:firstLine="720"/>
      </w:pPr>
      <w:r w:rsidRPr="00BC7184">
        <w:t>The effective porosity (n</w:t>
      </w:r>
      <w:r w:rsidRPr="00BC7184">
        <w:rPr>
          <w:vertAlign w:val="subscript"/>
        </w:rPr>
        <w:t>e</w:t>
      </w:r>
      <w:r w:rsidRPr="00BC7184">
        <w:t>) for each test well was calculated by inputting the parameters from Table</w:t>
      </w:r>
      <w:r w:rsidRPr="001A1BB1">
        <w:t>s 1 and</w:t>
      </w:r>
      <w:r w:rsidRPr="00D45016">
        <w:t xml:space="preserve"> </w:t>
      </w:r>
      <w:r w:rsidRPr="001A1BB1">
        <w:t>2</w:t>
      </w:r>
      <w:r w:rsidRPr="00D45016">
        <w:t xml:space="preserve"> into </w:t>
      </w:r>
      <w:r w:rsidRPr="001A1BB1">
        <w:t xml:space="preserve">the expanded and truncated </w:t>
      </w:r>
      <w:r w:rsidRPr="00D45016">
        <w:t>equation</w:t>
      </w:r>
      <w:r w:rsidRPr="001A1BB1">
        <w:t>s,</w:t>
      </w:r>
      <w:r w:rsidRPr="00D45016">
        <w:t xml:space="preserve"> (</w:t>
      </w:r>
      <w:r w:rsidRPr="001A1BB1">
        <w:t>18</w:t>
      </w:r>
      <w:r w:rsidRPr="00D45016">
        <w:t>)</w:t>
      </w:r>
      <w:r w:rsidRPr="001A1BB1">
        <w:t xml:space="preserve"> and (20), respectively</w:t>
      </w:r>
      <w:r w:rsidR="000A5750">
        <w:t xml:space="preserve">. </w:t>
      </w:r>
      <w:r w:rsidRPr="00D45016">
        <w:t>The</w:t>
      </w:r>
      <w:r>
        <w:t xml:space="preserve"> </w:t>
      </w:r>
      <w:r w:rsidRPr="00D45016">
        <w:t>effective porosity</w:t>
      </w:r>
      <w:r w:rsidRPr="001A1BB1">
        <w:t xml:space="preserve"> (n</w:t>
      </w:r>
      <w:r w:rsidRPr="001A1BB1">
        <w:rPr>
          <w:vertAlign w:val="subscript"/>
        </w:rPr>
        <w:t>e1</w:t>
      </w:r>
      <w:r w:rsidRPr="001A1BB1">
        <w:t xml:space="preserve">), per equation (18), </w:t>
      </w:r>
      <w:r w:rsidRPr="00D45016">
        <w:t>ranged from a low of 0.</w:t>
      </w:r>
      <w:r w:rsidRPr="001A1BB1">
        <w:t>6</w:t>
      </w:r>
      <w:r w:rsidRPr="00D45016">
        <w:t>% in test well FW22</w:t>
      </w:r>
      <w:r w:rsidRPr="001A1BB1">
        <w:t>0</w:t>
      </w:r>
      <w:r w:rsidRPr="00D45016">
        <w:t xml:space="preserve"> to a high of </w:t>
      </w:r>
      <w:r w:rsidRPr="001A1BB1">
        <w:t>5</w:t>
      </w:r>
      <w:r w:rsidRPr="00D45016">
        <w:t>.5</w:t>
      </w:r>
      <w:r w:rsidRPr="00BC7184">
        <w:t>% in test well FW22</w:t>
      </w:r>
      <w:r w:rsidRPr="001A1BB1">
        <w:t>1</w:t>
      </w:r>
      <w:r w:rsidRPr="00D45016">
        <w:t xml:space="preserve"> (</w:t>
      </w:r>
      <w:r w:rsidR="00C11E57">
        <w:fldChar w:fldCharType="begin"/>
      </w:r>
      <w:r w:rsidR="00C11E57">
        <w:instrText xml:space="preserve"> REF _Ref486660441 \h </w:instrText>
      </w:r>
      <w:r w:rsidR="00C11E57">
        <w:fldChar w:fldCharType="separate"/>
      </w:r>
      <w:r w:rsidR="001175BB">
        <w:t xml:space="preserve">Table </w:t>
      </w:r>
      <w:r w:rsidR="001175BB">
        <w:rPr>
          <w:noProof/>
        </w:rPr>
        <w:t>3</w:t>
      </w:r>
      <w:r w:rsidR="001175BB">
        <w:t>.</w:t>
      </w:r>
      <w:r w:rsidR="001175BB">
        <w:rPr>
          <w:noProof/>
        </w:rPr>
        <w:t>3</w:t>
      </w:r>
      <w:r w:rsidR="00C11E57">
        <w:fldChar w:fldCharType="end"/>
      </w:r>
      <w:r w:rsidRPr="00D45016">
        <w:t>)</w:t>
      </w:r>
      <w:r w:rsidR="000A5750">
        <w:t xml:space="preserve">. </w:t>
      </w:r>
      <w:r w:rsidRPr="001A1BB1">
        <w:t>It should be noted that the negative value of n</w:t>
      </w:r>
      <w:r w:rsidRPr="001A1BB1">
        <w:rPr>
          <w:vertAlign w:val="subscript"/>
        </w:rPr>
        <w:t xml:space="preserve">e1 </w:t>
      </w:r>
      <w:r w:rsidRPr="001A1BB1">
        <w:t xml:space="preserve">(-0.1%) in test well FW225 indicated that one or more input parameters for equation (18) was not </w:t>
      </w:r>
    </w:p>
    <w:p w14:paraId="34A47818" w14:textId="76C0EDBD" w:rsidR="00A873A8" w:rsidRDefault="007B6536" w:rsidP="007B6536">
      <w:r>
        <w:rPr>
          <w:noProof/>
          <w:lang w:eastAsia="zh-CN" w:bidi="ar-SA"/>
        </w:rPr>
        <w:lastRenderedPageBreak/>
        <w:drawing>
          <wp:inline distT="0" distB="0" distL="0" distR="0" wp14:anchorId="39796945" wp14:editId="01C85D67">
            <wp:extent cx="5943600" cy="587629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5876290"/>
                    </a:xfrm>
                    <a:prstGeom prst="rect">
                      <a:avLst/>
                    </a:prstGeom>
                    <a:noFill/>
                  </pic:spPr>
                </pic:pic>
              </a:graphicData>
            </a:graphic>
          </wp:inline>
        </w:drawing>
      </w:r>
    </w:p>
    <w:p w14:paraId="249FF50E" w14:textId="77777777" w:rsidR="007B6536" w:rsidRDefault="007B6536" w:rsidP="007B6536">
      <w:pPr>
        <w:pStyle w:val="Caption"/>
      </w:pPr>
      <w:bookmarkStart w:id="133" w:name="_Ref486660345"/>
      <w:bookmarkStart w:id="134" w:name="_Toc498504898"/>
      <w:r>
        <w:t xml:space="preserve">Figure </w:t>
      </w:r>
      <w:r w:rsidR="00CA2C3C">
        <w:fldChar w:fldCharType="begin"/>
      </w:r>
      <w:r w:rsidR="00CA2C3C">
        <w:instrText xml:space="preserve"> STYLEREF 1 \s </w:instrText>
      </w:r>
      <w:r w:rsidR="00CA2C3C">
        <w:fldChar w:fldCharType="separate"/>
      </w:r>
      <w:r w:rsidR="00E70E91">
        <w:rPr>
          <w:noProof/>
        </w:rPr>
        <w:t>3</w:t>
      </w:r>
      <w:r w:rsidR="00CA2C3C">
        <w:rPr>
          <w:noProof/>
        </w:rPr>
        <w:fldChar w:fldCharType="end"/>
      </w:r>
      <w:r w:rsidR="00E70E91">
        <w:t>.</w:t>
      </w:r>
      <w:r w:rsidR="00CA2C3C">
        <w:fldChar w:fldCharType="begin"/>
      </w:r>
      <w:r w:rsidR="00CA2C3C">
        <w:instrText xml:space="preserve"> SEQ Figure \* ARABIC \s 1 </w:instrText>
      </w:r>
      <w:r w:rsidR="00CA2C3C">
        <w:fldChar w:fldCharType="separate"/>
      </w:r>
      <w:r w:rsidR="00E70E91">
        <w:rPr>
          <w:noProof/>
        </w:rPr>
        <w:t>4</w:t>
      </w:r>
      <w:r w:rsidR="00CA2C3C">
        <w:rPr>
          <w:noProof/>
        </w:rPr>
        <w:fldChar w:fldCharType="end"/>
      </w:r>
      <w:bookmarkEnd w:id="133"/>
      <w:r>
        <w:t xml:space="preserve"> </w:t>
      </w:r>
      <w:r w:rsidRPr="007B6536">
        <w:rPr>
          <w:b w:val="0"/>
        </w:rPr>
        <w:t>Push-pull test data for all six test wells (FW220 through FW225) showing concentration of bromide (y axis) versus and time elapsed (x axis) during the pull phase of test, error bars represent the analytical uncertainty (</w:t>
      </w:r>
      <w:r w:rsidRPr="007B6536">
        <w:rPr>
          <w:rFonts w:cs="Times New Roman"/>
          <w:b w:val="0"/>
        </w:rPr>
        <w:t>± 4%</w:t>
      </w:r>
      <w:r w:rsidRPr="007B6536">
        <w:rPr>
          <w:b w:val="0"/>
        </w:rPr>
        <w:t>)</w:t>
      </w:r>
      <w:bookmarkEnd w:id="134"/>
      <w:r>
        <w:t xml:space="preserve"> </w:t>
      </w:r>
    </w:p>
    <w:p w14:paraId="2788E6BD" w14:textId="77777777" w:rsidR="007B6536" w:rsidRDefault="007B6536" w:rsidP="007B6536"/>
    <w:p w14:paraId="4A08B388" w14:textId="77777777" w:rsidR="007B6536" w:rsidRDefault="007B6536" w:rsidP="007B6536"/>
    <w:p w14:paraId="4ADC3E33" w14:textId="77777777" w:rsidR="007B6536" w:rsidRDefault="007B6536" w:rsidP="007B6536"/>
    <w:p w14:paraId="7E4B038A" w14:textId="77777777" w:rsidR="007B6536" w:rsidRDefault="007B6536" w:rsidP="007B6536">
      <w:pPr>
        <w:pStyle w:val="Caption"/>
        <w:keepNext/>
      </w:pPr>
      <w:bookmarkStart w:id="135" w:name="_Ref486660376"/>
      <w:bookmarkStart w:id="136" w:name="_Toc498504884"/>
      <w:r>
        <w:lastRenderedPageBreak/>
        <w:t xml:space="preserve">Table </w:t>
      </w:r>
      <w:r w:rsidR="00CA2C3C">
        <w:fldChar w:fldCharType="begin"/>
      </w:r>
      <w:r w:rsidR="00CA2C3C">
        <w:instrText xml:space="preserve"> STYLEREF 1 \s </w:instrText>
      </w:r>
      <w:r w:rsidR="00CA2C3C">
        <w:fldChar w:fldCharType="separate"/>
      </w:r>
      <w:r w:rsidR="002105EE">
        <w:rPr>
          <w:noProof/>
        </w:rPr>
        <w:t>3</w:t>
      </w:r>
      <w:r w:rsidR="00CA2C3C">
        <w:rPr>
          <w:noProof/>
        </w:rPr>
        <w:fldChar w:fldCharType="end"/>
      </w:r>
      <w:r w:rsidR="002105EE">
        <w:t>.</w:t>
      </w:r>
      <w:r w:rsidR="00CA2C3C">
        <w:fldChar w:fldCharType="begin"/>
      </w:r>
      <w:r w:rsidR="00CA2C3C">
        <w:instrText xml:space="preserve"> SEQ Table \* ARABIC \s 1 </w:instrText>
      </w:r>
      <w:r w:rsidR="00CA2C3C">
        <w:fldChar w:fldCharType="separate"/>
      </w:r>
      <w:r w:rsidR="002105EE">
        <w:rPr>
          <w:noProof/>
        </w:rPr>
        <w:t>2</w:t>
      </w:r>
      <w:r w:rsidR="00CA2C3C">
        <w:rPr>
          <w:noProof/>
        </w:rPr>
        <w:fldChar w:fldCharType="end"/>
      </w:r>
      <w:bookmarkEnd w:id="135"/>
      <w:r>
        <w:t xml:space="preserve"> </w:t>
      </w:r>
      <w:r w:rsidRPr="007B6536">
        <w:rPr>
          <w:b w:val="0"/>
        </w:rPr>
        <w:t xml:space="preserve">Results from single-well push-pull tests for this study (FW220 through FW225) and from </w:t>
      </w:r>
      <w:r w:rsidRPr="007B6536">
        <w:rPr>
          <w:b w:val="0"/>
        </w:rPr>
        <w:fldChar w:fldCharType="begin"/>
      </w:r>
      <w:r w:rsidRPr="007B6536">
        <w:rPr>
          <w:b w:val="0"/>
        </w:rPr>
        <w:instrText xml:space="preserve"> ADDIN EN.CITE &lt;EndNote&gt;&lt;Cite AuthorYear="1"&gt;&lt;Author&gt;Hall&lt;/Author&gt;&lt;Year&gt;1991&lt;/Year&gt;&lt;RecNum&gt;107&lt;/RecNum&gt;&lt;DisplayText&gt;Hall et al. (1991)&lt;/DisplayText&gt;&lt;record&gt;&lt;rec-number&gt;107&lt;/rec-number&gt;&lt;foreign-keys&gt;&lt;key app="EN" db-id="rzwe2tae7rs0abe55xgp55w8xtdf5xp9dwrd"&gt;107&lt;/key&gt;&lt;/foreign-keys&gt;&lt;ref-type name="Journal Article"&gt;17&lt;/ref-type&gt;&lt;contributors&gt;&lt;authors&gt;&lt;author&gt;Hall, S. H.&lt;/author&gt;&lt;author&gt;Luttrell, S. P.&lt;/author&gt;&lt;author&gt;Cronin, W. E.&lt;/author&gt;&lt;/authors&gt;&lt;/contributors&gt;&lt;titles&gt;&lt;title&gt;A method for estimating effective porosity and groundwater velocity&lt;/title&gt;&lt;secondary-title&gt;Ground Water&lt;/secondary-title&gt;&lt;/titles&gt;&lt;periodical&gt;&lt;full-title&gt;Ground Water&lt;/full-title&gt;&lt;abbr-1&gt;Ground Water&lt;/abbr-1&gt;&lt;/periodical&gt;&lt;pages&gt;171-174&lt;/pages&gt;&lt;volume&gt;29&lt;/volume&gt;&lt;number&gt;2&lt;/number&gt;&lt;dates&gt;&lt;year&gt;1991&lt;/year&gt;&lt;pub-dates&gt;&lt;date&gt;Mar-Apr&lt;/date&gt;&lt;/pub-dates&gt;&lt;/dates&gt;&lt;isbn&gt;0017-467X&lt;/isbn&gt;&lt;accession-num&gt;WOS:A1991FA88300002&lt;/accession-num&gt;&lt;urls&gt;&lt;related-urls&gt;&lt;url&gt;&amp;lt;Go to ISI&amp;gt;://WOS:A1991FA88300002&lt;/url&gt;&lt;url&gt;http://onlinelibrary.wiley.com/doi/10.1111/j.1745-6584.1991.tb00506.x/abstract&lt;/url&gt;&lt;/related-urls&gt;&lt;/urls&gt;&lt;electronic-resource-num&gt;10.1111/j.1745-6584.1991.tb00506.x&lt;/electronic-resource-num&gt;&lt;/record&gt;&lt;/Cite&gt;&lt;/EndNote&gt;</w:instrText>
      </w:r>
      <w:r w:rsidRPr="007B6536">
        <w:rPr>
          <w:b w:val="0"/>
        </w:rPr>
        <w:fldChar w:fldCharType="separate"/>
      </w:r>
      <w:hyperlink w:anchor="_ENREF_8" w:tooltip="Hall, 1991 #107" w:history="1">
        <w:r w:rsidRPr="007B6536">
          <w:rPr>
            <w:b w:val="0"/>
            <w:noProof/>
          </w:rPr>
          <w:t>Hall et al. (1991</w:t>
        </w:r>
      </w:hyperlink>
      <w:r w:rsidRPr="007B6536">
        <w:rPr>
          <w:b w:val="0"/>
          <w:noProof/>
        </w:rPr>
        <w:t>)</w:t>
      </w:r>
      <w:r w:rsidRPr="007B6536">
        <w:rPr>
          <w:b w:val="0"/>
        </w:rPr>
        <w:fldChar w:fldCharType="end"/>
      </w:r>
      <w:r w:rsidRPr="007B6536">
        <w:rPr>
          <w:b w:val="0"/>
        </w:rPr>
        <w:t xml:space="preserve"> and </w:t>
      </w:r>
      <w:r w:rsidRPr="007B6536">
        <w:rPr>
          <w:b w:val="0"/>
        </w:rPr>
        <w:fldChar w:fldCharType="begin"/>
      </w:r>
      <w:r w:rsidRPr="007B6536">
        <w:rPr>
          <w:b w:val="0"/>
        </w:rPr>
        <w:instrText xml:space="preserve"> ADDIN EN.CITE &lt;EndNote&gt;&lt;Cite AuthorYear="1"&gt;&lt;Author&gt;Istok&lt;/Author&gt;&lt;Year&gt;2013&lt;/Year&gt;&lt;RecNum&gt;549&lt;/RecNum&gt;&lt;DisplayText&gt;Istok (2013)&lt;/DisplayText&gt;&lt;record&gt;&lt;rec-number&gt;549&lt;/rec-number&gt;&lt;foreign-keys&gt;&lt;key app="EN" db-id="rzwe2tae7rs0abe55xgp55w8xtdf5xp9dwrd"&gt;549&lt;/key&gt;&lt;/foreign-keys&gt;&lt;ref-type name="Book"&gt;6&lt;/ref-type&gt;&lt;contributors&gt;&lt;authors&gt;&lt;author&gt;Jonathan David Istok&lt;/author&gt;&lt;/authors&gt;&lt;/contributors&gt;&lt;titles&gt;&lt;title&gt;Push-Pull Tests for Site Characterization&lt;/title&gt;&lt;secondary-title&gt;Lecture Notes in Earth System Sciences&lt;/secondary-title&gt;&lt;/titles&gt;&lt;dates&gt;&lt;year&gt;2013&lt;/year&gt;&lt;/dates&gt;&lt;pub-location&gt;Corvaillis, OR, USA&lt;/pub-location&gt;&lt;publisher&gt;Springer&lt;/publisher&gt;&lt;isbn&gt;2193-8571&lt;/isbn&gt;&lt;urls&gt;&lt;/urls&gt;&lt;electronic-resource-num&gt;10.1007/978-3-642-13920-8&lt;/electronic-resource-num&gt;&lt;/record&gt;&lt;/Cite&gt;&lt;/EndNote&gt;</w:instrText>
      </w:r>
      <w:r w:rsidRPr="007B6536">
        <w:rPr>
          <w:b w:val="0"/>
        </w:rPr>
        <w:fldChar w:fldCharType="separate"/>
      </w:r>
      <w:hyperlink w:anchor="_ENREF_13" w:tooltip="Istok, 2013 #549" w:history="1">
        <w:r w:rsidRPr="007B6536">
          <w:rPr>
            <w:b w:val="0"/>
            <w:noProof/>
          </w:rPr>
          <w:t>Istok (2013</w:t>
        </w:r>
      </w:hyperlink>
      <w:r w:rsidRPr="007B6536">
        <w:rPr>
          <w:b w:val="0"/>
          <w:noProof/>
        </w:rPr>
        <w:t>)</w:t>
      </w:r>
      <w:bookmarkEnd w:id="136"/>
      <w:r w:rsidRPr="007B6536">
        <w:rPr>
          <w:b w:val="0"/>
        </w:rPr>
        <w:fldChar w:fldCharType="end"/>
      </w:r>
      <w:r>
        <w:t xml:space="preserve"> </w:t>
      </w:r>
    </w:p>
    <w:tbl>
      <w:tblPr>
        <w:tblW w:w="9360" w:type="dxa"/>
        <w:jc w:val="center"/>
        <w:tblLayout w:type="fixed"/>
        <w:tblCellMar>
          <w:left w:w="115" w:type="dxa"/>
          <w:right w:w="115" w:type="dxa"/>
        </w:tblCellMar>
        <w:tblLook w:val="04A0" w:firstRow="1" w:lastRow="0" w:firstColumn="1" w:lastColumn="0" w:noHBand="0" w:noVBand="1"/>
      </w:tblPr>
      <w:tblGrid>
        <w:gridCol w:w="1338"/>
        <w:gridCol w:w="1337"/>
        <w:gridCol w:w="1337"/>
        <w:gridCol w:w="1337"/>
        <w:gridCol w:w="1337"/>
        <w:gridCol w:w="1337"/>
        <w:gridCol w:w="1337"/>
      </w:tblGrid>
      <w:tr w:rsidR="007B6536" w:rsidRPr="0041408A" w14:paraId="7CACB3EB" w14:textId="77777777" w:rsidTr="00DD3BC8">
        <w:trPr>
          <w:trHeight w:val="576"/>
          <w:jc w:val="center"/>
        </w:trPr>
        <w:tc>
          <w:tcPr>
            <w:tcW w:w="1338" w:type="dxa"/>
            <w:tcBorders>
              <w:top w:val="single" w:sz="4" w:space="0" w:color="auto"/>
              <w:left w:val="nil"/>
              <w:bottom w:val="nil"/>
              <w:right w:val="nil"/>
            </w:tcBorders>
            <w:shd w:val="clear" w:color="auto" w:fill="auto"/>
            <w:noWrap/>
            <w:vAlign w:val="center"/>
            <w:hideMark/>
          </w:tcPr>
          <w:p w14:paraId="1ED3BD3F" w14:textId="77777777" w:rsidR="007B6536" w:rsidRPr="00007259" w:rsidRDefault="007B6536" w:rsidP="00DD3BC8">
            <w:pPr>
              <w:spacing w:line="240" w:lineRule="auto"/>
              <w:jc w:val="center"/>
              <w:rPr>
                <w:rFonts w:eastAsia="Times New Roman" w:cs="Times New Roman"/>
                <w:szCs w:val="24"/>
              </w:rPr>
            </w:pPr>
            <w:r w:rsidRPr="00007259">
              <w:rPr>
                <w:rFonts w:eastAsia="Times New Roman" w:cs="Times New Roman"/>
                <w:szCs w:val="24"/>
              </w:rPr>
              <w:t>Test</w:t>
            </w:r>
          </w:p>
        </w:tc>
        <w:tc>
          <w:tcPr>
            <w:tcW w:w="1337" w:type="dxa"/>
            <w:tcBorders>
              <w:top w:val="single" w:sz="4" w:space="0" w:color="auto"/>
              <w:left w:val="nil"/>
              <w:bottom w:val="nil"/>
              <w:right w:val="nil"/>
            </w:tcBorders>
            <w:shd w:val="clear" w:color="auto" w:fill="auto"/>
            <w:noWrap/>
            <w:vAlign w:val="center"/>
          </w:tcPr>
          <w:p w14:paraId="3C0FD3F5" w14:textId="77777777" w:rsidR="007B6536" w:rsidRPr="00007259" w:rsidRDefault="007B6536" w:rsidP="00DD3BC8">
            <w:pPr>
              <w:spacing w:line="240" w:lineRule="auto"/>
              <w:jc w:val="center"/>
              <w:rPr>
                <w:rFonts w:eastAsia="Times New Roman" w:cs="Times New Roman"/>
                <w:szCs w:val="24"/>
              </w:rPr>
            </w:pPr>
            <w:r>
              <w:t>b</w:t>
            </w:r>
          </w:p>
        </w:tc>
        <w:tc>
          <w:tcPr>
            <w:tcW w:w="1337" w:type="dxa"/>
            <w:tcBorders>
              <w:top w:val="single" w:sz="4" w:space="0" w:color="auto"/>
              <w:left w:val="nil"/>
              <w:bottom w:val="nil"/>
              <w:right w:val="nil"/>
            </w:tcBorders>
            <w:shd w:val="clear" w:color="auto" w:fill="auto"/>
            <w:noWrap/>
            <w:vAlign w:val="center"/>
          </w:tcPr>
          <w:p w14:paraId="46432F14" w14:textId="77777777" w:rsidR="007B6536" w:rsidRPr="00262192" w:rsidRDefault="007B6536" w:rsidP="00DD3BC8">
            <w:pPr>
              <w:spacing w:line="240" w:lineRule="auto"/>
              <w:jc w:val="center"/>
              <w:rPr>
                <w:rFonts w:eastAsia="Times New Roman" w:cs="Times New Roman"/>
                <w:szCs w:val="24"/>
              </w:rPr>
            </w:pPr>
            <w:r>
              <w:rPr>
                <w:rFonts w:cs="Times New Roman"/>
              </w:rPr>
              <w:t>ṫ</w:t>
            </w:r>
            <w:r>
              <w:rPr>
                <w:vertAlign w:val="subscript"/>
              </w:rPr>
              <w:t>i</w:t>
            </w:r>
          </w:p>
        </w:tc>
        <w:tc>
          <w:tcPr>
            <w:tcW w:w="1337" w:type="dxa"/>
            <w:tcBorders>
              <w:top w:val="single" w:sz="4" w:space="0" w:color="auto"/>
              <w:left w:val="nil"/>
              <w:bottom w:val="nil"/>
              <w:right w:val="nil"/>
            </w:tcBorders>
            <w:vAlign w:val="center"/>
          </w:tcPr>
          <w:p w14:paraId="1A71DA46" w14:textId="77777777" w:rsidR="007B6536" w:rsidRDefault="007B6536" w:rsidP="00DD3BC8">
            <w:pPr>
              <w:spacing w:line="240" w:lineRule="auto"/>
              <w:jc w:val="center"/>
            </w:pPr>
            <w:r>
              <w:rPr>
                <w:rFonts w:cs="Times New Roman"/>
              </w:rPr>
              <w:t>Ѷ</w:t>
            </w:r>
            <w:r>
              <w:rPr>
                <w:vertAlign w:val="subscript"/>
              </w:rPr>
              <w:t>i</w:t>
            </w:r>
          </w:p>
        </w:tc>
        <w:tc>
          <w:tcPr>
            <w:tcW w:w="1337" w:type="dxa"/>
            <w:tcBorders>
              <w:top w:val="single" w:sz="4" w:space="0" w:color="auto"/>
              <w:left w:val="nil"/>
              <w:bottom w:val="nil"/>
              <w:right w:val="nil"/>
            </w:tcBorders>
            <w:vAlign w:val="center"/>
          </w:tcPr>
          <w:p w14:paraId="1CCF7843" w14:textId="77777777" w:rsidR="007B6536" w:rsidRDefault="007B6536" w:rsidP="00DD3BC8">
            <w:pPr>
              <w:spacing w:line="240" w:lineRule="auto"/>
              <w:jc w:val="center"/>
            </w:pPr>
            <w:r>
              <w:t>t</w:t>
            </w:r>
            <w:r w:rsidRPr="001A1BB1">
              <w:rPr>
                <w:vertAlign w:val="subscript"/>
              </w:rPr>
              <w:t>d</w:t>
            </w:r>
          </w:p>
        </w:tc>
        <w:tc>
          <w:tcPr>
            <w:tcW w:w="1337" w:type="dxa"/>
            <w:tcBorders>
              <w:top w:val="single" w:sz="4" w:space="0" w:color="auto"/>
              <w:left w:val="nil"/>
              <w:bottom w:val="nil"/>
              <w:right w:val="nil"/>
            </w:tcBorders>
            <w:vAlign w:val="center"/>
          </w:tcPr>
          <w:p w14:paraId="5E456B18" w14:textId="77777777" w:rsidR="007B6536" w:rsidRDefault="007B6536" w:rsidP="00DD3BC8">
            <w:pPr>
              <w:spacing w:line="240" w:lineRule="auto"/>
              <w:jc w:val="center"/>
            </w:pPr>
            <w:r>
              <w:rPr>
                <w:rFonts w:cs="Times New Roman"/>
              </w:rPr>
              <w:t>ṫ</w:t>
            </w:r>
            <w:r>
              <w:rPr>
                <w:vertAlign w:val="subscript"/>
              </w:rPr>
              <w:t>e</w:t>
            </w:r>
          </w:p>
        </w:tc>
        <w:tc>
          <w:tcPr>
            <w:tcW w:w="1337" w:type="dxa"/>
            <w:tcBorders>
              <w:top w:val="single" w:sz="4" w:space="0" w:color="auto"/>
              <w:left w:val="nil"/>
              <w:bottom w:val="nil"/>
              <w:right w:val="nil"/>
            </w:tcBorders>
            <w:vAlign w:val="center"/>
          </w:tcPr>
          <w:p w14:paraId="282A5FDF" w14:textId="77777777" w:rsidR="007B6536" w:rsidRDefault="007B6536" w:rsidP="00DD3BC8">
            <w:pPr>
              <w:spacing w:line="240" w:lineRule="auto"/>
              <w:jc w:val="center"/>
            </w:pPr>
            <w:r>
              <w:rPr>
                <w:rFonts w:cs="Times New Roman"/>
              </w:rPr>
              <w:t>Ѷ</w:t>
            </w:r>
            <w:r>
              <w:rPr>
                <w:vertAlign w:val="subscript"/>
              </w:rPr>
              <w:t>e</w:t>
            </w:r>
          </w:p>
        </w:tc>
      </w:tr>
      <w:tr w:rsidR="007B6536" w:rsidRPr="0041408A" w14:paraId="2F979E4E" w14:textId="77777777" w:rsidTr="00DD3BC8">
        <w:trPr>
          <w:trHeight w:val="576"/>
          <w:jc w:val="center"/>
        </w:trPr>
        <w:tc>
          <w:tcPr>
            <w:tcW w:w="1338" w:type="dxa"/>
            <w:tcBorders>
              <w:top w:val="nil"/>
              <w:left w:val="nil"/>
              <w:bottom w:val="single" w:sz="4" w:space="0" w:color="auto"/>
              <w:right w:val="nil"/>
            </w:tcBorders>
            <w:shd w:val="clear" w:color="auto" w:fill="auto"/>
            <w:noWrap/>
            <w:vAlign w:val="center"/>
            <w:hideMark/>
          </w:tcPr>
          <w:p w14:paraId="087F2A46" w14:textId="77777777" w:rsidR="007B6536" w:rsidRPr="00007259" w:rsidRDefault="007B6536" w:rsidP="00DD3BC8">
            <w:pPr>
              <w:spacing w:line="240" w:lineRule="auto"/>
              <w:jc w:val="center"/>
              <w:rPr>
                <w:rFonts w:eastAsia="Times New Roman" w:cs="Times New Roman"/>
                <w:szCs w:val="24"/>
              </w:rPr>
            </w:pPr>
            <w:r w:rsidRPr="00007259">
              <w:rPr>
                <w:rFonts w:eastAsia="Times New Roman" w:cs="Times New Roman"/>
                <w:szCs w:val="24"/>
              </w:rPr>
              <w:t>Well</w:t>
            </w:r>
            <w:r>
              <w:rPr>
                <w:rFonts w:eastAsia="Times New Roman" w:cs="Times New Roman"/>
                <w:szCs w:val="24"/>
              </w:rPr>
              <w:t>/Study</w:t>
            </w:r>
          </w:p>
        </w:tc>
        <w:tc>
          <w:tcPr>
            <w:tcW w:w="1337" w:type="dxa"/>
            <w:tcBorders>
              <w:top w:val="nil"/>
              <w:left w:val="nil"/>
              <w:bottom w:val="single" w:sz="4" w:space="0" w:color="auto"/>
              <w:right w:val="nil"/>
            </w:tcBorders>
            <w:shd w:val="clear" w:color="auto" w:fill="auto"/>
            <w:noWrap/>
            <w:vAlign w:val="center"/>
          </w:tcPr>
          <w:p w14:paraId="11856220" w14:textId="77777777" w:rsidR="007B6536" w:rsidRPr="00007259" w:rsidRDefault="007B6536" w:rsidP="00DD3BC8">
            <w:pPr>
              <w:spacing w:line="240" w:lineRule="auto"/>
              <w:jc w:val="center"/>
              <w:rPr>
                <w:rFonts w:eastAsia="Times New Roman" w:cs="Times New Roman"/>
                <w:szCs w:val="24"/>
              </w:rPr>
            </w:pPr>
            <w:r>
              <w:t>(</w:t>
            </w:r>
            <w:r w:rsidRPr="00DA3683">
              <w:t>m</w:t>
            </w:r>
            <w:r>
              <w:t>)</w:t>
            </w:r>
          </w:p>
        </w:tc>
        <w:tc>
          <w:tcPr>
            <w:tcW w:w="1337" w:type="dxa"/>
            <w:tcBorders>
              <w:top w:val="nil"/>
              <w:left w:val="nil"/>
              <w:bottom w:val="single" w:sz="4" w:space="0" w:color="auto"/>
              <w:right w:val="nil"/>
            </w:tcBorders>
            <w:shd w:val="clear" w:color="auto" w:fill="auto"/>
            <w:noWrap/>
            <w:vAlign w:val="center"/>
          </w:tcPr>
          <w:p w14:paraId="45121CEC" w14:textId="77777777" w:rsidR="007B6536" w:rsidRPr="00262192" w:rsidRDefault="007B6536" w:rsidP="00DD3BC8">
            <w:pPr>
              <w:spacing w:line="240" w:lineRule="auto"/>
              <w:jc w:val="center"/>
              <w:rPr>
                <w:rFonts w:eastAsia="Times New Roman" w:cs="Times New Roman"/>
                <w:szCs w:val="24"/>
              </w:rPr>
            </w:pPr>
            <w:r>
              <w:rPr>
                <w:rFonts w:cs="Times New Roman"/>
                <w:szCs w:val="24"/>
              </w:rPr>
              <w:t>(s)</w:t>
            </w:r>
          </w:p>
        </w:tc>
        <w:tc>
          <w:tcPr>
            <w:tcW w:w="1337" w:type="dxa"/>
            <w:tcBorders>
              <w:top w:val="nil"/>
              <w:left w:val="nil"/>
              <w:bottom w:val="single" w:sz="4" w:space="0" w:color="auto"/>
              <w:right w:val="nil"/>
            </w:tcBorders>
            <w:vAlign w:val="center"/>
          </w:tcPr>
          <w:p w14:paraId="62EC6585" w14:textId="77777777" w:rsidR="007B6536" w:rsidRPr="001A1BB1" w:rsidRDefault="007B6536" w:rsidP="00DD3BC8">
            <w:pPr>
              <w:spacing w:line="240" w:lineRule="auto"/>
              <w:jc w:val="center"/>
              <w:rPr>
                <w:rFonts w:cs="Times New Roman"/>
                <w:szCs w:val="24"/>
                <w:vertAlign w:val="subscript"/>
              </w:rPr>
            </w:pPr>
            <w:r>
              <w:rPr>
                <w:rFonts w:cs="Times New Roman"/>
                <w:szCs w:val="24"/>
              </w:rPr>
              <w:t>(m</w:t>
            </w:r>
            <w:r w:rsidRPr="001A1BB1">
              <w:rPr>
                <w:rFonts w:cs="Times New Roman"/>
                <w:szCs w:val="24"/>
                <w:vertAlign w:val="superscript"/>
              </w:rPr>
              <w:t>3</w:t>
            </w:r>
            <w:r w:rsidRPr="001A1BB1">
              <w:rPr>
                <w:rFonts w:cs="Times New Roman"/>
                <w:szCs w:val="24"/>
              </w:rPr>
              <w:t>)</w:t>
            </w:r>
          </w:p>
        </w:tc>
        <w:tc>
          <w:tcPr>
            <w:tcW w:w="1337" w:type="dxa"/>
            <w:tcBorders>
              <w:top w:val="nil"/>
              <w:left w:val="nil"/>
              <w:bottom w:val="single" w:sz="4" w:space="0" w:color="auto"/>
              <w:right w:val="nil"/>
            </w:tcBorders>
            <w:vAlign w:val="center"/>
          </w:tcPr>
          <w:p w14:paraId="21FF8CB7" w14:textId="77777777" w:rsidR="007B6536" w:rsidRDefault="007B6536" w:rsidP="00DD3BC8">
            <w:pPr>
              <w:spacing w:line="240" w:lineRule="auto"/>
              <w:jc w:val="center"/>
              <w:rPr>
                <w:rFonts w:cs="Times New Roman"/>
                <w:szCs w:val="24"/>
              </w:rPr>
            </w:pPr>
            <w:r>
              <w:rPr>
                <w:rFonts w:cs="Times New Roman"/>
                <w:szCs w:val="24"/>
              </w:rPr>
              <w:t>(s)</w:t>
            </w:r>
          </w:p>
        </w:tc>
        <w:tc>
          <w:tcPr>
            <w:tcW w:w="1337" w:type="dxa"/>
            <w:tcBorders>
              <w:top w:val="nil"/>
              <w:left w:val="nil"/>
              <w:bottom w:val="single" w:sz="4" w:space="0" w:color="auto"/>
              <w:right w:val="nil"/>
            </w:tcBorders>
            <w:vAlign w:val="center"/>
          </w:tcPr>
          <w:p w14:paraId="63C60372" w14:textId="77777777" w:rsidR="007B6536" w:rsidRDefault="007B6536" w:rsidP="00DD3BC8">
            <w:pPr>
              <w:spacing w:line="240" w:lineRule="auto"/>
              <w:jc w:val="center"/>
              <w:rPr>
                <w:rFonts w:cs="Times New Roman"/>
                <w:szCs w:val="24"/>
              </w:rPr>
            </w:pPr>
            <w:r>
              <w:rPr>
                <w:rFonts w:cs="Times New Roman"/>
                <w:szCs w:val="24"/>
              </w:rPr>
              <w:t>(s)</w:t>
            </w:r>
          </w:p>
        </w:tc>
        <w:tc>
          <w:tcPr>
            <w:tcW w:w="1337" w:type="dxa"/>
            <w:tcBorders>
              <w:top w:val="nil"/>
              <w:left w:val="nil"/>
              <w:bottom w:val="single" w:sz="4" w:space="0" w:color="auto"/>
              <w:right w:val="nil"/>
            </w:tcBorders>
            <w:vAlign w:val="center"/>
          </w:tcPr>
          <w:p w14:paraId="3E7F2ABE" w14:textId="77777777" w:rsidR="007B6536" w:rsidRDefault="007B6536" w:rsidP="00DD3BC8">
            <w:pPr>
              <w:spacing w:line="240" w:lineRule="auto"/>
              <w:jc w:val="center"/>
              <w:rPr>
                <w:rFonts w:cs="Times New Roman"/>
                <w:szCs w:val="24"/>
              </w:rPr>
            </w:pPr>
            <w:r>
              <w:rPr>
                <w:rFonts w:cs="Times New Roman"/>
                <w:szCs w:val="24"/>
              </w:rPr>
              <w:t>(m</w:t>
            </w:r>
            <w:r w:rsidRPr="004D764C">
              <w:rPr>
                <w:rFonts w:cs="Times New Roman"/>
                <w:szCs w:val="24"/>
                <w:vertAlign w:val="superscript"/>
              </w:rPr>
              <w:t>3</w:t>
            </w:r>
            <w:r w:rsidRPr="004D764C">
              <w:rPr>
                <w:rFonts w:cs="Times New Roman"/>
                <w:szCs w:val="24"/>
              </w:rPr>
              <w:t>)</w:t>
            </w:r>
          </w:p>
        </w:tc>
      </w:tr>
      <w:tr w:rsidR="007B6536" w:rsidRPr="0041408A" w14:paraId="4387F5F1" w14:textId="77777777" w:rsidTr="00DD3BC8">
        <w:trPr>
          <w:trHeight w:val="576"/>
          <w:jc w:val="center"/>
        </w:trPr>
        <w:tc>
          <w:tcPr>
            <w:tcW w:w="1338" w:type="dxa"/>
            <w:tcBorders>
              <w:top w:val="nil"/>
              <w:left w:val="nil"/>
              <w:bottom w:val="nil"/>
              <w:right w:val="nil"/>
            </w:tcBorders>
            <w:shd w:val="clear" w:color="auto" w:fill="auto"/>
            <w:noWrap/>
            <w:vAlign w:val="center"/>
          </w:tcPr>
          <w:p w14:paraId="66A0E3A9" w14:textId="77777777" w:rsidR="007B6536" w:rsidRPr="00007259" w:rsidRDefault="007B6536" w:rsidP="00DD3BC8">
            <w:pPr>
              <w:spacing w:line="240" w:lineRule="auto"/>
              <w:jc w:val="center"/>
              <w:rPr>
                <w:rFonts w:eastAsia="Times New Roman" w:cs="Times New Roman"/>
                <w:szCs w:val="24"/>
              </w:rPr>
            </w:pPr>
            <w:r w:rsidRPr="00007259">
              <w:rPr>
                <w:rFonts w:eastAsia="Times New Roman" w:cs="Times New Roman"/>
                <w:szCs w:val="24"/>
              </w:rPr>
              <w:t>FW220</w:t>
            </w:r>
          </w:p>
        </w:tc>
        <w:tc>
          <w:tcPr>
            <w:tcW w:w="1337" w:type="dxa"/>
            <w:tcBorders>
              <w:top w:val="nil"/>
              <w:left w:val="nil"/>
              <w:bottom w:val="nil"/>
              <w:right w:val="nil"/>
            </w:tcBorders>
            <w:shd w:val="clear" w:color="auto" w:fill="auto"/>
            <w:noWrap/>
            <w:vAlign w:val="center"/>
          </w:tcPr>
          <w:p w14:paraId="454AB59E" w14:textId="77777777" w:rsidR="007B6536" w:rsidRPr="00007259" w:rsidRDefault="007B6536" w:rsidP="00DD3BC8">
            <w:pPr>
              <w:spacing w:line="240" w:lineRule="auto"/>
              <w:jc w:val="center"/>
              <w:rPr>
                <w:rFonts w:eastAsia="Times New Roman" w:cs="Times New Roman"/>
                <w:szCs w:val="24"/>
              </w:rPr>
            </w:pPr>
            <w:r w:rsidRPr="00CE3274">
              <w:t>2.34</w:t>
            </w:r>
          </w:p>
        </w:tc>
        <w:tc>
          <w:tcPr>
            <w:tcW w:w="1337" w:type="dxa"/>
            <w:tcBorders>
              <w:top w:val="nil"/>
              <w:left w:val="nil"/>
              <w:bottom w:val="nil"/>
              <w:right w:val="nil"/>
            </w:tcBorders>
            <w:shd w:val="clear" w:color="auto" w:fill="auto"/>
            <w:noWrap/>
            <w:vAlign w:val="center"/>
          </w:tcPr>
          <w:p w14:paraId="5E264577" w14:textId="77777777" w:rsidR="007B6536" w:rsidRPr="00262192" w:rsidRDefault="007B6536" w:rsidP="00DD3BC8">
            <w:pPr>
              <w:spacing w:line="240" w:lineRule="auto"/>
              <w:jc w:val="center"/>
              <w:rPr>
                <w:rFonts w:eastAsia="Times New Roman" w:cs="Times New Roman"/>
                <w:szCs w:val="24"/>
              </w:rPr>
            </w:pPr>
            <w:r w:rsidRPr="00CE3274">
              <w:t>1800</w:t>
            </w:r>
          </w:p>
        </w:tc>
        <w:tc>
          <w:tcPr>
            <w:tcW w:w="1337" w:type="dxa"/>
            <w:tcBorders>
              <w:top w:val="nil"/>
              <w:left w:val="nil"/>
              <w:bottom w:val="nil"/>
              <w:right w:val="nil"/>
            </w:tcBorders>
            <w:vAlign w:val="center"/>
          </w:tcPr>
          <w:p w14:paraId="7D43C29D" w14:textId="77777777" w:rsidR="007B6536" w:rsidRPr="00DA3683" w:rsidRDefault="007B6536" w:rsidP="00DD3BC8">
            <w:pPr>
              <w:spacing w:line="240" w:lineRule="auto"/>
              <w:jc w:val="center"/>
            </w:pPr>
            <w:r w:rsidRPr="004D764C">
              <w:t>0.010</w:t>
            </w:r>
          </w:p>
        </w:tc>
        <w:tc>
          <w:tcPr>
            <w:tcW w:w="1337" w:type="dxa"/>
            <w:tcBorders>
              <w:top w:val="nil"/>
              <w:left w:val="nil"/>
              <w:bottom w:val="nil"/>
              <w:right w:val="nil"/>
            </w:tcBorders>
            <w:vAlign w:val="center"/>
          </w:tcPr>
          <w:p w14:paraId="2B8DFFD1" w14:textId="77777777" w:rsidR="007B6536" w:rsidRPr="00DA3683" w:rsidRDefault="007B6536" w:rsidP="00DD3BC8">
            <w:pPr>
              <w:spacing w:line="240" w:lineRule="auto"/>
              <w:jc w:val="center"/>
            </w:pPr>
            <w:r w:rsidRPr="004D764C">
              <w:t>6600</w:t>
            </w:r>
          </w:p>
        </w:tc>
        <w:tc>
          <w:tcPr>
            <w:tcW w:w="1337" w:type="dxa"/>
            <w:tcBorders>
              <w:top w:val="nil"/>
              <w:left w:val="nil"/>
              <w:bottom w:val="nil"/>
              <w:right w:val="nil"/>
            </w:tcBorders>
            <w:vAlign w:val="center"/>
          </w:tcPr>
          <w:p w14:paraId="019BB54B" w14:textId="77777777" w:rsidR="007B6536" w:rsidRPr="00DA3683" w:rsidRDefault="007B6536" w:rsidP="00DD3BC8">
            <w:pPr>
              <w:spacing w:line="240" w:lineRule="auto"/>
              <w:jc w:val="center"/>
            </w:pPr>
            <w:r w:rsidRPr="004D764C">
              <w:t>3948</w:t>
            </w:r>
          </w:p>
        </w:tc>
        <w:tc>
          <w:tcPr>
            <w:tcW w:w="1337" w:type="dxa"/>
            <w:tcBorders>
              <w:top w:val="nil"/>
              <w:left w:val="nil"/>
              <w:bottom w:val="nil"/>
              <w:right w:val="nil"/>
            </w:tcBorders>
            <w:vAlign w:val="center"/>
          </w:tcPr>
          <w:p w14:paraId="4D86B2D8" w14:textId="77777777" w:rsidR="007B6536" w:rsidRPr="00DA3683" w:rsidRDefault="007B6536" w:rsidP="00DD3BC8">
            <w:pPr>
              <w:spacing w:line="240" w:lineRule="auto"/>
              <w:jc w:val="center"/>
            </w:pPr>
            <w:r w:rsidRPr="00CE3274">
              <w:t>0.014</w:t>
            </w:r>
          </w:p>
        </w:tc>
      </w:tr>
      <w:tr w:rsidR="007B6536" w:rsidRPr="0041408A" w14:paraId="1DFC1FBF" w14:textId="77777777" w:rsidTr="00DD3BC8">
        <w:trPr>
          <w:trHeight w:val="576"/>
          <w:jc w:val="center"/>
        </w:trPr>
        <w:tc>
          <w:tcPr>
            <w:tcW w:w="1338" w:type="dxa"/>
            <w:tcBorders>
              <w:top w:val="nil"/>
              <w:left w:val="nil"/>
              <w:bottom w:val="nil"/>
              <w:right w:val="nil"/>
            </w:tcBorders>
            <w:shd w:val="clear" w:color="auto" w:fill="auto"/>
            <w:noWrap/>
            <w:vAlign w:val="center"/>
          </w:tcPr>
          <w:p w14:paraId="51F2EBF3" w14:textId="77777777" w:rsidR="007B6536" w:rsidRPr="00007259" w:rsidRDefault="007B6536" w:rsidP="00DD3BC8">
            <w:pPr>
              <w:spacing w:line="240" w:lineRule="auto"/>
              <w:jc w:val="center"/>
              <w:rPr>
                <w:rFonts w:eastAsia="Times New Roman" w:cs="Times New Roman"/>
                <w:szCs w:val="24"/>
              </w:rPr>
            </w:pPr>
            <w:r w:rsidRPr="00007259">
              <w:rPr>
                <w:rFonts w:eastAsia="Times New Roman" w:cs="Times New Roman"/>
                <w:szCs w:val="24"/>
              </w:rPr>
              <w:t>FW221</w:t>
            </w:r>
          </w:p>
        </w:tc>
        <w:tc>
          <w:tcPr>
            <w:tcW w:w="1337" w:type="dxa"/>
            <w:tcBorders>
              <w:top w:val="nil"/>
              <w:left w:val="nil"/>
              <w:bottom w:val="nil"/>
              <w:right w:val="nil"/>
            </w:tcBorders>
            <w:shd w:val="clear" w:color="auto" w:fill="auto"/>
            <w:noWrap/>
            <w:vAlign w:val="center"/>
          </w:tcPr>
          <w:p w14:paraId="6F52BB77" w14:textId="77777777" w:rsidR="007B6536" w:rsidRPr="00007259" w:rsidRDefault="007B6536" w:rsidP="00DD3BC8">
            <w:pPr>
              <w:spacing w:line="240" w:lineRule="auto"/>
              <w:jc w:val="center"/>
              <w:rPr>
                <w:rFonts w:eastAsia="Times New Roman" w:cs="Times New Roman"/>
                <w:szCs w:val="24"/>
              </w:rPr>
            </w:pPr>
            <w:r w:rsidRPr="00CE3274">
              <w:t>2.60</w:t>
            </w:r>
          </w:p>
        </w:tc>
        <w:tc>
          <w:tcPr>
            <w:tcW w:w="1337" w:type="dxa"/>
            <w:tcBorders>
              <w:top w:val="nil"/>
              <w:left w:val="nil"/>
              <w:bottom w:val="nil"/>
              <w:right w:val="nil"/>
            </w:tcBorders>
            <w:shd w:val="clear" w:color="auto" w:fill="auto"/>
            <w:noWrap/>
            <w:vAlign w:val="center"/>
          </w:tcPr>
          <w:p w14:paraId="53EEBD8A" w14:textId="77777777" w:rsidR="007B6536" w:rsidRPr="00262192" w:rsidRDefault="007B6536" w:rsidP="00DD3BC8">
            <w:pPr>
              <w:spacing w:line="240" w:lineRule="auto"/>
              <w:jc w:val="center"/>
              <w:rPr>
                <w:rFonts w:eastAsia="Times New Roman" w:cs="Times New Roman"/>
                <w:szCs w:val="24"/>
              </w:rPr>
            </w:pPr>
            <w:r w:rsidRPr="00CE3274">
              <w:t>1740</w:t>
            </w:r>
          </w:p>
        </w:tc>
        <w:tc>
          <w:tcPr>
            <w:tcW w:w="1337" w:type="dxa"/>
            <w:tcBorders>
              <w:top w:val="nil"/>
              <w:left w:val="nil"/>
              <w:bottom w:val="nil"/>
              <w:right w:val="nil"/>
            </w:tcBorders>
            <w:vAlign w:val="center"/>
          </w:tcPr>
          <w:p w14:paraId="08EA33F9" w14:textId="77777777" w:rsidR="007B6536" w:rsidRPr="00DA3683" w:rsidRDefault="007B6536" w:rsidP="00DD3BC8">
            <w:pPr>
              <w:spacing w:line="240" w:lineRule="auto"/>
              <w:jc w:val="center"/>
            </w:pPr>
            <w:r w:rsidRPr="004D764C">
              <w:t>0.010</w:t>
            </w:r>
          </w:p>
        </w:tc>
        <w:tc>
          <w:tcPr>
            <w:tcW w:w="1337" w:type="dxa"/>
            <w:tcBorders>
              <w:top w:val="nil"/>
              <w:left w:val="nil"/>
              <w:bottom w:val="nil"/>
              <w:right w:val="nil"/>
            </w:tcBorders>
            <w:vAlign w:val="center"/>
          </w:tcPr>
          <w:p w14:paraId="1BD88CF5" w14:textId="77777777" w:rsidR="007B6536" w:rsidRPr="00DA3683" w:rsidRDefault="007B6536" w:rsidP="00DD3BC8">
            <w:pPr>
              <w:spacing w:line="240" w:lineRule="auto"/>
              <w:jc w:val="center"/>
            </w:pPr>
            <w:r w:rsidRPr="004D764C">
              <w:t>7320</w:t>
            </w:r>
          </w:p>
        </w:tc>
        <w:tc>
          <w:tcPr>
            <w:tcW w:w="1337" w:type="dxa"/>
            <w:tcBorders>
              <w:top w:val="nil"/>
              <w:left w:val="nil"/>
              <w:bottom w:val="nil"/>
              <w:right w:val="nil"/>
            </w:tcBorders>
            <w:vAlign w:val="center"/>
          </w:tcPr>
          <w:p w14:paraId="5DA46101" w14:textId="77777777" w:rsidR="007B6536" w:rsidRPr="00DA3683" w:rsidRDefault="007B6536" w:rsidP="00DD3BC8">
            <w:pPr>
              <w:spacing w:line="240" w:lineRule="auto"/>
              <w:jc w:val="center"/>
            </w:pPr>
            <w:r w:rsidRPr="004D764C">
              <w:t>3984</w:t>
            </w:r>
          </w:p>
        </w:tc>
        <w:tc>
          <w:tcPr>
            <w:tcW w:w="1337" w:type="dxa"/>
            <w:tcBorders>
              <w:top w:val="nil"/>
              <w:left w:val="nil"/>
              <w:bottom w:val="nil"/>
              <w:right w:val="nil"/>
            </w:tcBorders>
            <w:vAlign w:val="center"/>
          </w:tcPr>
          <w:p w14:paraId="062A4094" w14:textId="77777777" w:rsidR="007B6536" w:rsidRPr="00DA3683" w:rsidRDefault="007B6536" w:rsidP="00DD3BC8">
            <w:pPr>
              <w:spacing w:line="240" w:lineRule="auto"/>
              <w:jc w:val="center"/>
            </w:pPr>
            <w:r w:rsidRPr="00CE3274">
              <w:t>0.015</w:t>
            </w:r>
          </w:p>
        </w:tc>
      </w:tr>
      <w:tr w:rsidR="007B6536" w:rsidRPr="0041408A" w14:paraId="01477304" w14:textId="77777777" w:rsidTr="00DD3BC8">
        <w:trPr>
          <w:trHeight w:val="576"/>
          <w:jc w:val="center"/>
        </w:trPr>
        <w:tc>
          <w:tcPr>
            <w:tcW w:w="1338" w:type="dxa"/>
            <w:tcBorders>
              <w:top w:val="nil"/>
              <w:left w:val="nil"/>
              <w:bottom w:val="nil"/>
              <w:right w:val="nil"/>
            </w:tcBorders>
            <w:shd w:val="clear" w:color="auto" w:fill="auto"/>
            <w:noWrap/>
            <w:vAlign w:val="center"/>
          </w:tcPr>
          <w:p w14:paraId="6C5A9BC8" w14:textId="77777777" w:rsidR="007B6536" w:rsidRPr="00007259" w:rsidRDefault="007B6536" w:rsidP="00DD3BC8">
            <w:pPr>
              <w:spacing w:line="240" w:lineRule="auto"/>
              <w:jc w:val="center"/>
              <w:rPr>
                <w:rFonts w:eastAsia="Times New Roman" w:cs="Times New Roman"/>
                <w:szCs w:val="24"/>
              </w:rPr>
            </w:pPr>
            <w:r w:rsidRPr="00007259">
              <w:rPr>
                <w:rFonts w:eastAsia="Times New Roman" w:cs="Times New Roman"/>
                <w:szCs w:val="24"/>
              </w:rPr>
              <w:t>FW222</w:t>
            </w:r>
          </w:p>
        </w:tc>
        <w:tc>
          <w:tcPr>
            <w:tcW w:w="1337" w:type="dxa"/>
            <w:tcBorders>
              <w:top w:val="nil"/>
              <w:left w:val="nil"/>
              <w:bottom w:val="nil"/>
              <w:right w:val="nil"/>
            </w:tcBorders>
            <w:shd w:val="clear" w:color="auto" w:fill="auto"/>
            <w:noWrap/>
            <w:vAlign w:val="center"/>
          </w:tcPr>
          <w:p w14:paraId="6B1726BD" w14:textId="77777777" w:rsidR="007B6536" w:rsidRPr="00007259" w:rsidRDefault="007B6536" w:rsidP="00DD3BC8">
            <w:pPr>
              <w:spacing w:line="240" w:lineRule="auto"/>
              <w:jc w:val="center"/>
              <w:rPr>
                <w:rFonts w:eastAsia="Times New Roman" w:cs="Times New Roman"/>
                <w:szCs w:val="24"/>
              </w:rPr>
            </w:pPr>
            <w:r w:rsidRPr="00CE3274">
              <w:t>2.31</w:t>
            </w:r>
          </w:p>
        </w:tc>
        <w:tc>
          <w:tcPr>
            <w:tcW w:w="1337" w:type="dxa"/>
            <w:tcBorders>
              <w:top w:val="nil"/>
              <w:left w:val="nil"/>
              <w:bottom w:val="nil"/>
              <w:right w:val="nil"/>
            </w:tcBorders>
            <w:shd w:val="clear" w:color="auto" w:fill="auto"/>
            <w:noWrap/>
            <w:vAlign w:val="center"/>
          </w:tcPr>
          <w:p w14:paraId="72360DD4" w14:textId="77777777" w:rsidR="007B6536" w:rsidRPr="00262192" w:rsidRDefault="007B6536" w:rsidP="00DD3BC8">
            <w:pPr>
              <w:spacing w:line="240" w:lineRule="auto"/>
              <w:jc w:val="center"/>
              <w:rPr>
                <w:rFonts w:eastAsia="Times New Roman" w:cs="Times New Roman"/>
                <w:szCs w:val="24"/>
              </w:rPr>
            </w:pPr>
            <w:r w:rsidRPr="00CE3274">
              <w:t>1890</w:t>
            </w:r>
          </w:p>
        </w:tc>
        <w:tc>
          <w:tcPr>
            <w:tcW w:w="1337" w:type="dxa"/>
            <w:tcBorders>
              <w:top w:val="nil"/>
              <w:left w:val="nil"/>
              <w:bottom w:val="nil"/>
              <w:right w:val="nil"/>
            </w:tcBorders>
            <w:vAlign w:val="center"/>
          </w:tcPr>
          <w:p w14:paraId="1EBD70E2" w14:textId="77777777" w:rsidR="007B6536" w:rsidRPr="00DA3683" w:rsidRDefault="007B6536" w:rsidP="00DD3BC8">
            <w:pPr>
              <w:spacing w:line="240" w:lineRule="auto"/>
              <w:jc w:val="center"/>
            </w:pPr>
            <w:r w:rsidRPr="004D764C">
              <w:t>0.010</w:t>
            </w:r>
          </w:p>
        </w:tc>
        <w:tc>
          <w:tcPr>
            <w:tcW w:w="1337" w:type="dxa"/>
            <w:tcBorders>
              <w:top w:val="nil"/>
              <w:left w:val="nil"/>
              <w:bottom w:val="nil"/>
              <w:right w:val="nil"/>
            </w:tcBorders>
            <w:vAlign w:val="center"/>
          </w:tcPr>
          <w:p w14:paraId="64A0531C" w14:textId="77777777" w:rsidR="007B6536" w:rsidRPr="00DA3683" w:rsidRDefault="007B6536" w:rsidP="00DD3BC8">
            <w:pPr>
              <w:spacing w:line="240" w:lineRule="auto"/>
              <w:jc w:val="center"/>
            </w:pPr>
            <w:r w:rsidRPr="004D764C">
              <w:t>7200</w:t>
            </w:r>
          </w:p>
        </w:tc>
        <w:tc>
          <w:tcPr>
            <w:tcW w:w="1337" w:type="dxa"/>
            <w:tcBorders>
              <w:top w:val="nil"/>
              <w:left w:val="nil"/>
              <w:bottom w:val="nil"/>
              <w:right w:val="nil"/>
            </w:tcBorders>
            <w:vAlign w:val="center"/>
          </w:tcPr>
          <w:p w14:paraId="75A13E2C" w14:textId="77777777" w:rsidR="007B6536" w:rsidRPr="00DA3683" w:rsidRDefault="007B6536" w:rsidP="00DD3BC8">
            <w:pPr>
              <w:spacing w:line="240" w:lineRule="auto"/>
              <w:jc w:val="center"/>
            </w:pPr>
            <w:r w:rsidRPr="004D764C">
              <w:t>4087</w:t>
            </w:r>
          </w:p>
        </w:tc>
        <w:tc>
          <w:tcPr>
            <w:tcW w:w="1337" w:type="dxa"/>
            <w:tcBorders>
              <w:top w:val="nil"/>
              <w:left w:val="nil"/>
              <w:bottom w:val="nil"/>
              <w:right w:val="nil"/>
            </w:tcBorders>
            <w:vAlign w:val="center"/>
          </w:tcPr>
          <w:p w14:paraId="45DB187E" w14:textId="77777777" w:rsidR="007B6536" w:rsidRPr="00DA3683" w:rsidRDefault="007B6536" w:rsidP="00DD3BC8">
            <w:pPr>
              <w:spacing w:line="240" w:lineRule="auto"/>
              <w:jc w:val="center"/>
            </w:pPr>
            <w:r w:rsidRPr="00CE3274">
              <w:t>0.012</w:t>
            </w:r>
          </w:p>
        </w:tc>
      </w:tr>
      <w:tr w:rsidR="007B6536" w:rsidRPr="0041408A" w14:paraId="63D64D9A" w14:textId="77777777" w:rsidTr="00DD3BC8">
        <w:trPr>
          <w:trHeight w:val="576"/>
          <w:jc w:val="center"/>
        </w:trPr>
        <w:tc>
          <w:tcPr>
            <w:tcW w:w="1338" w:type="dxa"/>
            <w:tcBorders>
              <w:top w:val="nil"/>
              <w:left w:val="nil"/>
              <w:bottom w:val="nil"/>
              <w:right w:val="nil"/>
            </w:tcBorders>
            <w:shd w:val="clear" w:color="auto" w:fill="auto"/>
            <w:noWrap/>
            <w:vAlign w:val="center"/>
          </w:tcPr>
          <w:p w14:paraId="2D1420BE" w14:textId="77777777" w:rsidR="007B6536" w:rsidRPr="00007259" w:rsidRDefault="007B6536" w:rsidP="00DD3BC8">
            <w:pPr>
              <w:spacing w:line="240" w:lineRule="auto"/>
              <w:jc w:val="center"/>
              <w:rPr>
                <w:rFonts w:eastAsia="Times New Roman" w:cs="Times New Roman"/>
                <w:szCs w:val="24"/>
              </w:rPr>
            </w:pPr>
            <w:r w:rsidRPr="00007259">
              <w:rPr>
                <w:rFonts w:eastAsia="Times New Roman" w:cs="Times New Roman"/>
                <w:szCs w:val="24"/>
              </w:rPr>
              <w:t>FW223</w:t>
            </w:r>
          </w:p>
        </w:tc>
        <w:tc>
          <w:tcPr>
            <w:tcW w:w="1337" w:type="dxa"/>
            <w:tcBorders>
              <w:top w:val="nil"/>
              <w:left w:val="nil"/>
              <w:bottom w:val="nil"/>
              <w:right w:val="nil"/>
            </w:tcBorders>
            <w:shd w:val="clear" w:color="auto" w:fill="auto"/>
            <w:noWrap/>
            <w:vAlign w:val="center"/>
          </w:tcPr>
          <w:p w14:paraId="7838ED04" w14:textId="77777777" w:rsidR="007B6536" w:rsidRPr="00007259" w:rsidRDefault="007B6536" w:rsidP="00DD3BC8">
            <w:pPr>
              <w:spacing w:line="240" w:lineRule="auto"/>
              <w:jc w:val="center"/>
              <w:rPr>
                <w:rFonts w:eastAsia="Times New Roman" w:cs="Times New Roman"/>
                <w:szCs w:val="24"/>
              </w:rPr>
            </w:pPr>
            <w:r w:rsidRPr="00CE3274">
              <w:t>2.33</w:t>
            </w:r>
          </w:p>
        </w:tc>
        <w:tc>
          <w:tcPr>
            <w:tcW w:w="1337" w:type="dxa"/>
            <w:tcBorders>
              <w:top w:val="nil"/>
              <w:left w:val="nil"/>
              <w:bottom w:val="nil"/>
              <w:right w:val="nil"/>
            </w:tcBorders>
            <w:shd w:val="clear" w:color="auto" w:fill="auto"/>
            <w:noWrap/>
            <w:vAlign w:val="center"/>
          </w:tcPr>
          <w:p w14:paraId="3AE9AF8C" w14:textId="77777777" w:rsidR="007B6536" w:rsidRPr="00262192" w:rsidRDefault="007B6536" w:rsidP="00DD3BC8">
            <w:pPr>
              <w:spacing w:line="240" w:lineRule="auto"/>
              <w:jc w:val="center"/>
              <w:rPr>
                <w:rFonts w:eastAsia="Times New Roman" w:cs="Times New Roman"/>
                <w:szCs w:val="24"/>
              </w:rPr>
            </w:pPr>
            <w:r w:rsidRPr="00CE3274">
              <w:t>1950</w:t>
            </w:r>
          </w:p>
        </w:tc>
        <w:tc>
          <w:tcPr>
            <w:tcW w:w="1337" w:type="dxa"/>
            <w:tcBorders>
              <w:top w:val="nil"/>
              <w:left w:val="nil"/>
              <w:bottom w:val="nil"/>
              <w:right w:val="nil"/>
            </w:tcBorders>
            <w:vAlign w:val="center"/>
          </w:tcPr>
          <w:p w14:paraId="32005E1C" w14:textId="77777777" w:rsidR="007B6536" w:rsidRPr="00DA3683" w:rsidRDefault="007B6536" w:rsidP="00DD3BC8">
            <w:pPr>
              <w:spacing w:line="240" w:lineRule="auto"/>
              <w:jc w:val="center"/>
            </w:pPr>
            <w:r w:rsidRPr="004D764C">
              <w:t>0.010</w:t>
            </w:r>
          </w:p>
        </w:tc>
        <w:tc>
          <w:tcPr>
            <w:tcW w:w="1337" w:type="dxa"/>
            <w:tcBorders>
              <w:top w:val="nil"/>
              <w:left w:val="nil"/>
              <w:bottom w:val="nil"/>
              <w:right w:val="nil"/>
            </w:tcBorders>
            <w:vAlign w:val="center"/>
          </w:tcPr>
          <w:p w14:paraId="53272041" w14:textId="77777777" w:rsidR="007B6536" w:rsidRPr="00DA3683" w:rsidRDefault="007B6536" w:rsidP="00DD3BC8">
            <w:pPr>
              <w:spacing w:line="240" w:lineRule="auto"/>
              <w:jc w:val="center"/>
            </w:pPr>
            <w:r w:rsidRPr="004D764C">
              <w:t>4980</w:t>
            </w:r>
          </w:p>
        </w:tc>
        <w:tc>
          <w:tcPr>
            <w:tcW w:w="1337" w:type="dxa"/>
            <w:tcBorders>
              <w:top w:val="nil"/>
              <w:left w:val="nil"/>
              <w:bottom w:val="nil"/>
              <w:right w:val="nil"/>
            </w:tcBorders>
            <w:vAlign w:val="center"/>
          </w:tcPr>
          <w:p w14:paraId="1F0D2D6A" w14:textId="77777777" w:rsidR="007B6536" w:rsidRPr="00DA3683" w:rsidRDefault="007B6536" w:rsidP="00DD3BC8">
            <w:pPr>
              <w:spacing w:line="240" w:lineRule="auto"/>
              <w:jc w:val="center"/>
            </w:pPr>
            <w:r w:rsidRPr="004D764C">
              <w:t>3077</w:t>
            </w:r>
          </w:p>
        </w:tc>
        <w:tc>
          <w:tcPr>
            <w:tcW w:w="1337" w:type="dxa"/>
            <w:tcBorders>
              <w:top w:val="nil"/>
              <w:left w:val="nil"/>
              <w:bottom w:val="nil"/>
              <w:right w:val="nil"/>
            </w:tcBorders>
            <w:vAlign w:val="center"/>
          </w:tcPr>
          <w:p w14:paraId="57940024" w14:textId="77777777" w:rsidR="007B6536" w:rsidRPr="00DA3683" w:rsidRDefault="007B6536" w:rsidP="00DD3BC8">
            <w:pPr>
              <w:spacing w:line="240" w:lineRule="auto"/>
              <w:jc w:val="center"/>
            </w:pPr>
            <w:r w:rsidRPr="00CE3274">
              <w:t>0.011</w:t>
            </w:r>
          </w:p>
        </w:tc>
      </w:tr>
      <w:tr w:rsidR="007B6536" w:rsidRPr="0041408A" w14:paraId="78B46E76" w14:textId="77777777" w:rsidTr="00DD3BC8">
        <w:trPr>
          <w:trHeight w:val="576"/>
          <w:jc w:val="center"/>
        </w:trPr>
        <w:tc>
          <w:tcPr>
            <w:tcW w:w="1338" w:type="dxa"/>
            <w:tcBorders>
              <w:top w:val="nil"/>
              <w:left w:val="nil"/>
              <w:right w:val="nil"/>
            </w:tcBorders>
            <w:shd w:val="clear" w:color="auto" w:fill="auto"/>
            <w:noWrap/>
            <w:vAlign w:val="center"/>
          </w:tcPr>
          <w:p w14:paraId="2F6BF5B2" w14:textId="77777777" w:rsidR="007B6536" w:rsidRPr="00007259" w:rsidRDefault="007B6536" w:rsidP="00DD3BC8">
            <w:pPr>
              <w:spacing w:line="240" w:lineRule="auto"/>
              <w:jc w:val="center"/>
              <w:rPr>
                <w:rFonts w:eastAsia="Times New Roman" w:cs="Times New Roman"/>
                <w:szCs w:val="24"/>
              </w:rPr>
            </w:pPr>
            <w:r w:rsidRPr="00007259">
              <w:rPr>
                <w:rFonts w:eastAsia="Times New Roman" w:cs="Times New Roman"/>
                <w:szCs w:val="24"/>
              </w:rPr>
              <w:t>FW224</w:t>
            </w:r>
          </w:p>
        </w:tc>
        <w:tc>
          <w:tcPr>
            <w:tcW w:w="1337" w:type="dxa"/>
            <w:tcBorders>
              <w:top w:val="nil"/>
              <w:left w:val="nil"/>
              <w:right w:val="nil"/>
            </w:tcBorders>
            <w:shd w:val="clear" w:color="auto" w:fill="auto"/>
            <w:noWrap/>
            <w:vAlign w:val="center"/>
          </w:tcPr>
          <w:p w14:paraId="5BBD84F4" w14:textId="77777777" w:rsidR="007B6536" w:rsidRPr="00007259" w:rsidRDefault="007B6536" w:rsidP="00DD3BC8">
            <w:pPr>
              <w:spacing w:line="240" w:lineRule="auto"/>
              <w:jc w:val="center"/>
              <w:rPr>
                <w:rFonts w:eastAsia="Times New Roman" w:cs="Times New Roman"/>
                <w:szCs w:val="24"/>
              </w:rPr>
            </w:pPr>
            <w:r w:rsidRPr="00CE3274">
              <w:t>2.24</w:t>
            </w:r>
          </w:p>
        </w:tc>
        <w:tc>
          <w:tcPr>
            <w:tcW w:w="1337" w:type="dxa"/>
            <w:tcBorders>
              <w:top w:val="nil"/>
              <w:left w:val="nil"/>
              <w:right w:val="nil"/>
            </w:tcBorders>
            <w:shd w:val="clear" w:color="auto" w:fill="auto"/>
            <w:noWrap/>
            <w:vAlign w:val="center"/>
          </w:tcPr>
          <w:p w14:paraId="10A275EF" w14:textId="77777777" w:rsidR="007B6536" w:rsidRPr="00262192" w:rsidRDefault="007B6536" w:rsidP="00DD3BC8">
            <w:pPr>
              <w:spacing w:line="240" w:lineRule="auto"/>
              <w:jc w:val="center"/>
              <w:rPr>
                <w:rFonts w:eastAsia="Times New Roman" w:cs="Times New Roman"/>
                <w:szCs w:val="24"/>
              </w:rPr>
            </w:pPr>
            <w:r w:rsidRPr="00CE3274">
              <w:t>1410</w:t>
            </w:r>
          </w:p>
        </w:tc>
        <w:tc>
          <w:tcPr>
            <w:tcW w:w="1337" w:type="dxa"/>
            <w:tcBorders>
              <w:top w:val="nil"/>
              <w:left w:val="nil"/>
              <w:right w:val="nil"/>
            </w:tcBorders>
            <w:vAlign w:val="center"/>
          </w:tcPr>
          <w:p w14:paraId="43931DE0" w14:textId="77777777" w:rsidR="007B6536" w:rsidRPr="00DA3683" w:rsidRDefault="007B6536" w:rsidP="00DD3BC8">
            <w:pPr>
              <w:spacing w:line="240" w:lineRule="auto"/>
              <w:jc w:val="center"/>
            </w:pPr>
            <w:r w:rsidRPr="004D764C">
              <w:t>0.010</w:t>
            </w:r>
          </w:p>
        </w:tc>
        <w:tc>
          <w:tcPr>
            <w:tcW w:w="1337" w:type="dxa"/>
            <w:tcBorders>
              <w:top w:val="nil"/>
              <w:left w:val="nil"/>
              <w:right w:val="nil"/>
            </w:tcBorders>
            <w:vAlign w:val="center"/>
          </w:tcPr>
          <w:p w14:paraId="7DEE0239" w14:textId="77777777" w:rsidR="007B6536" w:rsidRPr="00DA3683" w:rsidRDefault="007B6536" w:rsidP="00DD3BC8">
            <w:pPr>
              <w:spacing w:line="240" w:lineRule="auto"/>
              <w:jc w:val="center"/>
            </w:pPr>
            <w:r w:rsidRPr="004D764C">
              <w:t>6600</w:t>
            </w:r>
          </w:p>
        </w:tc>
        <w:tc>
          <w:tcPr>
            <w:tcW w:w="1337" w:type="dxa"/>
            <w:tcBorders>
              <w:top w:val="nil"/>
              <w:left w:val="nil"/>
              <w:right w:val="nil"/>
            </w:tcBorders>
            <w:vAlign w:val="center"/>
          </w:tcPr>
          <w:p w14:paraId="2ED83B78" w14:textId="77777777" w:rsidR="007B6536" w:rsidRPr="00DA3683" w:rsidRDefault="007B6536" w:rsidP="00DD3BC8">
            <w:pPr>
              <w:spacing w:line="240" w:lineRule="auto"/>
              <w:jc w:val="center"/>
            </w:pPr>
            <w:r w:rsidRPr="004D764C">
              <w:t>3349</w:t>
            </w:r>
          </w:p>
        </w:tc>
        <w:tc>
          <w:tcPr>
            <w:tcW w:w="1337" w:type="dxa"/>
            <w:tcBorders>
              <w:top w:val="nil"/>
              <w:left w:val="nil"/>
              <w:right w:val="nil"/>
            </w:tcBorders>
            <w:vAlign w:val="center"/>
          </w:tcPr>
          <w:p w14:paraId="386E40B0" w14:textId="77777777" w:rsidR="007B6536" w:rsidRPr="00DA3683" w:rsidRDefault="007B6536" w:rsidP="00DD3BC8">
            <w:pPr>
              <w:spacing w:line="240" w:lineRule="auto"/>
              <w:jc w:val="center"/>
            </w:pPr>
            <w:r w:rsidRPr="00CE3274">
              <w:t>0.014</w:t>
            </w:r>
          </w:p>
        </w:tc>
      </w:tr>
      <w:tr w:rsidR="007B6536" w:rsidRPr="0041408A" w14:paraId="2D0FC777" w14:textId="77777777" w:rsidTr="00DD3BC8">
        <w:trPr>
          <w:trHeight w:val="576"/>
          <w:jc w:val="center"/>
        </w:trPr>
        <w:tc>
          <w:tcPr>
            <w:tcW w:w="1338" w:type="dxa"/>
            <w:tcBorders>
              <w:top w:val="nil"/>
              <w:left w:val="nil"/>
              <w:bottom w:val="single" w:sz="4" w:space="0" w:color="auto"/>
              <w:right w:val="nil"/>
            </w:tcBorders>
            <w:shd w:val="clear" w:color="auto" w:fill="auto"/>
            <w:noWrap/>
            <w:vAlign w:val="center"/>
          </w:tcPr>
          <w:p w14:paraId="3CFE8C7E" w14:textId="77777777" w:rsidR="007B6536" w:rsidRPr="00007259" w:rsidRDefault="007B6536" w:rsidP="00DD3BC8">
            <w:pPr>
              <w:spacing w:line="240" w:lineRule="auto"/>
              <w:jc w:val="center"/>
              <w:rPr>
                <w:rFonts w:eastAsia="Times New Roman" w:cs="Times New Roman"/>
                <w:szCs w:val="24"/>
              </w:rPr>
            </w:pPr>
            <w:r>
              <w:rPr>
                <w:rFonts w:eastAsia="Times New Roman" w:cs="Times New Roman"/>
                <w:szCs w:val="24"/>
              </w:rPr>
              <w:t>FW225</w:t>
            </w:r>
          </w:p>
        </w:tc>
        <w:tc>
          <w:tcPr>
            <w:tcW w:w="1337" w:type="dxa"/>
            <w:tcBorders>
              <w:top w:val="nil"/>
              <w:left w:val="nil"/>
              <w:bottom w:val="single" w:sz="4" w:space="0" w:color="auto"/>
              <w:right w:val="nil"/>
            </w:tcBorders>
            <w:shd w:val="clear" w:color="auto" w:fill="auto"/>
            <w:noWrap/>
            <w:vAlign w:val="center"/>
          </w:tcPr>
          <w:p w14:paraId="0C609FB5" w14:textId="77777777" w:rsidR="007B6536" w:rsidRPr="00007259" w:rsidRDefault="007B6536" w:rsidP="00DD3BC8">
            <w:pPr>
              <w:spacing w:line="240" w:lineRule="auto"/>
              <w:jc w:val="center"/>
              <w:rPr>
                <w:rFonts w:eastAsia="Times New Roman" w:cs="Times New Roman"/>
                <w:szCs w:val="24"/>
              </w:rPr>
            </w:pPr>
            <w:r w:rsidRPr="00CE3274">
              <w:t>2.42</w:t>
            </w:r>
          </w:p>
        </w:tc>
        <w:tc>
          <w:tcPr>
            <w:tcW w:w="1337" w:type="dxa"/>
            <w:tcBorders>
              <w:top w:val="nil"/>
              <w:left w:val="nil"/>
              <w:bottom w:val="single" w:sz="4" w:space="0" w:color="auto"/>
              <w:right w:val="nil"/>
            </w:tcBorders>
            <w:shd w:val="clear" w:color="auto" w:fill="auto"/>
            <w:noWrap/>
            <w:vAlign w:val="center"/>
          </w:tcPr>
          <w:p w14:paraId="71DBA5BD" w14:textId="77777777" w:rsidR="007B6536" w:rsidRPr="00262192" w:rsidRDefault="007B6536" w:rsidP="00DD3BC8">
            <w:pPr>
              <w:spacing w:line="240" w:lineRule="auto"/>
              <w:jc w:val="center"/>
              <w:rPr>
                <w:rFonts w:eastAsia="Times New Roman" w:cs="Times New Roman"/>
                <w:szCs w:val="24"/>
              </w:rPr>
            </w:pPr>
            <w:r w:rsidRPr="00CE3274">
              <w:t>810</w:t>
            </w:r>
          </w:p>
        </w:tc>
        <w:tc>
          <w:tcPr>
            <w:tcW w:w="1337" w:type="dxa"/>
            <w:tcBorders>
              <w:top w:val="nil"/>
              <w:left w:val="nil"/>
              <w:bottom w:val="single" w:sz="4" w:space="0" w:color="auto"/>
              <w:right w:val="nil"/>
            </w:tcBorders>
            <w:vAlign w:val="center"/>
          </w:tcPr>
          <w:p w14:paraId="12722C57" w14:textId="77777777" w:rsidR="007B6536" w:rsidRPr="00DA3683" w:rsidRDefault="007B6536" w:rsidP="00DD3BC8">
            <w:pPr>
              <w:spacing w:line="240" w:lineRule="auto"/>
              <w:jc w:val="center"/>
            </w:pPr>
            <w:r w:rsidRPr="004D764C">
              <w:t>0.010</w:t>
            </w:r>
          </w:p>
        </w:tc>
        <w:tc>
          <w:tcPr>
            <w:tcW w:w="1337" w:type="dxa"/>
            <w:tcBorders>
              <w:top w:val="nil"/>
              <w:left w:val="nil"/>
              <w:bottom w:val="single" w:sz="4" w:space="0" w:color="auto"/>
              <w:right w:val="nil"/>
            </w:tcBorders>
            <w:vAlign w:val="center"/>
          </w:tcPr>
          <w:p w14:paraId="411BAFA4" w14:textId="77777777" w:rsidR="007B6536" w:rsidRPr="00DA3683" w:rsidRDefault="007B6536" w:rsidP="00DD3BC8">
            <w:pPr>
              <w:spacing w:line="240" w:lineRule="auto"/>
              <w:jc w:val="center"/>
            </w:pPr>
            <w:r w:rsidRPr="004D764C">
              <w:t>1740</w:t>
            </w:r>
          </w:p>
        </w:tc>
        <w:tc>
          <w:tcPr>
            <w:tcW w:w="1337" w:type="dxa"/>
            <w:tcBorders>
              <w:top w:val="nil"/>
              <w:left w:val="nil"/>
              <w:bottom w:val="single" w:sz="4" w:space="0" w:color="auto"/>
              <w:right w:val="nil"/>
            </w:tcBorders>
            <w:vAlign w:val="center"/>
          </w:tcPr>
          <w:p w14:paraId="5E2DFC98" w14:textId="77777777" w:rsidR="007B6536" w:rsidRPr="00DA3683" w:rsidRDefault="007B6536" w:rsidP="00DD3BC8">
            <w:pPr>
              <w:spacing w:line="240" w:lineRule="auto"/>
              <w:jc w:val="center"/>
            </w:pPr>
            <w:r w:rsidRPr="004D764C">
              <w:t>3496</w:t>
            </w:r>
          </w:p>
        </w:tc>
        <w:tc>
          <w:tcPr>
            <w:tcW w:w="1337" w:type="dxa"/>
            <w:tcBorders>
              <w:top w:val="nil"/>
              <w:left w:val="nil"/>
              <w:bottom w:val="single" w:sz="4" w:space="0" w:color="auto"/>
              <w:right w:val="nil"/>
            </w:tcBorders>
            <w:vAlign w:val="center"/>
          </w:tcPr>
          <w:p w14:paraId="25404124" w14:textId="77777777" w:rsidR="007B6536" w:rsidRPr="00DA3683" w:rsidRDefault="007B6536" w:rsidP="00DD3BC8">
            <w:pPr>
              <w:spacing w:line="240" w:lineRule="auto"/>
              <w:jc w:val="center"/>
            </w:pPr>
            <w:r w:rsidRPr="00CE3274">
              <w:t>0.006</w:t>
            </w:r>
          </w:p>
        </w:tc>
      </w:tr>
      <w:tr w:rsidR="007B6536" w:rsidRPr="0041408A" w14:paraId="1BD523C8" w14:textId="77777777" w:rsidTr="00DD3BC8">
        <w:trPr>
          <w:trHeight w:val="576"/>
          <w:jc w:val="center"/>
        </w:trPr>
        <w:tc>
          <w:tcPr>
            <w:tcW w:w="1338" w:type="dxa"/>
            <w:tcBorders>
              <w:top w:val="single" w:sz="4" w:space="0" w:color="auto"/>
              <w:left w:val="nil"/>
              <w:bottom w:val="nil"/>
              <w:right w:val="nil"/>
            </w:tcBorders>
            <w:shd w:val="clear" w:color="auto" w:fill="auto"/>
            <w:noWrap/>
            <w:vAlign w:val="center"/>
          </w:tcPr>
          <w:p w14:paraId="5163DB59" w14:textId="77777777" w:rsidR="007B6536" w:rsidRPr="00725DFB" w:rsidRDefault="007B6536" w:rsidP="00DD3BC8">
            <w:pPr>
              <w:spacing w:line="240" w:lineRule="auto"/>
              <w:jc w:val="center"/>
              <w:rPr>
                <w:rFonts w:eastAsia="Times New Roman" w:cs="Times New Roman"/>
                <w:szCs w:val="24"/>
              </w:rPr>
            </w:pPr>
            <w:r w:rsidRPr="00CD4B62">
              <w:rPr>
                <w:rFonts w:eastAsia="Times New Roman" w:cs="Times New Roman"/>
                <w:szCs w:val="24"/>
              </w:rPr>
              <w:t xml:space="preserve">Hall et al. </w:t>
            </w:r>
            <w:r w:rsidRPr="00725DFB">
              <w:rPr>
                <w:rFonts w:eastAsia="Times New Roman" w:cs="Times New Roman"/>
                <w:szCs w:val="24"/>
              </w:rPr>
              <w:t>(1991)</w:t>
            </w:r>
          </w:p>
        </w:tc>
        <w:tc>
          <w:tcPr>
            <w:tcW w:w="1337" w:type="dxa"/>
            <w:tcBorders>
              <w:top w:val="single" w:sz="4" w:space="0" w:color="auto"/>
              <w:left w:val="nil"/>
              <w:bottom w:val="nil"/>
              <w:right w:val="nil"/>
            </w:tcBorders>
            <w:shd w:val="clear" w:color="auto" w:fill="auto"/>
            <w:noWrap/>
            <w:vAlign w:val="center"/>
          </w:tcPr>
          <w:p w14:paraId="7EE2CB3B" w14:textId="77777777" w:rsidR="007B6536" w:rsidRPr="00CE3274" w:rsidRDefault="007B6536" w:rsidP="00DD3BC8">
            <w:pPr>
              <w:spacing w:line="240" w:lineRule="auto"/>
              <w:jc w:val="center"/>
            </w:pPr>
            <w:r>
              <w:t>15</w:t>
            </w:r>
            <w:r w:rsidRPr="00CE3274">
              <w:t>.24</w:t>
            </w:r>
          </w:p>
        </w:tc>
        <w:tc>
          <w:tcPr>
            <w:tcW w:w="1337" w:type="dxa"/>
            <w:tcBorders>
              <w:top w:val="single" w:sz="4" w:space="0" w:color="auto"/>
              <w:left w:val="nil"/>
              <w:bottom w:val="nil"/>
              <w:right w:val="nil"/>
            </w:tcBorders>
            <w:shd w:val="clear" w:color="auto" w:fill="auto"/>
            <w:noWrap/>
            <w:vAlign w:val="center"/>
          </w:tcPr>
          <w:p w14:paraId="5D9B97D5" w14:textId="77777777" w:rsidR="007B6536" w:rsidRPr="00CE3274" w:rsidRDefault="007B6536" w:rsidP="00DD3BC8">
            <w:pPr>
              <w:spacing w:line="240" w:lineRule="auto"/>
              <w:jc w:val="center"/>
            </w:pPr>
            <w:r w:rsidRPr="00CE3274">
              <w:t>1</w:t>
            </w:r>
            <w:r>
              <w:t>20</w:t>
            </w:r>
            <w:r w:rsidRPr="00CE3274">
              <w:t>0</w:t>
            </w:r>
          </w:p>
        </w:tc>
        <w:tc>
          <w:tcPr>
            <w:tcW w:w="1337" w:type="dxa"/>
            <w:tcBorders>
              <w:top w:val="single" w:sz="4" w:space="0" w:color="auto"/>
              <w:left w:val="nil"/>
              <w:bottom w:val="nil"/>
              <w:right w:val="nil"/>
            </w:tcBorders>
            <w:vAlign w:val="center"/>
          </w:tcPr>
          <w:p w14:paraId="351CBAE5" w14:textId="77777777" w:rsidR="007B6536" w:rsidRPr="004D764C" w:rsidRDefault="007B6536" w:rsidP="00DD3BC8">
            <w:pPr>
              <w:spacing w:line="240" w:lineRule="auto"/>
              <w:jc w:val="center"/>
            </w:pPr>
            <w:r w:rsidRPr="004D764C">
              <w:t>0.</w:t>
            </w:r>
            <w:r>
              <w:t>3</w:t>
            </w:r>
            <w:r w:rsidRPr="004D764C">
              <w:t>0</w:t>
            </w:r>
          </w:p>
        </w:tc>
        <w:tc>
          <w:tcPr>
            <w:tcW w:w="1337" w:type="dxa"/>
            <w:tcBorders>
              <w:top w:val="single" w:sz="4" w:space="0" w:color="auto"/>
              <w:left w:val="nil"/>
              <w:bottom w:val="nil"/>
              <w:right w:val="nil"/>
            </w:tcBorders>
            <w:vAlign w:val="center"/>
          </w:tcPr>
          <w:p w14:paraId="2A3AA7FA" w14:textId="77777777" w:rsidR="007B6536" w:rsidRPr="004D764C" w:rsidRDefault="007B6536" w:rsidP="00DD3BC8">
            <w:pPr>
              <w:spacing w:line="240" w:lineRule="auto"/>
              <w:jc w:val="center"/>
            </w:pPr>
            <w:r>
              <w:t>225600</w:t>
            </w:r>
          </w:p>
        </w:tc>
        <w:tc>
          <w:tcPr>
            <w:tcW w:w="1337" w:type="dxa"/>
            <w:tcBorders>
              <w:top w:val="single" w:sz="4" w:space="0" w:color="auto"/>
              <w:left w:val="nil"/>
              <w:bottom w:val="nil"/>
              <w:right w:val="nil"/>
            </w:tcBorders>
            <w:vAlign w:val="center"/>
          </w:tcPr>
          <w:p w14:paraId="274AF1EC" w14:textId="77777777" w:rsidR="007B6536" w:rsidRPr="004D764C" w:rsidRDefault="007B6536" w:rsidP="00DD3BC8">
            <w:pPr>
              <w:spacing w:line="240" w:lineRule="auto"/>
              <w:jc w:val="center"/>
            </w:pPr>
            <w:r>
              <w:t>5460</w:t>
            </w:r>
          </w:p>
        </w:tc>
        <w:tc>
          <w:tcPr>
            <w:tcW w:w="1337" w:type="dxa"/>
            <w:tcBorders>
              <w:top w:val="single" w:sz="4" w:space="0" w:color="auto"/>
              <w:left w:val="nil"/>
              <w:bottom w:val="nil"/>
              <w:right w:val="nil"/>
            </w:tcBorders>
            <w:vAlign w:val="center"/>
          </w:tcPr>
          <w:p w14:paraId="012FA4E2" w14:textId="77777777" w:rsidR="007B6536" w:rsidRPr="00CE3274" w:rsidRDefault="007B6536" w:rsidP="00DD3BC8">
            <w:pPr>
              <w:spacing w:line="240" w:lineRule="auto"/>
              <w:jc w:val="center"/>
            </w:pPr>
            <w:r>
              <w:t>20.67</w:t>
            </w:r>
          </w:p>
        </w:tc>
      </w:tr>
      <w:tr w:rsidR="007B6536" w:rsidRPr="0041408A" w14:paraId="18695AB7" w14:textId="77777777" w:rsidTr="00DD3BC8">
        <w:trPr>
          <w:trHeight w:val="576"/>
          <w:jc w:val="center"/>
        </w:trPr>
        <w:tc>
          <w:tcPr>
            <w:tcW w:w="1338" w:type="dxa"/>
            <w:tcBorders>
              <w:top w:val="nil"/>
              <w:left w:val="nil"/>
              <w:bottom w:val="single" w:sz="4" w:space="0" w:color="auto"/>
              <w:right w:val="nil"/>
            </w:tcBorders>
            <w:shd w:val="clear" w:color="auto" w:fill="auto"/>
            <w:noWrap/>
            <w:vAlign w:val="center"/>
          </w:tcPr>
          <w:p w14:paraId="5ACA738B" w14:textId="77777777" w:rsidR="007B6536" w:rsidRPr="00725DFB" w:rsidRDefault="007B6536" w:rsidP="00DD3BC8">
            <w:pPr>
              <w:spacing w:line="240" w:lineRule="auto"/>
              <w:jc w:val="center"/>
              <w:rPr>
                <w:rFonts w:eastAsia="Times New Roman" w:cs="Times New Roman"/>
                <w:szCs w:val="24"/>
              </w:rPr>
            </w:pPr>
            <w:r w:rsidRPr="00CD4B62">
              <w:rPr>
                <w:rFonts w:eastAsia="Times New Roman" w:cs="Times New Roman"/>
                <w:szCs w:val="24"/>
              </w:rPr>
              <w:t xml:space="preserve">Istok </w:t>
            </w:r>
            <w:r w:rsidRPr="00725DFB">
              <w:rPr>
                <w:rFonts w:eastAsia="Times New Roman" w:cs="Times New Roman"/>
                <w:szCs w:val="24"/>
              </w:rPr>
              <w:t>(2013)</w:t>
            </w:r>
          </w:p>
        </w:tc>
        <w:tc>
          <w:tcPr>
            <w:tcW w:w="1337" w:type="dxa"/>
            <w:tcBorders>
              <w:top w:val="nil"/>
              <w:left w:val="nil"/>
              <w:bottom w:val="single" w:sz="4" w:space="0" w:color="auto"/>
              <w:right w:val="nil"/>
            </w:tcBorders>
            <w:shd w:val="clear" w:color="auto" w:fill="auto"/>
            <w:noWrap/>
            <w:vAlign w:val="center"/>
          </w:tcPr>
          <w:p w14:paraId="23BF7034" w14:textId="77777777" w:rsidR="007B6536" w:rsidRPr="00CE3274" w:rsidRDefault="007B6536" w:rsidP="00DD3BC8">
            <w:pPr>
              <w:spacing w:line="240" w:lineRule="auto"/>
              <w:jc w:val="center"/>
            </w:pPr>
            <w:r w:rsidRPr="00CE3274">
              <w:t>2.</w:t>
            </w:r>
            <w:r>
              <w:t>93</w:t>
            </w:r>
          </w:p>
        </w:tc>
        <w:tc>
          <w:tcPr>
            <w:tcW w:w="1337" w:type="dxa"/>
            <w:tcBorders>
              <w:top w:val="nil"/>
              <w:left w:val="nil"/>
              <w:bottom w:val="single" w:sz="4" w:space="0" w:color="auto"/>
              <w:right w:val="nil"/>
            </w:tcBorders>
            <w:shd w:val="clear" w:color="auto" w:fill="auto"/>
            <w:noWrap/>
            <w:vAlign w:val="center"/>
          </w:tcPr>
          <w:p w14:paraId="02404ED0" w14:textId="77777777" w:rsidR="007B6536" w:rsidRPr="00CE3274" w:rsidRDefault="007B6536" w:rsidP="00DD3BC8">
            <w:pPr>
              <w:spacing w:line="240" w:lineRule="auto"/>
              <w:jc w:val="center"/>
            </w:pPr>
            <w:r>
              <w:t>300</w:t>
            </w:r>
            <w:r w:rsidRPr="00CE3274">
              <w:t>0</w:t>
            </w:r>
          </w:p>
        </w:tc>
        <w:tc>
          <w:tcPr>
            <w:tcW w:w="1337" w:type="dxa"/>
            <w:tcBorders>
              <w:top w:val="nil"/>
              <w:left w:val="nil"/>
              <w:bottom w:val="single" w:sz="4" w:space="0" w:color="auto"/>
              <w:right w:val="nil"/>
            </w:tcBorders>
            <w:vAlign w:val="center"/>
          </w:tcPr>
          <w:p w14:paraId="781C45D2" w14:textId="77777777" w:rsidR="007B6536" w:rsidRPr="004D764C" w:rsidRDefault="007B6536" w:rsidP="00DD3BC8">
            <w:pPr>
              <w:spacing w:line="240" w:lineRule="auto"/>
              <w:jc w:val="center"/>
            </w:pPr>
            <w:r>
              <w:t>0.</w:t>
            </w:r>
            <w:r w:rsidRPr="004D764C">
              <w:t>10</w:t>
            </w:r>
          </w:p>
        </w:tc>
        <w:tc>
          <w:tcPr>
            <w:tcW w:w="1337" w:type="dxa"/>
            <w:tcBorders>
              <w:top w:val="nil"/>
              <w:left w:val="nil"/>
              <w:bottom w:val="single" w:sz="4" w:space="0" w:color="auto"/>
              <w:right w:val="nil"/>
            </w:tcBorders>
            <w:vAlign w:val="center"/>
          </w:tcPr>
          <w:p w14:paraId="6FAF7556" w14:textId="77777777" w:rsidR="007B6536" w:rsidRPr="004D764C" w:rsidRDefault="007B6536" w:rsidP="00DD3BC8">
            <w:pPr>
              <w:spacing w:line="240" w:lineRule="auto"/>
              <w:jc w:val="center"/>
            </w:pPr>
            <w:r>
              <w:t>108000</w:t>
            </w:r>
          </w:p>
        </w:tc>
        <w:tc>
          <w:tcPr>
            <w:tcW w:w="1337" w:type="dxa"/>
            <w:tcBorders>
              <w:top w:val="nil"/>
              <w:left w:val="nil"/>
              <w:bottom w:val="single" w:sz="4" w:space="0" w:color="auto"/>
              <w:right w:val="nil"/>
            </w:tcBorders>
            <w:vAlign w:val="center"/>
          </w:tcPr>
          <w:p w14:paraId="39355250" w14:textId="77777777" w:rsidR="007B6536" w:rsidRPr="004D764C" w:rsidRDefault="007B6536" w:rsidP="00DD3BC8">
            <w:pPr>
              <w:spacing w:line="240" w:lineRule="auto"/>
              <w:jc w:val="center"/>
            </w:pPr>
            <w:r>
              <w:t>5220</w:t>
            </w:r>
          </w:p>
        </w:tc>
        <w:tc>
          <w:tcPr>
            <w:tcW w:w="1337" w:type="dxa"/>
            <w:tcBorders>
              <w:top w:val="nil"/>
              <w:left w:val="nil"/>
              <w:bottom w:val="single" w:sz="4" w:space="0" w:color="auto"/>
              <w:right w:val="nil"/>
            </w:tcBorders>
            <w:vAlign w:val="center"/>
          </w:tcPr>
          <w:p w14:paraId="4DA39A75" w14:textId="77777777" w:rsidR="007B6536" w:rsidRPr="00CE3274" w:rsidRDefault="007B6536" w:rsidP="00DD3BC8">
            <w:pPr>
              <w:spacing w:line="240" w:lineRule="auto"/>
              <w:jc w:val="center"/>
            </w:pPr>
            <w:r>
              <w:t>0.16</w:t>
            </w:r>
          </w:p>
        </w:tc>
      </w:tr>
    </w:tbl>
    <w:p w14:paraId="1CC9DAA6" w14:textId="77777777" w:rsidR="007B6536" w:rsidRPr="007B6536" w:rsidRDefault="007B6536" w:rsidP="007B6536"/>
    <w:p w14:paraId="06D5E6AE" w14:textId="77777777" w:rsidR="007B6536" w:rsidRDefault="007B6536" w:rsidP="007B6536"/>
    <w:p w14:paraId="56FF428E" w14:textId="77777777" w:rsidR="00A873A8" w:rsidRDefault="00A873A8" w:rsidP="00A873A8">
      <w:pPr>
        <w:ind w:firstLine="720"/>
        <w:rPr>
          <w:b/>
        </w:rPr>
      </w:pPr>
    </w:p>
    <w:p w14:paraId="19A914E9" w14:textId="77777777" w:rsidR="00A873A8" w:rsidRDefault="00A873A8" w:rsidP="00A873A8"/>
    <w:p w14:paraId="0693E186" w14:textId="77777777" w:rsidR="00A873A8" w:rsidRDefault="00A873A8" w:rsidP="00A873A8"/>
    <w:p w14:paraId="723F91F7" w14:textId="77777777" w:rsidR="00A873A8" w:rsidRDefault="00A873A8" w:rsidP="00A873A8"/>
    <w:p w14:paraId="0BCFAB18" w14:textId="77777777" w:rsidR="00A873A8" w:rsidRDefault="00A873A8" w:rsidP="00A873A8"/>
    <w:p w14:paraId="38E35CA9" w14:textId="77777777" w:rsidR="00A873A8" w:rsidRDefault="00A873A8" w:rsidP="00A873A8"/>
    <w:p w14:paraId="056687EE" w14:textId="77777777" w:rsidR="00A873A8" w:rsidRDefault="00A873A8" w:rsidP="00A873A8"/>
    <w:p w14:paraId="49796258" w14:textId="77777777" w:rsidR="00A873A8" w:rsidRDefault="00A873A8" w:rsidP="00A873A8"/>
    <w:p w14:paraId="50BE9C3D" w14:textId="77777777" w:rsidR="00BC7A8C" w:rsidRDefault="00BC7A8C" w:rsidP="00BC7A8C">
      <w:pPr>
        <w:pStyle w:val="Caption"/>
        <w:keepNext/>
      </w:pPr>
      <w:bookmarkStart w:id="137" w:name="_Ref486660441"/>
      <w:bookmarkStart w:id="138" w:name="_Toc498504885"/>
      <w:r>
        <w:lastRenderedPageBreak/>
        <w:t xml:space="preserve">Table </w:t>
      </w:r>
      <w:r w:rsidR="00CA2C3C">
        <w:fldChar w:fldCharType="begin"/>
      </w:r>
      <w:r w:rsidR="00CA2C3C">
        <w:instrText xml:space="preserve"> STYLEREF 1 \s </w:instrText>
      </w:r>
      <w:r w:rsidR="00CA2C3C">
        <w:fldChar w:fldCharType="separate"/>
      </w:r>
      <w:r w:rsidR="002105EE">
        <w:rPr>
          <w:noProof/>
        </w:rPr>
        <w:t>3</w:t>
      </w:r>
      <w:r w:rsidR="00CA2C3C">
        <w:rPr>
          <w:noProof/>
        </w:rPr>
        <w:fldChar w:fldCharType="end"/>
      </w:r>
      <w:r w:rsidR="002105EE">
        <w:t>.</w:t>
      </w:r>
      <w:r w:rsidR="00CA2C3C">
        <w:fldChar w:fldCharType="begin"/>
      </w:r>
      <w:r w:rsidR="00CA2C3C">
        <w:instrText xml:space="preserve"> SEQ Table \* ARABIC \s 1 </w:instrText>
      </w:r>
      <w:r w:rsidR="00CA2C3C">
        <w:fldChar w:fldCharType="separate"/>
      </w:r>
      <w:r w:rsidR="002105EE">
        <w:rPr>
          <w:noProof/>
        </w:rPr>
        <w:t>3</w:t>
      </w:r>
      <w:r w:rsidR="00CA2C3C">
        <w:rPr>
          <w:noProof/>
        </w:rPr>
        <w:fldChar w:fldCharType="end"/>
      </w:r>
      <w:bookmarkEnd w:id="137"/>
      <w:r>
        <w:t xml:space="preserve"> </w:t>
      </w:r>
      <w:r w:rsidRPr="00BC7A8C">
        <w:rPr>
          <w:b w:val="0"/>
        </w:rPr>
        <w:t xml:space="preserve">Effective porosity calculated from the truncated and expanded solutions, (20) and (18), respectively, for tests in this study (FW220 through FW225) and for tests from </w:t>
      </w:r>
      <w:r w:rsidRPr="00BC7A8C">
        <w:rPr>
          <w:b w:val="0"/>
        </w:rPr>
        <w:fldChar w:fldCharType="begin"/>
      </w:r>
      <w:r w:rsidRPr="00BC7A8C">
        <w:rPr>
          <w:b w:val="0"/>
        </w:rPr>
        <w:instrText xml:space="preserve"> ADDIN EN.CITE &lt;EndNote&gt;&lt;Cite AuthorYear="1"&gt;&lt;Author&gt;Hall&lt;/Author&gt;&lt;Year&gt;1991&lt;/Year&gt;&lt;RecNum&gt;107&lt;/RecNum&gt;&lt;DisplayText&gt;Hall et al. (1991)&lt;/DisplayText&gt;&lt;record&gt;&lt;rec-number&gt;107&lt;/rec-number&gt;&lt;foreign-keys&gt;&lt;key app="EN" db-id="rzwe2tae7rs0abe55xgp55w8xtdf5xp9dwrd"&gt;107&lt;/key&gt;&lt;/foreign-keys&gt;&lt;ref-type name="Journal Article"&gt;17&lt;/ref-type&gt;&lt;contributors&gt;&lt;authors&gt;&lt;author&gt;Hall, S. H.&lt;/author&gt;&lt;author&gt;Luttrell, S. P.&lt;/author&gt;&lt;author&gt;Cronin, W. E.&lt;/author&gt;&lt;/authors&gt;&lt;/contributors&gt;&lt;titles&gt;&lt;title&gt;A method for estimating effective porosity and groundwater velocity&lt;/title&gt;&lt;secondary-title&gt;Ground Water&lt;/secondary-title&gt;&lt;/titles&gt;&lt;periodical&gt;&lt;full-title&gt;Ground Water&lt;/full-title&gt;&lt;abbr-1&gt;Ground Water&lt;/abbr-1&gt;&lt;/periodical&gt;&lt;pages&gt;171-174&lt;/pages&gt;&lt;volume&gt;29&lt;/volume&gt;&lt;number&gt;2&lt;/number&gt;&lt;dates&gt;&lt;year&gt;1991&lt;/year&gt;&lt;pub-dates&gt;&lt;date&gt;Mar-Apr&lt;/date&gt;&lt;/pub-dates&gt;&lt;/dates&gt;&lt;isbn&gt;0017-467X&lt;/isbn&gt;&lt;accession-num&gt;WOS:A1991FA88300002&lt;/accession-num&gt;&lt;urls&gt;&lt;related-urls&gt;&lt;url&gt;&amp;lt;Go to ISI&amp;gt;://WOS:A1991FA88300002&lt;/url&gt;&lt;url&gt;http://onlinelibrary.wiley.com/doi/10.1111/j.1745-6584.1991.tb00506.x/abstract&lt;/url&gt;&lt;/related-urls&gt;&lt;/urls&gt;&lt;electronic-resource-num&gt;10.1111/j.1745-6584.1991.tb00506.x&lt;/electronic-resource-num&gt;&lt;/record&gt;&lt;/Cite&gt;&lt;/EndNote&gt;</w:instrText>
      </w:r>
      <w:r w:rsidRPr="00BC7A8C">
        <w:rPr>
          <w:b w:val="0"/>
        </w:rPr>
        <w:fldChar w:fldCharType="separate"/>
      </w:r>
      <w:hyperlink w:anchor="_ENREF_8" w:tooltip="Hall, 1991 #107" w:history="1">
        <w:r w:rsidRPr="00BC7A8C">
          <w:rPr>
            <w:b w:val="0"/>
            <w:noProof/>
          </w:rPr>
          <w:t>Hall et al. (1991</w:t>
        </w:r>
      </w:hyperlink>
      <w:r w:rsidRPr="00BC7A8C">
        <w:rPr>
          <w:b w:val="0"/>
          <w:noProof/>
        </w:rPr>
        <w:t>)</w:t>
      </w:r>
      <w:r w:rsidRPr="00BC7A8C">
        <w:rPr>
          <w:b w:val="0"/>
        </w:rPr>
        <w:fldChar w:fldCharType="end"/>
      </w:r>
      <w:r w:rsidRPr="00BC7A8C">
        <w:rPr>
          <w:b w:val="0"/>
        </w:rPr>
        <w:t xml:space="preserve"> and </w:t>
      </w:r>
      <w:r w:rsidRPr="00BC7A8C">
        <w:rPr>
          <w:b w:val="0"/>
        </w:rPr>
        <w:fldChar w:fldCharType="begin"/>
      </w:r>
      <w:r w:rsidRPr="00BC7A8C">
        <w:rPr>
          <w:b w:val="0"/>
        </w:rPr>
        <w:instrText xml:space="preserve"> ADDIN EN.CITE &lt;EndNote&gt;&lt;Cite AuthorYear="1"&gt;&lt;Author&gt;Istok&lt;/Author&gt;&lt;Year&gt;2013&lt;/Year&gt;&lt;RecNum&gt;549&lt;/RecNum&gt;&lt;DisplayText&gt;Istok (2013)&lt;/DisplayText&gt;&lt;record&gt;&lt;rec-number&gt;549&lt;/rec-number&gt;&lt;foreign-keys&gt;&lt;key app="EN" db-id="rzwe2tae7rs0abe55xgp55w8xtdf5xp9dwrd"&gt;549&lt;/key&gt;&lt;/foreign-keys&gt;&lt;ref-type name="Book"&gt;6&lt;/ref-type&gt;&lt;contributors&gt;&lt;authors&gt;&lt;author&gt;Jonathan David Istok&lt;/author&gt;&lt;/authors&gt;&lt;/contributors&gt;&lt;titles&gt;&lt;title&gt;Push-Pull Tests for Site Characterization&lt;/title&gt;&lt;secondary-title&gt;Lecture Notes in Earth System Sciences&lt;/secondary-title&gt;&lt;/titles&gt;&lt;dates&gt;&lt;year&gt;2013&lt;/year&gt;&lt;/dates&gt;&lt;pub-location&gt;Corvaillis, OR, USA&lt;/pub-location&gt;&lt;publisher&gt;Springer&lt;/publisher&gt;&lt;isbn&gt;2193-8571&lt;/isbn&gt;&lt;urls&gt;&lt;/urls&gt;&lt;electronic-resource-num&gt;10.1007/978-3-642-13920-8&lt;/electronic-resource-num&gt;&lt;/record&gt;&lt;/Cite&gt;&lt;/EndNote&gt;</w:instrText>
      </w:r>
      <w:r w:rsidRPr="00BC7A8C">
        <w:rPr>
          <w:b w:val="0"/>
        </w:rPr>
        <w:fldChar w:fldCharType="separate"/>
      </w:r>
      <w:hyperlink w:anchor="_ENREF_13" w:tooltip="Istok, 2013 #549" w:history="1">
        <w:r w:rsidRPr="00BC7A8C">
          <w:rPr>
            <w:b w:val="0"/>
            <w:noProof/>
          </w:rPr>
          <w:t>Istok (2013</w:t>
        </w:r>
      </w:hyperlink>
      <w:r w:rsidRPr="00BC7A8C">
        <w:rPr>
          <w:b w:val="0"/>
          <w:noProof/>
        </w:rPr>
        <w:t>)</w:t>
      </w:r>
      <w:r w:rsidRPr="00BC7A8C">
        <w:rPr>
          <w:b w:val="0"/>
        </w:rPr>
        <w:fldChar w:fldCharType="end"/>
      </w:r>
      <w:r w:rsidRPr="00BC7A8C">
        <w:rPr>
          <w:b w:val="0"/>
        </w:rPr>
        <w:t>, n</w:t>
      </w:r>
      <w:r w:rsidRPr="00BC7A8C">
        <w:rPr>
          <w:b w:val="0"/>
          <w:vertAlign w:val="subscript"/>
        </w:rPr>
        <w:t xml:space="preserve">e1 </w:t>
      </w:r>
      <w:r w:rsidRPr="00BC7A8C">
        <w:rPr>
          <w:b w:val="0"/>
        </w:rPr>
        <w:t>from equation (18), n</w:t>
      </w:r>
      <w:r w:rsidRPr="00BC7A8C">
        <w:rPr>
          <w:b w:val="0"/>
          <w:vertAlign w:val="subscript"/>
        </w:rPr>
        <w:t xml:space="preserve">e2 </w:t>
      </w:r>
      <w:r w:rsidRPr="00BC7A8C">
        <w:rPr>
          <w:b w:val="0"/>
        </w:rPr>
        <w:t>from equation (20)</w:t>
      </w:r>
      <w:bookmarkEnd w:id="138"/>
    </w:p>
    <w:tbl>
      <w:tblPr>
        <w:tblW w:w="9360" w:type="dxa"/>
        <w:jc w:val="center"/>
        <w:tblLayout w:type="fixed"/>
        <w:tblLook w:val="04A0" w:firstRow="1" w:lastRow="0" w:firstColumn="1" w:lastColumn="0" w:noHBand="0" w:noVBand="1"/>
      </w:tblPr>
      <w:tblGrid>
        <w:gridCol w:w="3120"/>
        <w:gridCol w:w="3120"/>
        <w:gridCol w:w="3120"/>
      </w:tblGrid>
      <w:tr w:rsidR="00BC7A8C" w:rsidRPr="0041408A" w14:paraId="6BCB5B6C" w14:textId="77777777" w:rsidTr="00DD3BC8">
        <w:trPr>
          <w:trHeight w:val="432"/>
          <w:jc w:val="center"/>
        </w:trPr>
        <w:tc>
          <w:tcPr>
            <w:tcW w:w="3120" w:type="dxa"/>
            <w:tcBorders>
              <w:top w:val="single" w:sz="4" w:space="0" w:color="auto"/>
              <w:left w:val="nil"/>
              <w:bottom w:val="nil"/>
              <w:right w:val="nil"/>
            </w:tcBorders>
            <w:shd w:val="clear" w:color="auto" w:fill="auto"/>
            <w:noWrap/>
            <w:vAlign w:val="center"/>
            <w:hideMark/>
          </w:tcPr>
          <w:p w14:paraId="3B7CBAEF" w14:textId="77777777" w:rsidR="00BC7A8C" w:rsidRPr="00007259" w:rsidRDefault="00BC7A8C" w:rsidP="00DD3BC8">
            <w:pPr>
              <w:spacing w:line="240" w:lineRule="auto"/>
              <w:jc w:val="center"/>
              <w:rPr>
                <w:rFonts w:eastAsia="Times New Roman" w:cs="Times New Roman"/>
                <w:szCs w:val="24"/>
              </w:rPr>
            </w:pPr>
            <w:r w:rsidRPr="00007259">
              <w:rPr>
                <w:rFonts w:eastAsia="Times New Roman" w:cs="Times New Roman"/>
                <w:szCs w:val="24"/>
              </w:rPr>
              <w:t>Test</w:t>
            </w:r>
          </w:p>
        </w:tc>
        <w:tc>
          <w:tcPr>
            <w:tcW w:w="3120" w:type="dxa"/>
            <w:tcBorders>
              <w:top w:val="single" w:sz="4" w:space="0" w:color="auto"/>
              <w:left w:val="nil"/>
              <w:bottom w:val="nil"/>
              <w:right w:val="nil"/>
            </w:tcBorders>
            <w:shd w:val="clear" w:color="auto" w:fill="auto"/>
            <w:noWrap/>
            <w:vAlign w:val="center"/>
          </w:tcPr>
          <w:p w14:paraId="3B1C3672" w14:textId="77777777" w:rsidR="00BC7A8C" w:rsidRPr="00007259" w:rsidRDefault="00BC7A8C" w:rsidP="00DD3BC8">
            <w:pPr>
              <w:spacing w:line="240" w:lineRule="auto"/>
              <w:jc w:val="center"/>
              <w:rPr>
                <w:rFonts w:eastAsia="Times New Roman" w:cs="Times New Roman"/>
                <w:szCs w:val="24"/>
              </w:rPr>
            </w:pPr>
            <w:r>
              <w:t>n</w:t>
            </w:r>
            <w:r w:rsidRPr="001A1BB1">
              <w:rPr>
                <w:vertAlign w:val="subscript"/>
              </w:rPr>
              <w:t>e1</w:t>
            </w:r>
          </w:p>
        </w:tc>
        <w:tc>
          <w:tcPr>
            <w:tcW w:w="3120" w:type="dxa"/>
            <w:tcBorders>
              <w:top w:val="single" w:sz="4" w:space="0" w:color="auto"/>
              <w:left w:val="nil"/>
              <w:bottom w:val="nil"/>
              <w:right w:val="nil"/>
            </w:tcBorders>
            <w:shd w:val="clear" w:color="auto" w:fill="auto"/>
            <w:noWrap/>
            <w:vAlign w:val="center"/>
          </w:tcPr>
          <w:p w14:paraId="4461822A" w14:textId="77777777" w:rsidR="00BC7A8C" w:rsidRPr="00262192" w:rsidRDefault="00BC7A8C" w:rsidP="00DD3BC8">
            <w:pPr>
              <w:spacing w:line="240" w:lineRule="auto"/>
              <w:jc w:val="center"/>
              <w:rPr>
                <w:rFonts w:eastAsia="Times New Roman" w:cs="Times New Roman"/>
                <w:szCs w:val="24"/>
              </w:rPr>
            </w:pPr>
            <w:r>
              <w:t>n</w:t>
            </w:r>
            <w:r w:rsidRPr="004D764C">
              <w:rPr>
                <w:vertAlign w:val="subscript"/>
              </w:rPr>
              <w:t>e</w:t>
            </w:r>
            <w:r>
              <w:rPr>
                <w:vertAlign w:val="subscript"/>
              </w:rPr>
              <w:t>2</w:t>
            </w:r>
          </w:p>
        </w:tc>
      </w:tr>
      <w:tr w:rsidR="00BC7A8C" w:rsidRPr="0041408A" w14:paraId="65C011DD" w14:textId="77777777" w:rsidTr="00DD3BC8">
        <w:trPr>
          <w:trHeight w:val="432"/>
          <w:jc w:val="center"/>
        </w:trPr>
        <w:tc>
          <w:tcPr>
            <w:tcW w:w="3120" w:type="dxa"/>
            <w:tcBorders>
              <w:top w:val="nil"/>
              <w:left w:val="nil"/>
              <w:bottom w:val="single" w:sz="4" w:space="0" w:color="auto"/>
              <w:right w:val="nil"/>
            </w:tcBorders>
            <w:shd w:val="clear" w:color="auto" w:fill="auto"/>
            <w:noWrap/>
            <w:vAlign w:val="center"/>
            <w:hideMark/>
          </w:tcPr>
          <w:p w14:paraId="737F3A17" w14:textId="77777777" w:rsidR="00BC7A8C" w:rsidRPr="00007259" w:rsidRDefault="00BC7A8C" w:rsidP="00DD3BC8">
            <w:pPr>
              <w:spacing w:line="240" w:lineRule="auto"/>
              <w:jc w:val="center"/>
              <w:rPr>
                <w:rFonts w:eastAsia="Times New Roman" w:cs="Times New Roman"/>
                <w:szCs w:val="24"/>
              </w:rPr>
            </w:pPr>
            <w:r w:rsidRPr="00007259">
              <w:rPr>
                <w:rFonts w:eastAsia="Times New Roman" w:cs="Times New Roman"/>
                <w:szCs w:val="24"/>
              </w:rPr>
              <w:t>Well</w:t>
            </w:r>
            <w:r>
              <w:rPr>
                <w:rFonts w:eastAsia="Times New Roman" w:cs="Times New Roman"/>
                <w:szCs w:val="24"/>
              </w:rPr>
              <w:t>/Study</w:t>
            </w:r>
          </w:p>
        </w:tc>
        <w:tc>
          <w:tcPr>
            <w:tcW w:w="3120" w:type="dxa"/>
            <w:tcBorders>
              <w:top w:val="nil"/>
              <w:left w:val="nil"/>
              <w:bottom w:val="single" w:sz="4" w:space="0" w:color="auto"/>
              <w:right w:val="nil"/>
            </w:tcBorders>
            <w:shd w:val="clear" w:color="auto" w:fill="auto"/>
            <w:noWrap/>
            <w:vAlign w:val="center"/>
          </w:tcPr>
          <w:p w14:paraId="72E467EF" w14:textId="77777777" w:rsidR="00BC7A8C" w:rsidRPr="00007259" w:rsidRDefault="00BC7A8C" w:rsidP="00DD3BC8">
            <w:pPr>
              <w:spacing w:line="240" w:lineRule="auto"/>
              <w:jc w:val="center"/>
              <w:rPr>
                <w:rFonts w:eastAsia="Times New Roman" w:cs="Times New Roman"/>
                <w:szCs w:val="24"/>
              </w:rPr>
            </w:pPr>
            <w:r>
              <w:t>(%)</w:t>
            </w:r>
          </w:p>
        </w:tc>
        <w:tc>
          <w:tcPr>
            <w:tcW w:w="3120" w:type="dxa"/>
            <w:tcBorders>
              <w:top w:val="nil"/>
              <w:left w:val="nil"/>
              <w:bottom w:val="single" w:sz="4" w:space="0" w:color="auto"/>
              <w:right w:val="nil"/>
            </w:tcBorders>
            <w:shd w:val="clear" w:color="auto" w:fill="auto"/>
            <w:noWrap/>
            <w:vAlign w:val="center"/>
          </w:tcPr>
          <w:p w14:paraId="3F742519" w14:textId="77777777" w:rsidR="00BC7A8C" w:rsidRPr="00262192" w:rsidRDefault="00BC7A8C" w:rsidP="00DD3BC8">
            <w:pPr>
              <w:spacing w:line="240" w:lineRule="auto"/>
              <w:jc w:val="center"/>
              <w:rPr>
                <w:rFonts w:eastAsia="Times New Roman" w:cs="Times New Roman"/>
                <w:szCs w:val="24"/>
              </w:rPr>
            </w:pPr>
            <w:r>
              <w:t>(%)</w:t>
            </w:r>
          </w:p>
        </w:tc>
      </w:tr>
      <w:tr w:rsidR="00BC7A8C" w:rsidRPr="0041408A" w14:paraId="0833897D" w14:textId="77777777" w:rsidTr="00DD3BC8">
        <w:trPr>
          <w:trHeight w:val="432"/>
          <w:jc w:val="center"/>
        </w:trPr>
        <w:tc>
          <w:tcPr>
            <w:tcW w:w="3120" w:type="dxa"/>
            <w:tcBorders>
              <w:top w:val="nil"/>
              <w:left w:val="nil"/>
              <w:bottom w:val="nil"/>
              <w:right w:val="nil"/>
            </w:tcBorders>
            <w:shd w:val="clear" w:color="auto" w:fill="auto"/>
            <w:noWrap/>
            <w:vAlign w:val="center"/>
          </w:tcPr>
          <w:p w14:paraId="147A26B3" w14:textId="77777777" w:rsidR="00BC7A8C" w:rsidRPr="00007259" w:rsidRDefault="00BC7A8C" w:rsidP="00DD3BC8">
            <w:pPr>
              <w:spacing w:line="240" w:lineRule="auto"/>
              <w:jc w:val="center"/>
              <w:rPr>
                <w:rFonts w:eastAsia="Times New Roman" w:cs="Times New Roman"/>
                <w:szCs w:val="24"/>
              </w:rPr>
            </w:pPr>
            <w:r w:rsidRPr="00007259">
              <w:rPr>
                <w:rFonts w:eastAsia="Times New Roman" w:cs="Times New Roman"/>
                <w:szCs w:val="24"/>
              </w:rPr>
              <w:t>FW220</w:t>
            </w:r>
          </w:p>
        </w:tc>
        <w:tc>
          <w:tcPr>
            <w:tcW w:w="3120" w:type="dxa"/>
            <w:tcBorders>
              <w:top w:val="nil"/>
              <w:left w:val="nil"/>
              <w:bottom w:val="nil"/>
              <w:right w:val="nil"/>
            </w:tcBorders>
            <w:shd w:val="clear" w:color="auto" w:fill="auto"/>
            <w:noWrap/>
            <w:vAlign w:val="center"/>
          </w:tcPr>
          <w:p w14:paraId="2D2B6B95" w14:textId="77777777" w:rsidR="00BC7A8C" w:rsidRPr="00007259" w:rsidRDefault="00BC7A8C" w:rsidP="00DD3BC8">
            <w:pPr>
              <w:spacing w:line="240" w:lineRule="auto"/>
              <w:jc w:val="center"/>
              <w:rPr>
                <w:rFonts w:eastAsia="Times New Roman" w:cs="Times New Roman"/>
                <w:szCs w:val="24"/>
              </w:rPr>
            </w:pPr>
            <w:r>
              <w:t>0.6</w:t>
            </w:r>
          </w:p>
        </w:tc>
        <w:tc>
          <w:tcPr>
            <w:tcW w:w="3120" w:type="dxa"/>
            <w:tcBorders>
              <w:top w:val="nil"/>
              <w:left w:val="nil"/>
              <w:bottom w:val="nil"/>
              <w:right w:val="nil"/>
            </w:tcBorders>
            <w:shd w:val="clear" w:color="auto" w:fill="auto"/>
            <w:noWrap/>
            <w:vAlign w:val="center"/>
          </w:tcPr>
          <w:p w14:paraId="75CB02B3" w14:textId="77777777" w:rsidR="00BC7A8C" w:rsidRPr="00262192" w:rsidRDefault="00BC7A8C" w:rsidP="00DD3BC8">
            <w:pPr>
              <w:spacing w:line="240" w:lineRule="auto"/>
              <w:jc w:val="center"/>
              <w:rPr>
                <w:rFonts w:eastAsia="Times New Roman" w:cs="Times New Roman"/>
                <w:szCs w:val="24"/>
              </w:rPr>
            </w:pPr>
            <w:r>
              <w:t>0.1</w:t>
            </w:r>
          </w:p>
        </w:tc>
      </w:tr>
      <w:tr w:rsidR="00BC7A8C" w:rsidRPr="0041408A" w14:paraId="14FF989F" w14:textId="77777777" w:rsidTr="00DD3BC8">
        <w:trPr>
          <w:trHeight w:val="432"/>
          <w:jc w:val="center"/>
        </w:trPr>
        <w:tc>
          <w:tcPr>
            <w:tcW w:w="3120" w:type="dxa"/>
            <w:tcBorders>
              <w:top w:val="nil"/>
              <w:left w:val="nil"/>
              <w:bottom w:val="nil"/>
              <w:right w:val="nil"/>
            </w:tcBorders>
            <w:shd w:val="clear" w:color="auto" w:fill="auto"/>
            <w:noWrap/>
            <w:vAlign w:val="center"/>
          </w:tcPr>
          <w:p w14:paraId="3C2E28A6" w14:textId="77777777" w:rsidR="00BC7A8C" w:rsidRPr="00007259" w:rsidRDefault="00BC7A8C" w:rsidP="00DD3BC8">
            <w:pPr>
              <w:spacing w:line="240" w:lineRule="auto"/>
              <w:jc w:val="center"/>
              <w:rPr>
                <w:rFonts w:eastAsia="Times New Roman" w:cs="Times New Roman"/>
                <w:szCs w:val="24"/>
              </w:rPr>
            </w:pPr>
            <w:r w:rsidRPr="00007259">
              <w:rPr>
                <w:rFonts w:eastAsia="Times New Roman" w:cs="Times New Roman"/>
                <w:szCs w:val="24"/>
              </w:rPr>
              <w:t>FW221</w:t>
            </w:r>
          </w:p>
        </w:tc>
        <w:tc>
          <w:tcPr>
            <w:tcW w:w="3120" w:type="dxa"/>
            <w:tcBorders>
              <w:top w:val="nil"/>
              <w:left w:val="nil"/>
              <w:bottom w:val="nil"/>
              <w:right w:val="nil"/>
            </w:tcBorders>
            <w:shd w:val="clear" w:color="auto" w:fill="auto"/>
            <w:noWrap/>
            <w:vAlign w:val="center"/>
          </w:tcPr>
          <w:p w14:paraId="51DA3089" w14:textId="77777777" w:rsidR="00BC7A8C" w:rsidRPr="00007259" w:rsidRDefault="00BC7A8C" w:rsidP="00DD3BC8">
            <w:pPr>
              <w:spacing w:line="240" w:lineRule="auto"/>
              <w:jc w:val="center"/>
              <w:rPr>
                <w:rFonts w:eastAsia="Times New Roman" w:cs="Times New Roman"/>
                <w:szCs w:val="24"/>
              </w:rPr>
            </w:pPr>
            <w:r>
              <w:t>5.0</w:t>
            </w:r>
          </w:p>
        </w:tc>
        <w:tc>
          <w:tcPr>
            <w:tcW w:w="3120" w:type="dxa"/>
            <w:tcBorders>
              <w:top w:val="nil"/>
              <w:left w:val="nil"/>
              <w:bottom w:val="nil"/>
              <w:right w:val="nil"/>
            </w:tcBorders>
            <w:shd w:val="clear" w:color="auto" w:fill="auto"/>
            <w:noWrap/>
            <w:vAlign w:val="center"/>
          </w:tcPr>
          <w:p w14:paraId="3A84D581" w14:textId="77777777" w:rsidR="00BC7A8C" w:rsidRPr="00262192" w:rsidRDefault="00BC7A8C" w:rsidP="00DD3BC8">
            <w:pPr>
              <w:spacing w:line="240" w:lineRule="auto"/>
              <w:jc w:val="center"/>
              <w:rPr>
                <w:rFonts w:eastAsia="Times New Roman" w:cs="Times New Roman"/>
                <w:szCs w:val="24"/>
              </w:rPr>
            </w:pPr>
            <w:r>
              <w:t>1.3</w:t>
            </w:r>
          </w:p>
        </w:tc>
      </w:tr>
      <w:tr w:rsidR="00BC7A8C" w:rsidRPr="0041408A" w14:paraId="5D0E29A3" w14:textId="77777777" w:rsidTr="00DD3BC8">
        <w:trPr>
          <w:trHeight w:val="432"/>
          <w:jc w:val="center"/>
        </w:trPr>
        <w:tc>
          <w:tcPr>
            <w:tcW w:w="3120" w:type="dxa"/>
            <w:tcBorders>
              <w:top w:val="nil"/>
              <w:left w:val="nil"/>
              <w:bottom w:val="nil"/>
              <w:right w:val="nil"/>
            </w:tcBorders>
            <w:shd w:val="clear" w:color="auto" w:fill="auto"/>
            <w:noWrap/>
            <w:vAlign w:val="center"/>
          </w:tcPr>
          <w:p w14:paraId="2C8ECEAD" w14:textId="77777777" w:rsidR="00BC7A8C" w:rsidRPr="00007259" w:rsidRDefault="00BC7A8C" w:rsidP="00DD3BC8">
            <w:pPr>
              <w:spacing w:line="240" w:lineRule="auto"/>
              <w:jc w:val="center"/>
              <w:rPr>
                <w:rFonts w:eastAsia="Times New Roman" w:cs="Times New Roman"/>
                <w:szCs w:val="24"/>
              </w:rPr>
            </w:pPr>
            <w:r w:rsidRPr="00007259">
              <w:rPr>
                <w:rFonts w:eastAsia="Times New Roman" w:cs="Times New Roman"/>
                <w:szCs w:val="24"/>
              </w:rPr>
              <w:t>FW222</w:t>
            </w:r>
          </w:p>
        </w:tc>
        <w:tc>
          <w:tcPr>
            <w:tcW w:w="3120" w:type="dxa"/>
            <w:tcBorders>
              <w:top w:val="nil"/>
              <w:left w:val="nil"/>
              <w:bottom w:val="nil"/>
              <w:right w:val="nil"/>
            </w:tcBorders>
            <w:shd w:val="clear" w:color="auto" w:fill="auto"/>
            <w:noWrap/>
            <w:vAlign w:val="center"/>
          </w:tcPr>
          <w:p w14:paraId="7D9B7E30" w14:textId="77777777" w:rsidR="00BC7A8C" w:rsidRPr="00007259" w:rsidRDefault="00BC7A8C" w:rsidP="00DD3BC8">
            <w:pPr>
              <w:spacing w:line="240" w:lineRule="auto"/>
              <w:jc w:val="center"/>
              <w:rPr>
                <w:rFonts w:eastAsia="Times New Roman" w:cs="Times New Roman"/>
                <w:szCs w:val="24"/>
              </w:rPr>
            </w:pPr>
            <w:r>
              <w:t>3.3</w:t>
            </w:r>
          </w:p>
        </w:tc>
        <w:tc>
          <w:tcPr>
            <w:tcW w:w="3120" w:type="dxa"/>
            <w:tcBorders>
              <w:top w:val="nil"/>
              <w:left w:val="nil"/>
              <w:bottom w:val="nil"/>
              <w:right w:val="nil"/>
            </w:tcBorders>
            <w:shd w:val="clear" w:color="auto" w:fill="auto"/>
            <w:noWrap/>
            <w:vAlign w:val="center"/>
          </w:tcPr>
          <w:p w14:paraId="5144F23F" w14:textId="77777777" w:rsidR="00BC7A8C" w:rsidRPr="00262192" w:rsidRDefault="00BC7A8C" w:rsidP="00DD3BC8">
            <w:pPr>
              <w:spacing w:line="240" w:lineRule="auto"/>
              <w:jc w:val="center"/>
              <w:rPr>
                <w:rFonts w:eastAsia="Times New Roman" w:cs="Times New Roman"/>
                <w:szCs w:val="24"/>
              </w:rPr>
            </w:pPr>
            <w:r>
              <w:t>0.4</w:t>
            </w:r>
          </w:p>
        </w:tc>
      </w:tr>
      <w:tr w:rsidR="00BC7A8C" w:rsidRPr="0041408A" w14:paraId="5F67ADF0" w14:textId="77777777" w:rsidTr="00DD3BC8">
        <w:trPr>
          <w:trHeight w:val="432"/>
          <w:jc w:val="center"/>
        </w:trPr>
        <w:tc>
          <w:tcPr>
            <w:tcW w:w="3120" w:type="dxa"/>
            <w:tcBorders>
              <w:top w:val="nil"/>
              <w:left w:val="nil"/>
              <w:bottom w:val="nil"/>
              <w:right w:val="nil"/>
            </w:tcBorders>
            <w:shd w:val="clear" w:color="auto" w:fill="auto"/>
            <w:noWrap/>
            <w:vAlign w:val="center"/>
          </w:tcPr>
          <w:p w14:paraId="03602863" w14:textId="77777777" w:rsidR="00BC7A8C" w:rsidRPr="00007259" w:rsidRDefault="00BC7A8C" w:rsidP="00DD3BC8">
            <w:pPr>
              <w:spacing w:line="240" w:lineRule="auto"/>
              <w:jc w:val="center"/>
              <w:rPr>
                <w:rFonts w:eastAsia="Times New Roman" w:cs="Times New Roman"/>
                <w:szCs w:val="24"/>
              </w:rPr>
            </w:pPr>
            <w:r w:rsidRPr="00007259">
              <w:rPr>
                <w:rFonts w:eastAsia="Times New Roman" w:cs="Times New Roman"/>
                <w:szCs w:val="24"/>
              </w:rPr>
              <w:t>FW223</w:t>
            </w:r>
          </w:p>
        </w:tc>
        <w:tc>
          <w:tcPr>
            <w:tcW w:w="3120" w:type="dxa"/>
            <w:tcBorders>
              <w:top w:val="nil"/>
              <w:left w:val="nil"/>
              <w:bottom w:val="nil"/>
              <w:right w:val="nil"/>
            </w:tcBorders>
            <w:shd w:val="clear" w:color="auto" w:fill="auto"/>
            <w:noWrap/>
            <w:vAlign w:val="center"/>
          </w:tcPr>
          <w:p w14:paraId="1AFA0D19" w14:textId="77777777" w:rsidR="00BC7A8C" w:rsidRPr="00007259" w:rsidRDefault="00BC7A8C" w:rsidP="00DD3BC8">
            <w:pPr>
              <w:spacing w:line="240" w:lineRule="auto"/>
              <w:jc w:val="center"/>
              <w:rPr>
                <w:rFonts w:eastAsia="Times New Roman" w:cs="Times New Roman"/>
                <w:szCs w:val="24"/>
              </w:rPr>
            </w:pPr>
            <w:r>
              <w:t>2.8</w:t>
            </w:r>
          </w:p>
        </w:tc>
        <w:tc>
          <w:tcPr>
            <w:tcW w:w="3120" w:type="dxa"/>
            <w:tcBorders>
              <w:top w:val="nil"/>
              <w:left w:val="nil"/>
              <w:bottom w:val="nil"/>
              <w:right w:val="nil"/>
            </w:tcBorders>
            <w:shd w:val="clear" w:color="auto" w:fill="auto"/>
            <w:noWrap/>
            <w:vAlign w:val="center"/>
          </w:tcPr>
          <w:p w14:paraId="05D5353A" w14:textId="77777777" w:rsidR="00BC7A8C" w:rsidRPr="00262192" w:rsidRDefault="00BC7A8C" w:rsidP="00DD3BC8">
            <w:pPr>
              <w:spacing w:line="240" w:lineRule="auto"/>
              <w:jc w:val="center"/>
              <w:rPr>
                <w:rFonts w:eastAsia="Times New Roman" w:cs="Times New Roman"/>
                <w:szCs w:val="24"/>
              </w:rPr>
            </w:pPr>
            <w:r>
              <w:t>0.2</w:t>
            </w:r>
          </w:p>
        </w:tc>
      </w:tr>
      <w:tr w:rsidR="00BC7A8C" w:rsidRPr="0041408A" w14:paraId="356C0353" w14:textId="77777777" w:rsidTr="00DD3BC8">
        <w:trPr>
          <w:trHeight w:val="432"/>
          <w:jc w:val="center"/>
        </w:trPr>
        <w:tc>
          <w:tcPr>
            <w:tcW w:w="3120" w:type="dxa"/>
            <w:tcBorders>
              <w:top w:val="nil"/>
              <w:left w:val="nil"/>
              <w:right w:val="nil"/>
            </w:tcBorders>
            <w:shd w:val="clear" w:color="auto" w:fill="auto"/>
            <w:noWrap/>
            <w:vAlign w:val="center"/>
          </w:tcPr>
          <w:p w14:paraId="2788AF0C" w14:textId="77777777" w:rsidR="00BC7A8C" w:rsidRPr="00007259" w:rsidRDefault="00BC7A8C" w:rsidP="00DD3BC8">
            <w:pPr>
              <w:spacing w:line="240" w:lineRule="auto"/>
              <w:jc w:val="center"/>
              <w:rPr>
                <w:rFonts w:eastAsia="Times New Roman" w:cs="Times New Roman"/>
                <w:szCs w:val="24"/>
              </w:rPr>
            </w:pPr>
            <w:r w:rsidRPr="00007259">
              <w:rPr>
                <w:rFonts w:eastAsia="Times New Roman" w:cs="Times New Roman"/>
                <w:szCs w:val="24"/>
              </w:rPr>
              <w:t>FW224</w:t>
            </w:r>
          </w:p>
        </w:tc>
        <w:tc>
          <w:tcPr>
            <w:tcW w:w="3120" w:type="dxa"/>
            <w:tcBorders>
              <w:top w:val="nil"/>
              <w:left w:val="nil"/>
              <w:right w:val="nil"/>
            </w:tcBorders>
            <w:shd w:val="clear" w:color="auto" w:fill="auto"/>
            <w:noWrap/>
            <w:vAlign w:val="center"/>
          </w:tcPr>
          <w:p w14:paraId="41B0378D" w14:textId="77777777" w:rsidR="00BC7A8C" w:rsidRPr="00007259" w:rsidRDefault="00BC7A8C" w:rsidP="00DD3BC8">
            <w:pPr>
              <w:spacing w:line="240" w:lineRule="auto"/>
              <w:jc w:val="center"/>
              <w:rPr>
                <w:rFonts w:eastAsia="Times New Roman" w:cs="Times New Roman"/>
                <w:szCs w:val="24"/>
              </w:rPr>
            </w:pPr>
            <w:r>
              <w:t>2.9</w:t>
            </w:r>
          </w:p>
        </w:tc>
        <w:tc>
          <w:tcPr>
            <w:tcW w:w="3120" w:type="dxa"/>
            <w:tcBorders>
              <w:top w:val="nil"/>
              <w:left w:val="nil"/>
              <w:right w:val="nil"/>
            </w:tcBorders>
            <w:shd w:val="clear" w:color="auto" w:fill="auto"/>
            <w:noWrap/>
            <w:vAlign w:val="center"/>
          </w:tcPr>
          <w:p w14:paraId="204FEE0C" w14:textId="77777777" w:rsidR="00BC7A8C" w:rsidRPr="00262192" w:rsidRDefault="00BC7A8C" w:rsidP="00DD3BC8">
            <w:pPr>
              <w:spacing w:line="240" w:lineRule="auto"/>
              <w:jc w:val="center"/>
              <w:rPr>
                <w:rFonts w:eastAsia="Times New Roman" w:cs="Times New Roman"/>
                <w:szCs w:val="24"/>
              </w:rPr>
            </w:pPr>
            <w:r>
              <w:t>0.6</w:t>
            </w:r>
          </w:p>
        </w:tc>
      </w:tr>
      <w:tr w:rsidR="00BC7A8C" w:rsidRPr="0041408A" w14:paraId="0C388AD5" w14:textId="77777777" w:rsidTr="00DD3BC8">
        <w:trPr>
          <w:trHeight w:val="432"/>
          <w:jc w:val="center"/>
        </w:trPr>
        <w:tc>
          <w:tcPr>
            <w:tcW w:w="3120" w:type="dxa"/>
            <w:tcBorders>
              <w:top w:val="nil"/>
              <w:left w:val="nil"/>
              <w:bottom w:val="single" w:sz="4" w:space="0" w:color="auto"/>
              <w:right w:val="nil"/>
            </w:tcBorders>
            <w:shd w:val="clear" w:color="auto" w:fill="auto"/>
            <w:noWrap/>
            <w:vAlign w:val="center"/>
          </w:tcPr>
          <w:p w14:paraId="0BC84D24" w14:textId="77777777" w:rsidR="00BC7A8C" w:rsidRPr="00007259" w:rsidRDefault="00BC7A8C" w:rsidP="00DD3BC8">
            <w:pPr>
              <w:spacing w:line="240" w:lineRule="auto"/>
              <w:jc w:val="center"/>
              <w:rPr>
                <w:rFonts w:eastAsia="Times New Roman" w:cs="Times New Roman"/>
                <w:szCs w:val="24"/>
              </w:rPr>
            </w:pPr>
            <w:r>
              <w:rPr>
                <w:rFonts w:eastAsia="Times New Roman" w:cs="Times New Roman"/>
                <w:szCs w:val="24"/>
              </w:rPr>
              <w:t>FW225</w:t>
            </w:r>
          </w:p>
        </w:tc>
        <w:tc>
          <w:tcPr>
            <w:tcW w:w="3120" w:type="dxa"/>
            <w:tcBorders>
              <w:top w:val="nil"/>
              <w:left w:val="nil"/>
              <w:bottom w:val="single" w:sz="4" w:space="0" w:color="auto"/>
              <w:right w:val="nil"/>
            </w:tcBorders>
            <w:shd w:val="clear" w:color="auto" w:fill="auto"/>
            <w:noWrap/>
            <w:vAlign w:val="center"/>
          </w:tcPr>
          <w:p w14:paraId="1E440438" w14:textId="77777777" w:rsidR="00BC7A8C" w:rsidRPr="00007259" w:rsidRDefault="00BC7A8C" w:rsidP="00DD3BC8">
            <w:pPr>
              <w:spacing w:line="240" w:lineRule="auto"/>
              <w:jc w:val="center"/>
              <w:rPr>
                <w:rFonts w:eastAsia="Times New Roman" w:cs="Times New Roman"/>
                <w:szCs w:val="24"/>
              </w:rPr>
            </w:pPr>
            <w:r>
              <w:t>-0.1</w:t>
            </w:r>
          </w:p>
        </w:tc>
        <w:tc>
          <w:tcPr>
            <w:tcW w:w="3120" w:type="dxa"/>
            <w:tcBorders>
              <w:top w:val="nil"/>
              <w:left w:val="nil"/>
              <w:bottom w:val="single" w:sz="4" w:space="0" w:color="auto"/>
              <w:right w:val="nil"/>
            </w:tcBorders>
            <w:shd w:val="clear" w:color="auto" w:fill="auto"/>
            <w:noWrap/>
            <w:vAlign w:val="center"/>
          </w:tcPr>
          <w:p w14:paraId="32629D47" w14:textId="77777777" w:rsidR="00BC7A8C" w:rsidRPr="00262192" w:rsidRDefault="00BC7A8C" w:rsidP="00DD3BC8">
            <w:pPr>
              <w:spacing w:line="240" w:lineRule="auto"/>
              <w:jc w:val="center"/>
              <w:rPr>
                <w:rFonts w:eastAsia="Times New Roman" w:cs="Times New Roman"/>
                <w:szCs w:val="24"/>
              </w:rPr>
            </w:pPr>
            <w:r>
              <w:t>0.1</w:t>
            </w:r>
          </w:p>
        </w:tc>
      </w:tr>
      <w:tr w:rsidR="00BC7A8C" w:rsidRPr="0041408A" w14:paraId="2117637E" w14:textId="77777777" w:rsidTr="00DD3BC8">
        <w:trPr>
          <w:trHeight w:val="432"/>
          <w:jc w:val="center"/>
        </w:trPr>
        <w:tc>
          <w:tcPr>
            <w:tcW w:w="3120" w:type="dxa"/>
            <w:tcBorders>
              <w:top w:val="single" w:sz="4" w:space="0" w:color="auto"/>
              <w:left w:val="nil"/>
              <w:bottom w:val="nil"/>
              <w:right w:val="nil"/>
            </w:tcBorders>
            <w:shd w:val="clear" w:color="auto" w:fill="auto"/>
            <w:noWrap/>
            <w:vAlign w:val="center"/>
          </w:tcPr>
          <w:p w14:paraId="7032BF47" w14:textId="77777777" w:rsidR="00BC7A8C" w:rsidRDefault="00BC7A8C" w:rsidP="00DD3BC8">
            <w:pPr>
              <w:spacing w:line="240" w:lineRule="auto"/>
              <w:jc w:val="center"/>
              <w:rPr>
                <w:rFonts w:eastAsia="Times New Roman" w:cs="Times New Roman"/>
                <w:szCs w:val="24"/>
              </w:rPr>
            </w:pPr>
            <w:r w:rsidRPr="004D764C">
              <w:rPr>
                <w:rFonts w:eastAsia="Times New Roman" w:cs="Times New Roman"/>
                <w:szCs w:val="24"/>
              </w:rPr>
              <w:t>Hall et al. (1991)</w:t>
            </w:r>
          </w:p>
        </w:tc>
        <w:tc>
          <w:tcPr>
            <w:tcW w:w="3120" w:type="dxa"/>
            <w:tcBorders>
              <w:top w:val="single" w:sz="4" w:space="0" w:color="auto"/>
              <w:left w:val="nil"/>
              <w:bottom w:val="nil"/>
              <w:right w:val="nil"/>
            </w:tcBorders>
            <w:shd w:val="clear" w:color="auto" w:fill="auto"/>
            <w:noWrap/>
            <w:vAlign w:val="center"/>
          </w:tcPr>
          <w:p w14:paraId="65E105F2" w14:textId="77777777" w:rsidR="00BC7A8C" w:rsidRPr="00117DF4" w:rsidRDefault="00BC7A8C" w:rsidP="00DD3BC8">
            <w:pPr>
              <w:spacing w:line="240" w:lineRule="auto"/>
              <w:jc w:val="center"/>
            </w:pPr>
            <w:r>
              <w:t>6.3</w:t>
            </w:r>
          </w:p>
        </w:tc>
        <w:tc>
          <w:tcPr>
            <w:tcW w:w="3120" w:type="dxa"/>
            <w:tcBorders>
              <w:top w:val="single" w:sz="4" w:space="0" w:color="auto"/>
              <w:left w:val="nil"/>
              <w:bottom w:val="nil"/>
              <w:right w:val="nil"/>
            </w:tcBorders>
            <w:shd w:val="clear" w:color="auto" w:fill="auto"/>
            <w:noWrap/>
            <w:vAlign w:val="center"/>
          </w:tcPr>
          <w:p w14:paraId="04ADF833" w14:textId="77777777" w:rsidR="00BC7A8C" w:rsidRPr="00DA3683" w:rsidRDefault="00BC7A8C" w:rsidP="00DD3BC8">
            <w:pPr>
              <w:spacing w:line="240" w:lineRule="auto"/>
              <w:jc w:val="center"/>
            </w:pPr>
            <w:r>
              <w:t>6.2</w:t>
            </w:r>
          </w:p>
        </w:tc>
      </w:tr>
      <w:tr w:rsidR="00BC7A8C" w:rsidRPr="0041408A" w14:paraId="583AA7E4" w14:textId="77777777" w:rsidTr="00DD3BC8">
        <w:trPr>
          <w:trHeight w:val="432"/>
          <w:jc w:val="center"/>
        </w:trPr>
        <w:tc>
          <w:tcPr>
            <w:tcW w:w="3120" w:type="dxa"/>
            <w:tcBorders>
              <w:top w:val="nil"/>
              <w:left w:val="nil"/>
              <w:bottom w:val="single" w:sz="4" w:space="0" w:color="auto"/>
              <w:right w:val="nil"/>
            </w:tcBorders>
            <w:shd w:val="clear" w:color="auto" w:fill="auto"/>
            <w:noWrap/>
            <w:vAlign w:val="center"/>
          </w:tcPr>
          <w:p w14:paraId="19509DA3" w14:textId="77777777" w:rsidR="00BC7A8C" w:rsidRDefault="00BC7A8C" w:rsidP="00DD3BC8">
            <w:pPr>
              <w:spacing w:line="240" w:lineRule="auto"/>
              <w:jc w:val="center"/>
              <w:rPr>
                <w:rFonts w:eastAsia="Times New Roman" w:cs="Times New Roman"/>
                <w:szCs w:val="24"/>
              </w:rPr>
            </w:pPr>
            <w:r w:rsidRPr="004D764C">
              <w:rPr>
                <w:rFonts w:eastAsia="Times New Roman" w:cs="Times New Roman"/>
                <w:szCs w:val="24"/>
              </w:rPr>
              <w:t>Istok (2013)</w:t>
            </w:r>
          </w:p>
        </w:tc>
        <w:tc>
          <w:tcPr>
            <w:tcW w:w="3120" w:type="dxa"/>
            <w:tcBorders>
              <w:top w:val="nil"/>
              <w:left w:val="nil"/>
              <w:bottom w:val="single" w:sz="4" w:space="0" w:color="auto"/>
              <w:right w:val="nil"/>
            </w:tcBorders>
            <w:shd w:val="clear" w:color="auto" w:fill="auto"/>
            <w:noWrap/>
            <w:vAlign w:val="center"/>
          </w:tcPr>
          <w:p w14:paraId="44BC26EB" w14:textId="77777777" w:rsidR="00BC7A8C" w:rsidRPr="00117DF4" w:rsidRDefault="00BC7A8C" w:rsidP="00DD3BC8">
            <w:pPr>
              <w:spacing w:line="240" w:lineRule="auto"/>
              <w:jc w:val="center"/>
            </w:pPr>
            <w:r>
              <w:t>38</w:t>
            </w:r>
          </w:p>
        </w:tc>
        <w:tc>
          <w:tcPr>
            <w:tcW w:w="3120" w:type="dxa"/>
            <w:tcBorders>
              <w:top w:val="nil"/>
              <w:left w:val="nil"/>
              <w:bottom w:val="single" w:sz="4" w:space="0" w:color="auto"/>
              <w:right w:val="nil"/>
            </w:tcBorders>
            <w:shd w:val="clear" w:color="auto" w:fill="auto"/>
            <w:noWrap/>
            <w:vAlign w:val="center"/>
          </w:tcPr>
          <w:p w14:paraId="012DE1C3" w14:textId="77777777" w:rsidR="00BC7A8C" w:rsidRPr="00DA3683" w:rsidRDefault="00BC7A8C" w:rsidP="00DD3BC8">
            <w:pPr>
              <w:spacing w:line="240" w:lineRule="auto"/>
              <w:jc w:val="center"/>
            </w:pPr>
            <w:r>
              <w:t>13</w:t>
            </w:r>
          </w:p>
        </w:tc>
      </w:tr>
    </w:tbl>
    <w:p w14:paraId="5D47BC8E" w14:textId="77777777" w:rsidR="00A873A8" w:rsidRDefault="00A873A8" w:rsidP="00A873A8"/>
    <w:p w14:paraId="24197A04" w14:textId="77777777" w:rsidR="00A873A8" w:rsidRDefault="00A873A8" w:rsidP="00A873A8"/>
    <w:p w14:paraId="006AAA8C" w14:textId="77777777" w:rsidR="00A873A8" w:rsidRDefault="00A873A8" w:rsidP="00A873A8"/>
    <w:p w14:paraId="171D6E17" w14:textId="77777777" w:rsidR="00A873A8" w:rsidRDefault="00A873A8" w:rsidP="00A873A8"/>
    <w:p w14:paraId="5F1528CB" w14:textId="77777777" w:rsidR="00A873A8" w:rsidRDefault="00A873A8" w:rsidP="00A873A8"/>
    <w:p w14:paraId="49CAE12E" w14:textId="77777777" w:rsidR="00A873A8" w:rsidRDefault="00A873A8" w:rsidP="00A873A8"/>
    <w:p w14:paraId="072D7363" w14:textId="77777777" w:rsidR="00A873A8" w:rsidRDefault="00A873A8" w:rsidP="00A873A8"/>
    <w:p w14:paraId="75B04FFD" w14:textId="77777777" w:rsidR="00A873A8" w:rsidRDefault="00A873A8" w:rsidP="00A873A8"/>
    <w:p w14:paraId="07F99181" w14:textId="77777777" w:rsidR="00A873A8" w:rsidRDefault="00A873A8" w:rsidP="00A873A8"/>
    <w:p w14:paraId="0C4FA742" w14:textId="77777777" w:rsidR="00A873A8" w:rsidRDefault="00A873A8" w:rsidP="00A873A8"/>
    <w:p w14:paraId="66D03497" w14:textId="77777777" w:rsidR="00A873A8" w:rsidRDefault="00A873A8" w:rsidP="00A873A8"/>
    <w:p w14:paraId="5C7E65BD" w14:textId="77777777" w:rsidR="00A873A8" w:rsidRDefault="00A873A8" w:rsidP="00A873A8"/>
    <w:p w14:paraId="7811D82D" w14:textId="77777777" w:rsidR="00A873A8" w:rsidRDefault="00A873A8" w:rsidP="00A873A8"/>
    <w:p w14:paraId="5F9F325A" w14:textId="69B4BC2B" w:rsidR="00A873A8" w:rsidRDefault="00C30E64" w:rsidP="00BC7A8C">
      <w:r w:rsidRPr="001A1BB1">
        <w:lastRenderedPageBreak/>
        <w:t xml:space="preserve">valid; this </w:t>
      </w:r>
      <w:r>
        <w:t xml:space="preserve">issue </w:t>
      </w:r>
      <w:r w:rsidRPr="001A1BB1">
        <w:t>is discussed in Section 4.</w:t>
      </w:r>
      <w:r>
        <w:t>3</w:t>
      </w:r>
      <w:r w:rsidR="000A5750">
        <w:t xml:space="preserve">. </w:t>
      </w:r>
      <w:r w:rsidRPr="00481B43">
        <w:t>The effective porosity (n</w:t>
      </w:r>
      <w:r w:rsidRPr="00481B43">
        <w:rPr>
          <w:vertAlign w:val="subscript"/>
        </w:rPr>
        <w:t>e</w:t>
      </w:r>
      <w:r>
        <w:rPr>
          <w:vertAlign w:val="subscript"/>
        </w:rPr>
        <w:t>2</w:t>
      </w:r>
      <w:r w:rsidRPr="00481B43">
        <w:t>), per equation (</w:t>
      </w:r>
      <w:r>
        <w:t>20</w:t>
      </w:r>
      <w:r w:rsidRPr="00481B43">
        <w:t>), ranged from a low of 0.</w:t>
      </w:r>
      <w:r>
        <w:t>1</w:t>
      </w:r>
      <w:r w:rsidRPr="00481B43">
        <w:t>% in test well FW22</w:t>
      </w:r>
      <w:r>
        <w:t>5</w:t>
      </w:r>
      <w:r w:rsidRPr="00481B43">
        <w:t xml:space="preserve"> to a high of </w:t>
      </w:r>
      <w:r>
        <w:t>1</w:t>
      </w:r>
      <w:r w:rsidRPr="00481B43">
        <w:t>.</w:t>
      </w:r>
      <w:r>
        <w:t>3</w:t>
      </w:r>
      <w:r w:rsidRPr="00481B43">
        <w:t>% in test well FW221 (</w:t>
      </w:r>
      <w:r w:rsidR="00C11E57">
        <w:fldChar w:fldCharType="begin"/>
      </w:r>
      <w:r w:rsidR="00C11E57">
        <w:instrText xml:space="preserve"> REF _Ref486660441 \h </w:instrText>
      </w:r>
      <w:r w:rsidR="00C11E57">
        <w:fldChar w:fldCharType="separate"/>
      </w:r>
      <w:r w:rsidR="001175BB">
        <w:t xml:space="preserve">Table </w:t>
      </w:r>
      <w:r w:rsidR="001175BB">
        <w:rPr>
          <w:noProof/>
        </w:rPr>
        <w:t>3</w:t>
      </w:r>
      <w:r w:rsidR="001175BB">
        <w:t>.</w:t>
      </w:r>
      <w:r w:rsidR="001175BB">
        <w:rPr>
          <w:noProof/>
        </w:rPr>
        <w:t>3</w:t>
      </w:r>
      <w:r w:rsidR="00C11E57">
        <w:fldChar w:fldCharType="end"/>
      </w:r>
      <w:r w:rsidRPr="00481B43">
        <w:t>)</w:t>
      </w:r>
      <w:r w:rsidR="000A5750">
        <w:t xml:space="preserve">. </w:t>
      </w:r>
      <w:r>
        <w:t>The effective porosity, per equation (18), which accounts for the transport of tracer during the injection phase, was substantially larger than that of equation (20), which does not account for the transport of tracer during the injection phase (</w:t>
      </w:r>
      <w:r w:rsidR="00C11E57">
        <w:fldChar w:fldCharType="begin"/>
      </w:r>
      <w:r w:rsidR="00C11E57">
        <w:instrText xml:space="preserve"> REF _Ref486660441 \h </w:instrText>
      </w:r>
      <w:r w:rsidR="00C11E57">
        <w:fldChar w:fldCharType="separate"/>
      </w:r>
      <w:r w:rsidR="001175BB">
        <w:t xml:space="preserve">Table </w:t>
      </w:r>
      <w:r w:rsidR="001175BB">
        <w:rPr>
          <w:noProof/>
        </w:rPr>
        <w:t>3</w:t>
      </w:r>
      <w:r w:rsidR="001175BB">
        <w:t>.</w:t>
      </w:r>
      <w:r w:rsidR="001175BB">
        <w:rPr>
          <w:noProof/>
        </w:rPr>
        <w:t>3</w:t>
      </w:r>
      <w:r w:rsidR="00C11E57">
        <w:fldChar w:fldCharType="end"/>
      </w:r>
      <w:r>
        <w:t>)</w:t>
      </w:r>
      <w:r w:rsidR="000A5750">
        <w:t xml:space="preserve">. </w:t>
      </w:r>
      <w:r w:rsidRPr="00D45016">
        <w:t>The range of effective porosity</w:t>
      </w:r>
      <w:r>
        <w:t>, per equation (18),</w:t>
      </w:r>
      <w:r w:rsidRPr="00D45016">
        <w:t xml:space="preserve"> was representative of the </w:t>
      </w:r>
      <w:r w:rsidRPr="003B57B0">
        <w:t xml:space="preserve">lower </w:t>
      </w:r>
      <w:r w:rsidRPr="00BC7184">
        <w:t>end of those calculated from field-scale tracer-based studies conducted in granular porous media</w:t>
      </w:r>
      <w:r>
        <w:t xml:space="preserve"> whereas per equation (20),</w:t>
      </w:r>
      <w:r w:rsidRPr="00481B43">
        <w:t xml:space="preserve"> </w:t>
      </w:r>
      <w:r>
        <w:t>was</w:t>
      </w:r>
      <w:r w:rsidRPr="00D45016">
        <w:t xml:space="preserve"> representative of those conducted in fractured p</w:t>
      </w:r>
      <w:r w:rsidRPr="003B57B0">
        <w:t xml:space="preserve">orous </w:t>
      </w:r>
      <w:r w:rsidRPr="00BC7184">
        <w:t xml:space="preserve">media </w:t>
      </w:r>
      <w:r w:rsidRPr="00D45016">
        <w:fldChar w:fldCharType="begin"/>
      </w:r>
      <w:r w:rsidRPr="00BC7184">
        <w:instrText xml:space="preserve"> ADDIN EN.CITE &lt;EndNote&gt;&lt;Cite&gt;&lt;Author&gt;Gelhar&lt;/Author&gt;&lt;Year&gt;1992&lt;/Year&gt;&lt;RecNum&gt;327&lt;/RecNum&gt;&lt;DisplayText&gt;(Gelhar et al. 1992)&lt;/DisplayText&gt;&lt;record&gt;&lt;rec-number&gt;327&lt;/rec-number&gt;&lt;foreign-keys&gt;&lt;key app="EN" db-id="rzwe2tae7rs0abe55xgp55w8xtdf5xp9dwrd"&gt;327&lt;/key&gt;&lt;/foreign-keys&gt;&lt;ref-type name="Journal Article"&gt;17&lt;/ref-type&gt;&lt;contributors&gt;&lt;authors&gt;&lt;author&gt;Gelhar, L. W.&lt;/author&gt;&lt;author&gt;Welty, C.&lt;/author&gt;&lt;author&gt;Rehfeldt, K. R.&lt;/author&gt;&lt;/authors&gt;&lt;/contributors&gt;&lt;titles&gt;&lt;title&gt;A Critical-Review of Data on Field-Scale Dispersion in Aquifers&lt;/title&gt;&lt;secondary-title&gt;Water Resources Research&lt;/secondary-title&gt;&lt;/titles&gt;&lt;periodical&gt;&lt;full-title&gt;Water Resources Research&lt;/full-title&gt;&lt;/periodical&gt;&lt;pages&gt;1955-1974&lt;/pages&gt;&lt;volume&gt;28&lt;/volume&gt;&lt;number&gt;7&lt;/number&gt;&lt;dates&gt;&lt;year&gt;1992&lt;/year&gt;&lt;pub-dates&gt;&lt;date&gt;Jul&lt;/date&gt;&lt;/pub-dates&gt;&lt;/dates&gt;&lt;isbn&gt;0043-1397&lt;/isbn&gt;&lt;accession-num&gt;WOS:A1992JC48300019&lt;/accession-num&gt;&lt;urls&gt;&lt;related-urls&gt;&lt;url&gt;&amp;lt;Go to ISI&amp;gt;://WOS:A1992JC48300019&lt;/url&gt;&lt;/related-urls&gt;&lt;/urls&gt;&lt;electronic-resource-num&gt;10.1029/92wr00607&lt;/electronic-resource-num&gt;&lt;/record&gt;&lt;/Cite&gt;&lt;/EndNote&gt;</w:instrText>
      </w:r>
      <w:r w:rsidRPr="00D45016">
        <w:fldChar w:fldCharType="separate"/>
      </w:r>
      <w:r w:rsidRPr="00D45016">
        <w:rPr>
          <w:noProof/>
        </w:rPr>
        <w:t>(</w:t>
      </w:r>
      <w:hyperlink w:anchor="_ENREF_7" w:tooltip="Gelhar, 1992 #327" w:history="1">
        <w:r w:rsidRPr="00D45016">
          <w:rPr>
            <w:noProof/>
          </w:rPr>
          <w:t>Gel</w:t>
        </w:r>
        <w:r w:rsidRPr="003B57B0">
          <w:rPr>
            <w:noProof/>
          </w:rPr>
          <w:t>har et al. 19</w:t>
        </w:r>
        <w:r w:rsidRPr="00BC7184">
          <w:rPr>
            <w:noProof/>
          </w:rPr>
          <w:t>92</w:t>
        </w:r>
      </w:hyperlink>
      <w:r w:rsidRPr="00D45016">
        <w:rPr>
          <w:noProof/>
        </w:rPr>
        <w:t>)</w:t>
      </w:r>
      <w:r w:rsidRPr="00D45016">
        <w:fldChar w:fldCharType="end"/>
      </w:r>
      <w:r w:rsidR="000A5750">
        <w:t xml:space="preserve">. </w:t>
      </w:r>
      <w:r w:rsidRPr="00481B43">
        <w:t xml:space="preserve">The effective porosity </w:t>
      </w:r>
      <w:r>
        <w:t xml:space="preserve">from </w:t>
      </w:r>
      <w:r>
        <w:fldChar w:fldCharType="begin"/>
      </w:r>
      <w:r>
        <w:instrText xml:space="preserve"> ADDIN EN.CITE &lt;EndNote&gt;&lt;Cite AuthorYear="1"&gt;&lt;Author&gt;Hall&lt;/Author&gt;&lt;Year&gt;1991&lt;/Year&gt;&lt;RecNum&gt;107&lt;/RecNum&gt;&lt;DisplayText&gt;Hall et al. (1991)&lt;/DisplayText&gt;&lt;record&gt;&lt;rec-number&gt;107&lt;/rec-number&gt;&lt;foreign-keys&gt;&lt;key app="EN" db-id="rzwe2tae7rs0abe55xgp55w8xtdf5xp9dwrd"&gt;107&lt;/key&gt;&lt;/foreign-keys&gt;&lt;ref-type name="Journal Article"&gt;17&lt;/ref-type&gt;&lt;contributors&gt;&lt;authors&gt;&lt;author&gt;Hall, S. H.&lt;/author&gt;&lt;author&gt;Luttrell, S. P.&lt;/author&gt;&lt;author&gt;Cronin, W. E.&lt;/author&gt;&lt;/authors&gt;&lt;/contributors&gt;&lt;titles&gt;&lt;title&gt;A method for estimating effective porosity and groundwater velocity&lt;/title&gt;&lt;secondary-title&gt;Ground Water&lt;/secondary-title&gt;&lt;/titles&gt;&lt;periodical&gt;&lt;full-title&gt;Ground Water&lt;/full-title&gt;&lt;abbr-1&gt;Ground Water&lt;/abbr-1&gt;&lt;/periodical&gt;&lt;pages&gt;171-174&lt;/pages&gt;&lt;volume&gt;29&lt;/volume&gt;&lt;number&gt;2&lt;/number&gt;&lt;dates&gt;&lt;year&gt;1991&lt;/year&gt;&lt;pub-dates&gt;&lt;date&gt;Mar-Apr&lt;/date&gt;&lt;/pub-dates&gt;&lt;/dates&gt;&lt;isbn&gt;0017-467X&lt;/isbn&gt;&lt;accession-num&gt;WOS:A1991FA88300002&lt;/accession-num&gt;&lt;urls&gt;&lt;related-urls&gt;&lt;url&gt;&amp;lt;Go to ISI&amp;gt;://WOS:A1991FA88300002&lt;/url&gt;&lt;url&gt;http://onlinelibrary.wiley.com/doi/10.1111/j.1745-6584.1991.tb00506.x/abstract&lt;/url&gt;&lt;/related-urls&gt;&lt;/urls&gt;&lt;electronic-resource-num&gt;10.1111/j.1745-6584.1991.tb00506.x&lt;/electronic-resource-num&gt;&lt;/record&gt;&lt;/Cite&gt;&lt;/EndNote&gt;</w:instrText>
      </w:r>
      <w:r>
        <w:fldChar w:fldCharType="separate"/>
      </w:r>
      <w:hyperlink w:anchor="_ENREF_8" w:tooltip="Hall, 1991 #107" w:history="1">
        <w:r>
          <w:rPr>
            <w:noProof/>
          </w:rPr>
          <w:t>Hall et al. (1991</w:t>
        </w:r>
      </w:hyperlink>
      <w:r>
        <w:rPr>
          <w:noProof/>
        </w:rPr>
        <w:t>)</w:t>
      </w:r>
      <w:r>
        <w:fldChar w:fldCharType="end"/>
      </w:r>
      <w:r>
        <w:t xml:space="preserve">, per equations (18) and (20), were almost identical (6.3% versus 6.2%, respectively) whereas from </w:t>
      </w:r>
      <w:r>
        <w:fldChar w:fldCharType="begin"/>
      </w:r>
      <w:r>
        <w:instrText xml:space="preserve"> ADDIN EN.CITE &lt;EndNote&gt;&lt;Cite AuthorYear="1"&gt;&lt;Author&gt;Istok&lt;/Author&gt;&lt;Year&gt;2013&lt;/Year&gt;&lt;RecNum&gt;549&lt;/RecNum&gt;&lt;DisplayText&gt;Istok (2013)&lt;/DisplayText&gt;&lt;record&gt;&lt;rec-number&gt;549&lt;/rec-number&gt;&lt;foreign-keys&gt;&lt;key app="EN" db-id="rzwe2tae7rs0abe55xgp55w8xtdf5xp9dwrd"&gt;549&lt;/key&gt;&lt;/foreign-keys&gt;&lt;ref-type name="Book"&gt;6&lt;/ref-type&gt;&lt;contributors&gt;&lt;authors&gt;&lt;author&gt;Jonathan David Istok&lt;/author&gt;&lt;/authors&gt;&lt;/contributors&gt;&lt;titles&gt;&lt;title&gt;Push-Pull Tests for Site Characterization&lt;/title&gt;&lt;secondary-title&gt;Lecture Notes in Earth System Sciences&lt;/secondary-title&gt;&lt;/titles&gt;&lt;dates&gt;&lt;year&gt;2013&lt;/year&gt;&lt;/dates&gt;&lt;pub-location&gt;Corvaillis, OR, USA&lt;/pub-location&gt;&lt;publisher&gt;Springer&lt;/publisher&gt;&lt;isbn&gt;2193-8571&lt;/isbn&gt;&lt;urls&gt;&lt;/urls&gt;&lt;electronic-resource-num&gt;10.1007/978-3-642-13920-8&lt;/electronic-resource-num&gt;&lt;/record&gt;&lt;/Cite&gt;&lt;/EndNote&gt;</w:instrText>
      </w:r>
      <w:r>
        <w:fldChar w:fldCharType="separate"/>
      </w:r>
      <w:hyperlink w:anchor="_ENREF_13" w:tooltip="Istok, 2013 #549" w:history="1">
        <w:r>
          <w:rPr>
            <w:noProof/>
          </w:rPr>
          <w:t>Istok (2013</w:t>
        </w:r>
      </w:hyperlink>
      <w:r>
        <w:rPr>
          <w:noProof/>
        </w:rPr>
        <w:t>)</w:t>
      </w:r>
      <w:r>
        <w:fldChar w:fldCharType="end"/>
      </w:r>
      <w:r>
        <w:t xml:space="preserve"> they were notably different, i.e., the expanded equation (n</w:t>
      </w:r>
      <w:r w:rsidRPr="001A1BB1">
        <w:rPr>
          <w:vertAlign w:val="subscript"/>
        </w:rPr>
        <w:t>e1</w:t>
      </w:r>
      <w:r>
        <w:t>) yielded substantially higher effective porosity than the truncated equation (n</w:t>
      </w:r>
      <w:r w:rsidRPr="001A1BB1">
        <w:rPr>
          <w:vertAlign w:val="subscript"/>
        </w:rPr>
        <w:t>e2</w:t>
      </w:r>
      <w:r>
        <w:t>) (38% versus 13%) (</w:t>
      </w:r>
      <w:r w:rsidR="00C11E57">
        <w:fldChar w:fldCharType="begin"/>
      </w:r>
      <w:r w:rsidR="00C11E57">
        <w:instrText xml:space="preserve"> REF _Ref486660441 \h </w:instrText>
      </w:r>
      <w:r w:rsidR="00C11E57">
        <w:fldChar w:fldCharType="separate"/>
      </w:r>
      <w:r w:rsidR="001175BB">
        <w:t xml:space="preserve">Table </w:t>
      </w:r>
      <w:r w:rsidR="001175BB">
        <w:rPr>
          <w:noProof/>
        </w:rPr>
        <w:t>3</w:t>
      </w:r>
      <w:r w:rsidR="001175BB">
        <w:t>.</w:t>
      </w:r>
      <w:r w:rsidR="001175BB">
        <w:rPr>
          <w:noProof/>
        </w:rPr>
        <w:t>3</w:t>
      </w:r>
      <w:r w:rsidR="00C11E57">
        <w:fldChar w:fldCharType="end"/>
      </w:r>
      <w:r>
        <w:t>).</w:t>
      </w:r>
    </w:p>
    <w:p w14:paraId="795B9835" w14:textId="77777777" w:rsidR="00A2153D" w:rsidRDefault="00A2153D" w:rsidP="00A2153D">
      <w:pPr>
        <w:pStyle w:val="Heading3"/>
      </w:pPr>
      <w:bookmarkStart w:id="139" w:name="_Toc498505050"/>
      <w:r>
        <w:t>3.4.4.</w:t>
      </w:r>
      <w:r>
        <w:tab/>
        <w:t>Uncertainty analysis</w:t>
      </w:r>
      <w:bookmarkEnd w:id="139"/>
    </w:p>
    <w:p w14:paraId="49EB3093" w14:textId="3A172299" w:rsidR="00A2153D" w:rsidRDefault="00A2153D" w:rsidP="00A2153D">
      <w:pPr>
        <w:ind w:firstLine="720"/>
      </w:pPr>
      <w:r w:rsidRPr="009F3A12">
        <w:t>The</w:t>
      </w:r>
      <w:r>
        <w:t xml:space="preserve"> percent standard errors of the </w:t>
      </w:r>
      <w:r w:rsidRPr="009F3A12">
        <w:t xml:space="preserve">hydraulic </w:t>
      </w:r>
      <w:r>
        <w:t>gradient (dh/dr), hydraulic conductivity (K) and drift time</w:t>
      </w:r>
      <w:r w:rsidRPr="009F3A12">
        <w:t xml:space="preserve"> </w:t>
      </w:r>
      <w:r>
        <w:t>(t</w:t>
      </w:r>
      <w:r w:rsidRPr="001A1BB1">
        <w:rPr>
          <w:vertAlign w:val="subscript"/>
        </w:rPr>
        <w:t>d</w:t>
      </w:r>
      <w:r>
        <w:t xml:space="preserve">) </w:t>
      </w:r>
      <w:r w:rsidRPr="009F3A12">
        <w:t xml:space="preserve">were </w:t>
      </w:r>
      <w:r>
        <w:t>typically less</w:t>
      </w:r>
      <w:r w:rsidRPr="009F3A12">
        <w:t xml:space="preserve"> than </w:t>
      </w:r>
      <w:r>
        <w:rPr>
          <w:rFonts w:cs="Times New Roman"/>
        </w:rPr>
        <w:t xml:space="preserve">± </w:t>
      </w:r>
      <w:r>
        <w:t>2</w:t>
      </w:r>
      <w:r w:rsidRPr="009F3A12">
        <w:t>% (</w:t>
      </w:r>
      <w:r w:rsidR="00A75E3E">
        <w:fldChar w:fldCharType="begin"/>
      </w:r>
      <w:r w:rsidR="00A75E3E">
        <w:instrText xml:space="preserve"> REF _Ref486660675 \h </w:instrText>
      </w:r>
      <w:r w:rsidR="00A75E3E">
        <w:fldChar w:fldCharType="separate"/>
      </w:r>
      <w:r w:rsidR="001175BB">
        <w:t xml:space="preserve">Table </w:t>
      </w:r>
      <w:r w:rsidR="001175BB">
        <w:rPr>
          <w:noProof/>
        </w:rPr>
        <w:t>3</w:t>
      </w:r>
      <w:r w:rsidR="001175BB">
        <w:t>.</w:t>
      </w:r>
      <w:r w:rsidR="001175BB">
        <w:rPr>
          <w:noProof/>
        </w:rPr>
        <w:t>4</w:t>
      </w:r>
      <w:r w:rsidR="00A75E3E">
        <w:fldChar w:fldCharType="end"/>
      </w:r>
      <w:r w:rsidRPr="009F3A12">
        <w:t>)</w:t>
      </w:r>
      <w:r w:rsidR="000A5750">
        <w:t xml:space="preserve">. </w:t>
      </w:r>
      <w:r w:rsidRPr="009F3A12">
        <w:t>The</w:t>
      </w:r>
      <w:r>
        <w:t xml:space="preserve"> percent standard errors of the remaining parameters, e.g., saturated aquifer thickness (b) and the times (</w:t>
      </w:r>
      <w:r>
        <w:rPr>
          <w:rFonts w:cs="Times New Roman"/>
        </w:rPr>
        <w:t>ṫ</w:t>
      </w:r>
      <w:r>
        <w:rPr>
          <w:vertAlign w:val="subscript"/>
        </w:rPr>
        <w:t>i</w:t>
      </w:r>
      <w:r>
        <w:t xml:space="preserve">, </w:t>
      </w:r>
      <w:r>
        <w:rPr>
          <w:rFonts w:cs="Times New Roman"/>
        </w:rPr>
        <w:t>ṫ</w:t>
      </w:r>
      <w:r>
        <w:rPr>
          <w:vertAlign w:val="subscript"/>
        </w:rPr>
        <w:t>e</w:t>
      </w:r>
      <w:r>
        <w:t>) and volumes (</w:t>
      </w:r>
      <w:r>
        <w:rPr>
          <w:rFonts w:cs="Times New Roman"/>
        </w:rPr>
        <w:t>Ѷ</w:t>
      </w:r>
      <w:r>
        <w:rPr>
          <w:vertAlign w:val="subscript"/>
        </w:rPr>
        <w:t>i</w:t>
      </w:r>
      <w:r>
        <w:t xml:space="preserve">, </w:t>
      </w:r>
      <w:r>
        <w:rPr>
          <w:rFonts w:cs="Times New Roman"/>
        </w:rPr>
        <w:t>Ѷ</w:t>
      </w:r>
      <w:r>
        <w:rPr>
          <w:vertAlign w:val="subscript"/>
        </w:rPr>
        <w:t>e</w:t>
      </w:r>
      <w:r>
        <w:t xml:space="preserve">) at which the center of mass of bromide was released and recovered, were typically greater than </w:t>
      </w:r>
      <w:r>
        <w:rPr>
          <w:rFonts w:cs="Times New Roman"/>
        </w:rPr>
        <w:t xml:space="preserve">± </w:t>
      </w:r>
      <w:r>
        <w:t xml:space="preserve">2% but less than </w:t>
      </w:r>
      <w:r>
        <w:rPr>
          <w:rFonts w:cs="Times New Roman"/>
        </w:rPr>
        <w:t xml:space="preserve">± </w:t>
      </w:r>
      <w:r>
        <w:t>5% (</w:t>
      </w:r>
      <w:r w:rsidR="00A75E3E">
        <w:fldChar w:fldCharType="begin"/>
      </w:r>
      <w:r w:rsidR="00A75E3E">
        <w:instrText xml:space="preserve"> REF _Ref486660675 \h </w:instrText>
      </w:r>
      <w:r w:rsidR="00A75E3E">
        <w:fldChar w:fldCharType="separate"/>
      </w:r>
      <w:r w:rsidR="001175BB">
        <w:t xml:space="preserve">Table </w:t>
      </w:r>
      <w:r w:rsidR="001175BB">
        <w:rPr>
          <w:noProof/>
        </w:rPr>
        <w:t>3</w:t>
      </w:r>
      <w:r w:rsidR="001175BB">
        <w:t>.</w:t>
      </w:r>
      <w:r w:rsidR="001175BB">
        <w:rPr>
          <w:noProof/>
        </w:rPr>
        <w:t>4</w:t>
      </w:r>
      <w:r w:rsidR="00A75E3E">
        <w:fldChar w:fldCharType="end"/>
      </w:r>
      <w:r>
        <w:t>)</w:t>
      </w:r>
      <w:r w:rsidR="000A5750">
        <w:t xml:space="preserve">. </w:t>
      </w:r>
      <w:r>
        <w:t>The error-propagated uncertainty in effective porosity (n</w:t>
      </w:r>
      <w:r w:rsidRPr="001A1BB1">
        <w:rPr>
          <w:vertAlign w:val="subscript"/>
        </w:rPr>
        <w:t>e1</w:t>
      </w:r>
      <w:r w:rsidRPr="001A1BB1">
        <w:t>)</w:t>
      </w:r>
      <w:r>
        <w:rPr>
          <w:vertAlign w:val="subscript"/>
        </w:rPr>
        <w:t xml:space="preserve"> </w:t>
      </w:r>
      <w:r>
        <w:t xml:space="preserve">was less than </w:t>
      </w:r>
      <w:r>
        <w:rPr>
          <w:rFonts w:cs="Times New Roman"/>
        </w:rPr>
        <w:t xml:space="preserve">± </w:t>
      </w:r>
      <w:r>
        <w:t xml:space="preserve">0.5% (percent standard error </w:t>
      </w:r>
      <w:r>
        <w:rPr>
          <w:rFonts w:cs="Times New Roman"/>
        </w:rPr>
        <w:t>≈</w:t>
      </w:r>
      <w:r>
        <w:t xml:space="preserve"> </w:t>
      </w:r>
      <w:r>
        <w:rPr>
          <w:rFonts w:cs="Times New Roman"/>
        </w:rPr>
        <w:t>± 7</w:t>
      </w:r>
      <w:r>
        <w:t xml:space="preserve">%) </w:t>
      </w:r>
      <w:r w:rsidRPr="001A1BB1">
        <w:t>(</w:t>
      </w:r>
      <w:r w:rsidR="00A75E3E">
        <w:fldChar w:fldCharType="begin"/>
      </w:r>
      <w:r w:rsidR="00A75E3E">
        <w:instrText xml:space="preserve"> REF _Ref486660706 \h </w:instrText>
      </w:r>
      <w:r w:rsidR="00A75E3E">
        <w:fldChar w:fldCharType="separate"/>
      </w:r>
      <w:r w:rsidR="001175BB">
        <w:t xml:space="preserve">Figure </w:t>
      </w:r>
      <w:r w:rsidR="001175BB">
        <w:rPr>
          <w:noProof/>
        </w:rPr>
        <w:t>3</w:t>
      </w:r>
      <w:r w:rsidR="001175BB">
        <w:t>.</w:t>
      </w:r>
      <w:r w:rsidR="001175BB">
        <w:rPr>
          <w:noProof/>
        </w:rPr>
        <w:t>5</w:t>
      </w:r>
      <w:r w:rsidR="00A75E3E">
        <w:fldChar w:fldCharType="end"/>
      </w:r>
      <w:r w:rsidRPr="001A1BB1">
        <w:t>)</w:t>
      </w:r>
      <w:r w:rsidR="000A5750">
        <w:t xml:space="preserve">. </w:t>
      </w:r>
      <w:r>
        <w:t xml:space="preserve">It should be noted that an uncertainly analysis of effective porosity for the studies by </w:t>
      </w:r>
      <w:r>
        <w:fldChar w:fldCharType="begin"/>
      </w:r>
      <w:r>
        <w:instrText xml:space="preserve"> ADDIN EN.CITE &lt;EndNote&gt;&lt;Cite AuthorYear="1"&gt;&lt;Author&gt;Hall&lt;/Author&gt;&lt;Year&gt;1991&lt;/Year&gt;&lt;RecNum&gt;107&lt;/RecNum&gt;&lt;DisplayText&gt;Hall et al. (1991)&lt;/DisplayText&gt;&lt;record&gt;&lt;rec-number&gt;107&lt;/rec-number&gt;&lt;foreign-keys&gt;&lt;key app="EN" db-id="rzwe2tae7rs0abe55xgp55w8xtdf5xp9dwrd"&gt;107&lt;/key&gt;&lt;/foreign-keys&gt;&lt;ref-type name="Journal Article"&gt;17&lt;/ref-type&gt;&lt;contributors&gt;&lt;authors&gt;&lt;author&gt;Hall, S. H.&lt;/author&gt;&lt;author&gt;Luttrell, S. P.&lt;/author&gt;&lt;author&gt;Cronin, W. E.&lt;/author&gt;&lt;/authors&gt;&lt;/contributors&gt;&lt;titles&gt;&lt;title&gt;A method for estimating effective porosity and groundwater velocity&lt;/title&gt;&lt;secondary-title&gt;Ground Water&lt;/secondary-title&gt;&lt;/titles&gt;&lt;periodical&gt;&lt;full-title&gt;Ground Water&lt;/full-title&gt;&lt;abbr-1&gt;Ground Water&lt;/abbr-1&gt;&lt;/periodical&gt;&lt;pages&gt;171-174&lt;/pages&gt;&lt;volume&gt;29&lt;/volume&gt;&lt;number&gt;2&lt;/number&gt;&lt;dates&gt;&lt;year&gt;1991&lt;/year&gt;&lt;pub-dates&gt;&lt;date&gt;Mar-Apr&lt;/date&gt;&lt;/pub-dates&gt;&lt;/dates&gt;&lt;isbn&gt;0017-467X&lt;/isbn&gt;&lt;accession-num&gt;WOS:A1991FA88300002&lt;/accession-num&gt;&lt;urls&gt;&lt;related-urls&gt;&lt;url&gt;&amp;lt;Go to ISI&amp;gt;://WOS:A1991FA88300002&lt;/url&gt;&lt;url&gt;http://onlinelibrary.wiley.com/doi/10.1111/j.1745-6584.1991.tb00506.x/abstract&lt;/url&gt;&lt;/related-urls&gt;&lt;/urls&gt;&lt;electronic-resource-num&gt;10.1111/j.1745-6584.1991.tb00506.x&lt;/electronic-resource-num&gt;&lt;/record&gt;&lt;/Cite&gt;&lt;/EndNote&gt;</w:instrText>
      </w:r>
      <w:r>
        <w:fldChar w:fldCharType="separate"/>
      </w:r>
      <w:hyperlink w:anchor="_ENREF_8" w:tooltip="Hall, 1991 #107" w:history="1">
        <w:r>
          <w:rPr>
            <w:noProof/>
          </w:rPr>
          <w:t>Hall et al. (1991</w:t>
        </w:r>
      </w:hyperlink>
      <w:r>
        <w:rPr>
          <w:noProof/>
        </w:rPr>
        <w:t>)</w:t>
      </w:r>
      <w:r>
        <w:fldChar w:fldCharType="end"/>
      </w:r>
      <w:r>
        <w:t xml:space="preserve"> and </w:t>
      </w:r>
      <w:r>
        <w:fldChar w:fldCharType="begin"/>
      </w:r>
      <w:r>
        <w:instrText xml:space="preserve"> ADDIN EN.CITE &lt;EndNote&gt;&lt;Cite AuthorYear="1"&gt;&lt;Author&gt;Istok&lt;/Author&gt;&lt;Year&gt;2013&lt;/Year&gt;&lt;RecNum&gt;549&lt;/RecNum&gt;&lt;DisplayText&gt;Istok (2013)&lt;/DisplayText&gt;&lt;record&gt;&lt;rec-number&gt;549&lt;/rec-number&gt;&lt;foreign-keys&gt;&lt;key app="EN" db-id="rzwe2tae7rs0abe55xgp55w8xtdf5xp9dwrd"&gt;549&lt;/key&gt;&lt;/foreign-keys&gt;&lt;ref-type name="Book"&gt;6&lt;/ref-type&gt;&lt;contributors&gt;&lt;authors&gt;&lt;author&gt;Jonathan David Istok&lt;/author&gt;&lt;/authors&gt;&lt;/contributors&gt;&lt;titles&gt;&lt;title&gt;Push-Pull Tests for Site Characterization&lt;/title&gt;&lt;secondary-title&gt;Lecture Notes in Earth System Sciences&lt;/secondary-title&gt;&lt;/titles&gt;&lt;dates&gt;&lt;year&gt;2013&lt;/year&gt;&lt;/dates&gt;&lt;pub-location&gt;Corvaillis, OR, USA&lt;/pub-location&gt;&lt;publisher&gt;Springer&lt;/publisher&gt;&lt;isbn&gt;2193-8571&lt;/isbn&gt;&lt;urls&gt;&lt;/urls&gt;&lt;electronic-resource-num&gt;10.1007/978-3-642-13920-8&lt;/electronic-resource-num&gt;&lt;/record&gt;&lt;/Cite&gt;&lt;/EndNote&gt;</w:instrText>
      </w:r>
      <w:r>
        <w:fldChar w:fldCharType="separate"/>
      </w:r>
      <w:hyperlink w:anchor="_ENREF_13" w:tooltip="Istok, 2013 #549" w:history="1">
        <w:r>
          <w:rPr>
            <w:noProof/>
          </w:rPr>
          <w:t>Istok (2013</w:t>
        </w:r>
      </w:hyperlink>
      <w:r>
        <w:rPr>
          <w:noProof/>
        </w:rPr>
        <w:t>)</w:t>
      </w:r>
      <w:r>
        <w:fldChar w:fldCharType="end"/>
      </w:r>
      <w:r>
        <w:t xml:space="preserve"> was not possible due to the lack of available data on the uncertainty of pumping rates, volumes injected/extracted, etc.</w:t>
      </w:r>
    </w:p>
    <w:p w14:paraId="5EB3530A" w14:textId="77777777" w:rsidR="00A2153D" w:rsidRDefault="00A2153D" w:rsidP="00BC7A8C"/>
    <w:p w14:paraId="20858618" w14:textId="77777777" w:rsidR="00A2153D" w:rsidRDefault="00081BFA" w:rsidP="00081BFA">
      <w:pPr>
        <w:pStyle w:val="Caption"/>
        <w:keepNext/>
      </w:pPr>
      <w:bookmarkStart w:id="140" w:name="_Ref486660675"/>
      <w:bookmarkStart w:id="141" w:name="_Toc498504886"/>
      <w:r>
        <w:lastRenderedPageBreak/>
        <w:t xml:space="preserve">Table </w:t>
      </w:r>
      <w:r w:rsidR="00CA2C3C">
        <w:fldChar w:fldCharType="begin"/>
      </w:r>
      <w:r w:rsidR="00CA2C3C">
        <w:instrText xml:space="preserve"> STYLEREF 1 \s </w:instrText>
      </w:r>
      <w:r w:rsidR="00CA2C3C">
        <w:fldChar w:fldCharType="separate"/>
      </w:r>
      <w:r w:rsidR="002105EE">
        <w:rPr>
          <w:noProof/>
        </w:rPr>
        <w:t>3</w:t>
      </w:r>
      <w:r w:rsidR="00CA2C3C">
        <w:rPr>
          <w:noProof/>
        </w:rPr>
        <w:fldChar w:fldCharType="end"/>
      </w:r>
      <w:r w:rsidR="002105EE">
        <w:t>.</w:t>
      </w:r>
      <w:r w:rsidR="00CA2C3C">
        <w:fldChar w:fldCharType="begin"/>
      </w:r>
      <w:r w:rsidR="00CA2C3C">
        <w:instrText xml:space="preserve"> SEQ Table \* ARABIC \s 1 </w:instrText>
      </w:r>
      <w:r w:rsidR="00CA2C3C">
        <w:fldChar w:fldCharType="separate"/>
      </w:r>
      <w:r w:rsidR="002105EE">
        <w:rPr>
          <w:noProof/>
        </w:rPr>
        <w:t>4</w:t>
      </w:r>
      <w:r w:rsidR="00CA2C3C">
        <w:rPr>
          <w:noProof/>
        </w:rPr>
        <w:fldChar w:fldCharType="end"/>
      </w:r>
      <w:bookmarkEnd w:id="140"/>
      <w:r>
        <w:t xml:space="preserve"> </w:t>
      </w:r>
      <w:r w:rsidR="00FA2B94" w:rsidRPr="00081BFA">
        <w:rPr>
          <w:b w:val="0"/>
        </w:rPr>
        <w:t>Percent standard errors for input parameters for equation (18) for tests in this study (FW220 through FW224), test well FW225 is omitted due to invalid results</w:t>
      </w:r>
      <w:bookmarkEnd w:id="141"/>
    </w:p>
    <w:tbl>
      <w:tblPr>
        <w:tblW w:w="9360" w:type="dxa"/>
        <w:jc w:val="center"/>
        <w:tblLayout w:type="fixed"/>
        <w:tblCellMar>
          <w:left w:w="115" w:type="dxa"/>
          <w:right w:w="115" w:type="dxa"/>
        </w:tblCellMar>
        <w:tblLook w:val="04A0" w:firstRow="1" w:lastRow="0" w:firstColumn="1" w:lastColumn="0" w:noHBand="0" w:noVBand="1"/>
      </w:tblPr>
      <w:tblGrid>
        <w:gridCol w:w="1040"/>
        <w:gridCol w:w="1040"/>
        <w:gridCol w:w="1040"/>
        <w:gridCol w:w="1040"/>
        <w:gridCol w:w="1040"/>
        <w:gridCol w:w="1040"/>
        <w:gridCol w:w="1040"/>
        <w:gridCol w:w="1040"/>
        <w:gridCol w:w="1040"/>
      </w:tblGrid>
      <w:tr w:rsidR="00FA2B94" w:rsidRPr="0041408A" w14:paraId="141E2D9A" w14:textId="77777777" w:rsidTr="00DD3BC8">
        <w:trPr>
          <w:trHeight w:val="576"/>
          <w:jc w:val="center"/>
        </w:trPr>
        <w:tc>
          <w:tcPr>
            <w:tcW w:w="1040" w:type="dxa"/>
            <w:tcBorders>
              <w:top w:val="single" w:sz="4" w:space="0" w:color="auto"/>
              <w:left w:val="nil"/>
              <w:bottom w:val="nil"/>
              <w:right w:val="nil"/>
            </w:tcBorders>
            <w:shd w:val="clear" w:color="auto" w:fill="auto"/>
            <w:noWrap/>
            <w:vAlign w:val="center"/>
            <w:hideMark/>
          </w:tcPr>
          <w:p w14:paraId="3D7609EE" w14:textId="77777777" w:rsidR="00FA2B94" w:rsidRPr="00007259" w:rsidRDefault="00FA2B94" w:rsidP="00DD3BC8">
            <w:pPr>
              <w:spacing w:line="240" w:lineRule="auto"/>
              <w:jc w:val="center"/>
              <w:rPr>
                <w:rFonts w:eastAsia="Times New Roman" w:cs="Times New Roman"/>
                <w:szCs w:val="24"/>
              </w:rPr>
            </w:pPr>
            <w:r w:rsidRPr="00007259">
              <w:rPr>
                <w:rFonts w:eastAsia="Times New Roman" w:cs="Times New Roman"/>
                <w:szCs w:val="24"/>
              </w:rPr>
              <w:t>Test</w:t>
            </w:r>
          </w:p>
        </w:tc>
        <w:tc>
          <w:tcPr>
            <w:tcW w:w="1040" w:type="dxa"/>
            <w:tcBorders>
              <w:top w:val="single" w:sz="4" w:space="0" w:color="auto"/>
              <w:left w:val="nil"/>
              <w:bottom w:val="nil"/>
              <w:right w:val="nil"/>
            </w:tcBorders>
            <w:vAlign w:val="center"/>
          </w:tcPr>
          <w:p w14:paraId="7467C6AD" w14:textId="77777777" w:rsidR="00FA2B94" w:rsidRDefault="00FA2B94" w:rsidP="00DD3BC8">
            <w:pPr>
              <w:spacing w:line="240" w:lineRule="auto"/>
              <w:jc w:val="center"/>
            </w:pPr>
            <w:r>
              <w:t>dh/dr</w:t>
            </w:r>
          </w:p>
        </w:tc>
        <w:tc>
          <w:tcPr>
            <w:tcW w:w="1040" w:type="dxa"/>
            <w:tcBorders>
              <w:top w:val="single" w:sz="4" w:space="0" w:color="auto"/>
              <w:left w:val="nil"/>
              <w:bottom w:val="nil"/>
              <w:right w:val="nil"/>
            </w:tcBorders>
            <w:vAlign w:val="center"/>
          </w:tcPr>
          <w:p w14:paraId="4C3DC52C" w14:textId="77777777" w:rsidR="00FA2B94" w:rsidRDefault="00FA2B94" w:rsidP="00DD3BC8">
            <w:pPr>
              <w:spacing w:line="240" w:lineRule="auto"/>
              <w:jc w:val="center"/>
            </w:pPr>
            <w:r>
              <w:t>K</w:t>
            </w:r>
          </w:p>
        </w:tc>
        <w:tc>
          <w:tcPr>
            <w:tcW w:w="1040" w:type="dxa"/>
            <w:tcBorders>
              <w:top w:val="single" w:sz="4" w:space="0" w:color="auto"/>
              <w:left w:val="nil"/>
              <w:bottom w:val="nil"/>
              <w:right w:val="nil"/>
            </w:tcBorders>
            <w:shd w:val="clear" w:color="auto" w:fill="auto"/>
            <w:noWrap/>
            <w:vAlign w:val="center"/>
          </w:tcPr>
          <w:p w14:paraId="78C1F93B" w14:textId="77777777" w:rsidR="00FA2B94" w:rsidRPr="00007259" w:rsidRDefault="00FA2B94" w:rsidP="00DD3BC8">
            <w:pPr>
              <w:spacing w:line="240" w:lineRule="auto"/>
              <w:jc w:val="center"/>
              <w:rPr>
                <w:rFonts w:eastAsia="Times New Roman" w:cs="Times New Roman"/>
                <w:szCs w:val="24"/>
              </w:rPr>
            </w:pPr>
            <w:r>
              <w:t>b</w:t>
            </w:r>
          </w:p>
        </w:tc>
        <w:tc>
          <w:tcPr>
            <w:tcW w:w="1040" w:type="dxa"/>
            <w:tcBorders>
              <w:top w:val="single" w:sz="4" w:space="0" w:color="auto"/>
              <w:left w:val="nil"/>
              <w:bottom w:val="nil"/>
              <w:right w:val="nil"/>
            </w:tcBorders>
            <w:shd w:val="clear" w:color="auto" w:fill="auto"/>
            <w:noWrap/>
            <w:vAlign w:val="center"/>
          </w:tcPr>
          <w:p w14:paraId="44833AE1" w14:textId="77777777" w:rsidR="00FA2B94" w:rsidRPr="00262192" w:rsidRDefault="00FA2B94" w:rsidP="00DD3BC8">
            <w:pPr>
              <w:spacing w:line="240" w:lineRule="auto"/>
              <w:jc w:val="center"/>
              <w:rPr>
                <w:rFonts w:eastAsia="Times New Roman" w:cs="Times New Roman"/>
                <w:szCs w:val="24"/>
              </w:rPr>
            </w:pPr>
            <w:r>
              <w:rPr>
                <w:rFonts w:cs="Times New Roman"/>
              </w:rPr>
              <w:t>ṫ</w:t>
            </w:r>
            <w:r>
              <w:rPr>
                <w:vertAlign w:val="subscript"/>
              </w:rPr>
              <w:t>i</w:t>
            </w:r>
          </w:p>
        </w:tc>
        <w:tc>
          <w:tcPr>
            <w:tcW w:w="1040" w:type="dxa"/>
            <w:tcBorders>
              <w:top w:val="single" w:sz="4" w:space="0" w:color="auto"/>
              <w:left w:val="nil"/>
              <w:bottom w:val="nil"/>
              <w:right w:val="nil"/>
            </w:tcBorders>
            <w:vAlign w:val="center"/>
          </w:tcPr>
          <w:p w14:paraId="797699AF" w14:textId="77777777" w:rsidR="00FA2B94" w:rsidRDefault="00FA2B94" w:rsidP="00DD3BC8">
            <w:pPr>
              <w:spacing w:line="240" w:lineRule="auto"/>
              <w:jc w:val="center"/>
            </w:pPr>
            <w:r>
              <w:rPr>
                <w:rFonts w:cs="Times New Roman"/>
              </w:rPr>
              <w:t>Ѷ</w:t>
            </w:r>
            <w:r>
              <w:rPr>
                <w:vertAlign w:val="subscript"/>
              </w:rPr>
              <w:t>i</w:t>
            </w:r>
          </w:p>
        </w:tc>
        <w:tc>
          <w:tcPr>
            <w:tcW w:w="1040" w:type="dxa"/>
            <w:tcBorders>
              <w:top w:val="single" w:sz="4" w:space="0" w:color="auto"/>
              <w:left w:val="nil"/>
              <w:bottom w:val="nil"/>
              <w:right w:val="nil"/>
            </w:tcBorders>
            <w:vAlign w:val="center"/>
          </w:tcPr>
          <w:p w14:paraId="55F2C782" w14:textId="77777777" w:rsidR="00FA2B94" w:rsidRDefault="00FA2B94" w:rsidP="00DD3BC8">
            <w:pPr>
              <w:spacing w:line="240" w:lineRule="auto"/>
              <w:jc w:val="center"/>
            </w:pPr>
            <w:r>
              <w:t>t</w:t>
            </w:r>
            <w:r w:rsidRPr="004D764C">
              <w:rPr>
                <w:vertAlign w:val="subscript"/>
              </w:rPr>
              <w:t>d</w:t>
            </w:r>
          </w:p>
        </w:tc>
        <w:tc>
          <w:tcPr>
            <w:tcW w:w="1040" w:type="dxa"/>
            <w:tcBorders>
              <w:top w:val="single" w:sz="4" w:space="0" w:color="auto"/>
              <w:left w:val="nil"/>
              <w:bottom w:val="nil"/>
              <w:right w:val="nil"/>
            </w:tcBorders>
            <w:vAlign w:val="center"/>
          </w:tcPr>
          <w:p w14:paraId="5DDCA6A8" w14:textId="77777777" w:rsidR="00FA2B94" w:rsidRDefault="00FA2B94" w:rsidP="00DD3BC8">
            <w:pPr>
              <w:spacing w:line="240" w:lineRule="auto"/>
              <w:jc w:val="center"/>
            </w:pPr>
            <w:r>
              <w:rPr>
                <w:rFonts w:cs="Times New Roman"/>
              </w:rPr>
              <w:t>ṫ</w:t>
            </w:r>
            <w:r>
              <w:rPr>
                <w:vertAlign w:val="subscript"/>
              </w:rPr>
              <w:t>e</w:t>
            </w:r>
          </w:p>
        </w:tc>
        <w:tc>
          <w:tcPr>
            <w:tcW w:w="1040" w:type="dxa"/>
            <w:tcBorders>
              <w:top w:val="single" w:sz="4" w:space="0" w:color="auto"/>
              <w:left w:val="nil"/>
              <w:bottom w:val="nil"/>
              <w:right w:val="nil"/>
            </w:tcBorders>
            <w:vAlign w:val="center"/>
          </w:tcPr>
          <w:p w14:paraId="74F27277" w14:textId="77777777" w:rsidR="00FA2B94" w:rsidRDefault="00FA2B94" w:rsidP="00DD3BC8">
            <w:pPr>
              <w:spacing w:line="240" w:lineRule="auto"/>
              <w:jc w:val="center"/>
            </w:pPr>
            <w:r>
              <w:rPr>
                <w:rFonts w:cs="Times New Roman"/>
              </w:rPr>
              <w:t>Ѷ</w:t>
            </w:r>
            <w:r>
              <w:rPr>
                <w:vertAlign w:val="subscript"/>
              </w:rPr>
              <w:t>e</w:t>
            </w:r>
          </w:p>
        </w:tc>
      </w:tr>
      <w:tr w:rsidR="00FA2B94" w:rsidRPr="0041408A" w14:paraId="035D7989" w14:textId="77777777" w:rsidTr="00DD3BC8">
        <w:trPr>
          <w:trHeight w:val="576"/>
          <w:jc w:val="center"/>
        </w:trPr>
        <w:tc>
          <w:tcPr>
            <w:tcW w:w="1040" w:type="dxa"/>
            <w:tcBorders>
              <w:top w:val="nil"/>
              <w:left w:val="nil"/>
              <w:bottom w:val="single" w:sz="4" w:space="0" w:color="auto"/>
              <w:right w:val="nil"/>
            </w:tcBorders>
            <w:shd w:val="clear" w:color="auto" w:fill="auto"/>
            <w:noWrap/>
            <w:vAlign w:val="center"/>
            <w:hideMark/>
          </w:tcPr>
          <w:p w14:paraId="64C835D9" w14:textId="77777777" w:rsidR="00FA2B94" w:rsidRPr="00007259" w:rsidRDefault="00FA2B94" w:rsidP="00DD3BC8">
            <w:pPr>
              <w:spacing w:line="240" w:lineRule="auto"/>
              <w:jc w:val="center"/>
              <w:rPr>
                <w:rFonts w:eastAsia="Times New Roman" w:cs="Times New Roman"/>
                <w:szCs w:val="24"/>
              </w:rPr>
            </w:pPr>
            <w:r w:rsidRPr="00007259">
              <w:rPr>
                <w:rFonts w:eastAsia="Times New Roman" w:cs="Times New Roman"/>
                <w:szCs w:val="24"/>
              </w:rPr>
              <w:t>Well</w:t>
            </w:r>
          </w:p>
        </w:tc>
        <w:tc>
          <w:tcPr>
            <w:tcW w:w="1040" w:type="dxa"/>
            <w:tcBorders>
              <w:top w:val="nil"/>
              <w:left w:val="nil"/>
              <w:bottom w:val="single" w:sz="4" w:space="0" w:color="auto"/>
              <w:right w:val="nil"/>
            </w:tcBorders>
            <w:vAlign w:val="center"/>
          </w:tcPr>
          <w:p w14:paraId="6FC6BBEB" w14:textId="77777777" w:rsidR="00FA2B94" w:rsidRDefault="00FA2B94" w:rsidP="00DD3BC8">
            <w:pPr>
              <w:spacing w:line="240" w:lineRule="auto"/>
              <w:jc w:val="center"/>
            </w:pPr>
            <w:r>
              <w:t>(</w:t>
            </w:r>
            <w:r>
              <w:rPr>
                <w:rFonts w:cs="Times New Roman"/>
              </w:rPr>
              <w:t xml:space="preserve">± </w:t>
            </w:r>
            <w:r>
              <w:t>%)</w:t>
            </w:r>
          </w:p>
        </w:tc>
        <w:tc>
          <w:tcPr>
            <w:tcW w:w="1040" w:type="dxa"/>
            <w:tcBorders>
              <w:top w:val="nil"/>
              <w:left w:val="nil"/>
              <w:bottom w:val="single" w:sz="4" w:space="0" w:color="auto"/>
              <w:right w:val="nil"/>
            </w:tcBorders>
            <w:vAlign w:val="center"/>
          </w:tcPr>
          <w:p w14:paraId="36240A67" w14:textId="77777777" w:rsidR="00FA2B94" w:rsidRDefault="00FA2B94" w:rsidP="00DD3BC8">
            <w:pPr>
              <w:spacing w:line="240" w:lineRule="auto"/>
              <w:jc w:val="center"/>
            </w:pPr>
            <w:r>
              <w:rPr>
                <w:rFonts w:cs="Times New Roman"/>
                <w:szCs w:val="24"/>
              </w:rPr>
              <w:t>(</w:t>
            </w:r>
            <w:r>
              <w:rPr>
                <w:rFonts w:cs="Times New Roman"/>
              </w:rPr>
              <w:t xml:space="preserve">± </w:t>
            </w:r>
            <w:r>
              <w:rPr>
                <w:rFonts w:cs="Times New Roman"/>
                <w:szCs w:val="24"/>
              </w:rPr>
              <w:t>%)</w:t>
            </w:r>
          </w:p>
        </w:tc>
        <w:tc>
          <w:tcPr>
            <w:tcW w:w="1040" w:type="dxa"/>
            <w:tcBorders>
              <w:top w:val="nil"/>
              <w:left w:val="nil"/>
              <w:bottom w:val="single" w:sz="4" w:space="0" w:color="auto"/>
              <w:right w:val="nil"/>
            </w:tcBorders>
            <w:shd w:val="clear" w:color="auto" w:fill="auto"/>
            <w:noWrap/>
            <w:vAlign w:val="center"/>
          </w:tcPr>
          <w:p w14:paraId="1FAFD7C7" w14:textId="77777777" w:rsidR="00FA2B94" w:rsidRPr="00007259" w:rsidRDefault="00FA2B94" w:rsidP="00DD3BC8">
            <w:pPr>
              <w:spacing w:line="240" w:lineRule="auto"/>
              <w:jc w:val="center"/>
              <w:rPr>
                <w:rFonts w:eastAsia="Times New Roman" w:cs="Times New Roman"/>
                <w:szCs w:val="24"/>
              </w:rPr>
            </w:pPr>
            <w:r>
              <w:t>(</w:t>
            </w:r>
            <w:r>
              <w:rPr>
                <w:rFonts w:cs="Times New Roman"/>
              </w:rPr>
              <w:t xml:space="preserve">± </w:t>
            </w:r>
            <w:r>
              <w:t>%)</w:t>
            </w:r>
          </w:p>
        </w:tc>
        <w:tc>
          <w:tcPr>
            <w:tcW w:w="1040" w:type="dxa"/>
            <w:tcBorders>
              <w:top w:val="nil"/>
              <w:left w:val="nil"/>
              <w:bottom w:val="single" w:sz="4" w:space="0" w:color="auto"/>
              <w:right w:val="nil"/>
            </w:tcBorders>
            <w:shd w:val="clear" w:color="auto" w:fill="auto"/>
            <w:noWrap/>
            <w:vAlign w:val="center"/>
          </w:tcPr>
          <w:p w14:paraId="37F5B646" w14:textId="77777777" w:rsidR="00FA2B94" w:rsidRPr="00262192" w:rsidRDefault="00FA2B94" w:rsidP="00DD3BC8">
            <w:pPr>
              <w:spacing w:line="240" w:lineRule="auto"/>
              <w:jc w:val="center"/>
              <w:rPr>
                <w:rFonts w:eastAsia="Times New Roman" w:cs="Times New Roman"/>
                <w:szCs w:val="24"/>
              </w:rPr>
            </w:pPr>
            <w:r>
              <w:rPr>
                <w:rFonts w:cs="Times New Roman"/>
                <w:szCs w:val="24"/>
              </w:rPr>
              <w:t>(</w:t>
            </w:r>
            <w:r>
              <w:rPr>
                <w:rFonts w:cs="Times New Roman"/>
              </w:rPr>
              <w:t xml:space="preserve">± </w:t>
            </w:r>
            <w:r>
              <w:rPr>
                <w:rFonts w:cs="Times New Roman"/>
                <w:szCs w:val="24"/>
              </w:rPr>
              <w:t>%)</w:t>
            </w:r>
          </w:p>
        </w:tc>
        <w:tc>
          <w:tcPr>
            <w:tcW w:w="1040" w:type="dxa"/>
            <w:tcBorders>
              <w:top w:val="nil"/>
              <w:left w:val="nil"/>
              <w:bottom w:val="single" w:sz="4" w:space="0" w:color="auto"/>
              <w:right w:val="nil"/>
            </w:tcBorders>
            <w:vAlign w:val="center"/>
          </w:tcPr>
          <w:p w14:paraId="685E721F" w14:textId="77777777" w:rsidR="00FA2B94" w:rsidRPr="004D764C" w:rsidRDefault="00FA2B94" w:rsidP="00DD3BC8">
            <w:pPr>
              <w:spacing w:line="240" w:lineRule="auto"/>
              <w:jc w:val="center"/>
              <w:rPr>
                <w:rFonts w:cs="Times New Roman"/>
                <w:szCs w:val="24"/>
                <w:vertAlign w:val="subscript"/>
              </w:rPr>
            </w:pPr>
            <w:r>
              <w:rPr>
                <w:rFonts w:cs="Times New Roman"/>
                <w:szCs w:val="24"/>
              </w:rPr>
              <w:t>(</w:t>
            </w:r>
            <w:r>
              <w:rPr>
                <w:rFonts w:cs="Times New Roman"/>
              </w:rPr>
              <w:t xml:space="preserve">± </w:t>
            </w:r>
            <w:r>
              <w:rPr>
                <w:rFonts w:cs="Times New Roman"/>
                <w:szCs w:val="24"/>
              </w:rPr>
              <w:t>%</w:t>
            </w:r>
            <w:r w:rsidRPr="004D764C">
              <w:rPr>
                <w:rFonts w:cs="Times New Roman"/>
                <w:szCs w:val="24"/>
              </w:rPr>
              <w:t>)</w:t>
            </w:r>
          </w:p>
        </w:tc>
        <w:tc>
          <w:tcPr>
            <w:tcW w:w="1040" w:type="dxa"/>
            <w:tcBorders>
              <w:top w:val="nil"/>
              <w:left w:val="nil"/>
              <w:bottom w:val="single" w:sz="4" w:space="0" w:color="auto"/>
              <w:right w:val="nil"/>
            </w:tcBorders>
            <w:vAlign w:val="center"/>
          </w:tcPr>
          <w:p w14:paraId="0A4CEF2C" w14:textId="77777777" w:rsidR="00FA2B94" w:rsidRDefault="00FA2B94" w:rsidP="00DD3BC8">
            <w:pPr>
              <w:spacing w:line="240" w:lineRule="auto"/>
              <w:jc w:val="center"/>
              <w:rPr>
                <w:rFonts w:cs="Times New Roman"/>
                <w:szCs w:val="24"/>
              </w:rPr>
            </w:pPr>
            <w:r>
              <w:rPr>
                <w:rFonts w:cs="Times New Roman"/>
                <w:szCs w:val="24"/>
              </w:rPr>
              <w:t>(</w:t>
            </w:r>
            <w:r>
              <w:rPr>
                <w:rFonts w:cs="Times New Roman"/>
              </w:rPr>
              <w:t xml:space="preserve">±  </w:t>
            </w:r>
            <w:r>
              <w:rPr>
                <w:rFonts w:cs="Times New Roman"/>
                <w:szCs w:val="24"/>
              </w:rPr>
              <w:t>%)</w:t>
            </w:r>
          </w:p>
        </w:tc>
        <w:tc>
          <w:tcPr>
            <w:tcW w:w="1040" w:type="dxa"/>
            <w:tcBorders>
              <w:top w:val="nil"/>
              <w:left w:val="nil"/>
              <w:bottom w:val="single" w:sz="4" w:space="0" w:color="auto"/>
              <w:right w:val="nil"/>
            </w:tcBorders>
            <w:vAlign w:val="center"/>
          </w:tcPr>
          <w:p w14:paraId="448031A4" w14:textId="77777777" w:rsidR="00FA2B94" w:rsidRDefault="00FA2B94" w:rsidP="00DD3BC8">
            <w:pPr>
              <w:spacing w:line="240" w:lineRule="auto"/>
              <w:jc w:val="center"/>
              <w:rPr>
                <w:rFonts w:cs="Times New Roman"/>
                <w:szCs w:val="24"/>
              </w:rPr>
            </w:pPr>
            <w:r>
              <w:rPr>
                <w:rFonts w:cs="Times New Roman"/>
                <w:szCs w:val="24"/>
              </w:rPr>
              <w:t>(</w:t>
            </w:r>
            <w:r>
              <w:rPr>
                <w:rFonts w:cs="Times New Roman"/>
              </w:rPr>
              <w:t xml:space="preserve">± </w:t>
            </w:r>
            <w:r>
              <w:rPr>
                <w:rFonts w:cs="Times New Roman"/>
                <w:szCs w:val="24"/>
              </w:rPr>
              <w:t>%)</w:t>
            </w:r>
          </w:p>
        </w:tc>
        <w:tc>
          <w:tcPr>
            <w:tcW w:w="1040" w:type="dxa"/>
            <w:tcBorders>
              <w:top w:val="nil"/>
              <w:left w:val="nil"/>
              <w:bottom w:val="single" w:sz="4" w:space="0" w:color="auto"/>
              <w:right w:val="nil"/>
            </w:tcBorders>
            <w:vAlign w:val="center"/>
          </w:tcPr>
          <w:p w14:paraId="04FD456F" w14:textId="77777777" w:rsidR="00FA2B94" w:rsidRDefault="00FA2B94" w:rsidP="00DD3BC8">
            <w:pPr>
              <w:spacing w:line="240" w:lineRule="auto"/>
              <w:jc w:val="center"/>
              <w:rPr>
                <w:rFonts w:cs="Times New Roman"/>
                <w:szCs w:val="24"/>
              </w:rPr>
            </w:pPr>
            <w:r>
              <w:rPr>
                <w:rFonts w:cs="Times New Roman"/>
                <w:szCs w:val="24"/>
              </w:rPr>
              <w:t>(</w:t>
            </w:r>
            <w:r>
              <w:rPr>
                <w:rFonts w:cs="Times New Roman"/>
              </w:rPr>
              <w:t xml:space="preserve">± </w:t>
            </w:r>
            <w:r>
              <w:rPr>
                <w:rFonts w:cs="Times New Roman"/>
                <w:szCs w:val="24"/>
              </w:rPr>
              <w:t>%</w:t>
            </w:r>
            <w:r w:rsidRPr="004D764C">
              <w:rPr>
                <w:rFonts w:cs="Times New Roman"/>
                <w:szCs w:val="24"/>
              </w:rPr>
              <w:t>)</w:t>
            </w:r>
          </w:p>
        </w:tc>
      </w:tr>
      <w:tr w:rsidR="00FA2B94" w:rsidRPr="0041408A" w14:paraId="0BCA3A5D" w14:textId="77777777" w:rsidTr="00DD3BC8">
        <w:trPr>
          <w:trHeight w:val="576"/>
          <w:jc w:val="center"/>
        </w:trPr>
        <w:tc>
          <w:tcPr>
            <w:tcW w:w="1040" w:type="dxa"/>
            <w:tcBorders>
              <w:top w:val="nil"/>
              <w:left w:val="nil"/>
              <w:bottom w:val="nil"/>
              <w:right w:val="nil"/>
            </w:tcBorders>
            <w:shd w:val="clear" w:color="auto" w:fill="auto"/>
            <w:noWrap/>
            <w:vAlign w:val="center"/>
          </w:tcPr>
          <w:p w14:paraId="340C37D0" w14:textId="77777777" w:rsidR="00FA2B94" w:rsidRPr="00007259" w:rsidRDefault="00FA2B94" w:rsidP="00DD3BC8">
            <w:pPr>
              <w:spacing w:line="240" w:lineRule="auto"/>
              <w:jc w:val="center"/>
              <w:rPr>
                <w:rFonts w:eastAsia="Times New Roman" w:cs="Times New Roman"/>
                <w:szCs w:val="24"/>
              </w:rPr>
            </w:pPr>
            <w:r w:rsidRPr="00007259">
              <w:rPr>
                <w:rFonts w:eastAsia="Times New Roman" w:cs="Times New Roman"/>
                <w:szCs w:val="24"/>
              </w:rPr>
              <w:t>FW220</w:t>
            </w:r>
          </w:p>
        </w:tc>
        <w:tc>
          <w:tcPr>
            <w:tcW w:w="1040" w:type="dxa"/>
            <w:tcBorders>
              <w:top w:val="nil"/>
              <w:left w:val="nil"/>
              <w:bottom w:val="nil"/>
              <w:right w:val="nil"/>
            </w:tcBorders>
            <w:vAlign w:val="center"/>
          </w:tcPr>
          <w:p w14:paraId="53C6057F" w14:textId="77777777" w:rsidR="00FA2B94" w:rsidRPr="00CE3274" w:rsidRDefault="00FA2B94" w:rsidP="00DD3BC8">
            <w:pPr>
              <w:spacing w:line="240" w:lineRule="auto"/>
              <w:jc w:val="center"/>
            </w:pPr>
            <w:r>
              <w:t>1.2</w:t>
            </w:r>
          </w:p>
        </w:tc>
        <w:tc>
          <w:tcPr>
            <w:tcW w:w="1040" w:type="dxa"/>
            <w:tcBorders>
              <w:top w:val="nil"/>
              <w:left w:val="nil"/>
              <w:bottom w:val="nil"/>
              <w:right w:val="nil"/>
            </w:tcBorders>
            <w:vAlign w:val="center"/>
          </w:tcPr>
          <w:p w14:paraId="6ECDB84B" w14:textId="77777777" w:rsidR="00FA2B94" w:rsidRPr="00CE3274" w:rsidRDefault="00FA2B94" w:rsidP="00DD3BC8">
            <w:pPr>
              <w:spacing w:line="240" w:lineRule="auto"/>
              <w:jc w:val="center"/>
            </w:pPr>
            <w:r>
              <w:t>1.6</w:t>
            </w:r>
          </w:p>
        </w:tc>
        <w:tc>
          <w:tcPr>
            <w:tcW w:w="1040" w:type="dxa"/>
            <w:tcBorders>
              <w:top w:val="nil"/>
              <w:left w:val="nil"/>
              <w:bottom w:val="nil"/>
              <w:right w:val="nil"/>
            </w:tcBorders>
            <w:shd w:val="clear" w:color="auto" w:fill="auto"/>
            <w:noWrap/>
            <w:vAlign w:val="center"/>
          </w:tcPr>
          <w:p w14:paraId="6524094F" w14:textId="77777777" w:rsidR="00FA2B94" w:rsidRPr="00007259" w:rsidRDefault="00FA2B94" w:rsidP="00DD3BC8">
            <w:pPr>
              <w:spacing w:line="240" w:lineRule="auto"/>
              <w:jc w:val="center"/>
              <w:rPr>
                <w:rFonts w:eastAsia="Times New Roman" w:cs="Times New Roman"/>
                <w:szCs w:val="24"/>
              </w:rPr>
            </w:pPr>
            <w:r>
              <w:t>5.0</w:t>
            </w:r>
          </w:p>
        </w:tc>
        <w:tc>
          <w:tcPr>
            <w:tcW w:w="1040" w:type="dxa"/>
            <w:tcBorders>
              <w:top w:val="nil"/>
              <w:left w:val="nil"/>
              <w:bottom w:val="nil"/>
              <w:right w:val="nil"/>
            </w:tcBorders>
            <w:shd w:val="clear" w:color="auto" w:fill="auto"/>
            <w:noWrap/>
            <w:vAlign w:val="center"/>
          </w:tcPr>
          <w:p w14:paraId="3286037A" w14:textId="77777777" w:rsidR="00FA2B94" w:rsidRPr="00262192" w:rsidRDefault="00FA2B94" w:rsidP="00DD3BC8">
            <w:pPr>
              <w:spacing w:line="240" w:lineRule="auto"/>
              <w:jc w:val="center"/>
              <w:rPr>
                <w:rFonts w:eastAsia="Times New Roman" w:cs="Times New Roman"/>
                <w:szCs w:val="24"/>
              </w:rPr>
            </w:pPr>
            <w:r>
              <w:t>2.5</w:t>
            </w:r>
          </w:p>
        </w:tc>
        <w:tc>
          <w:tcPr>
            <w:tcW w:w="1040" w:type="dxa"/>
            <w:tcBorders>
              <w:top w:val="nil"/>
              <w:left w:val="nil"/>
              <w:bottom w:val="nil"/>
              <w:right w:val="nil"/>
            </w:tcBorders>
            <w:vAlign w:val="center"/>
          </w:tcPr>
          <w:p w14:paraId="5A4028C0" w14:textId="77777777" w:rsidR="00FA2B94" w:rsidRPr="00DA3683" w:rsidRDefault="00FA2B94" w:rsidP="00DD3BC8">
            <w:pPr>
              <w:spacing w:line="240" w:lineRule="auto"/>
              <w:jc w:val="center"/>
            </w:pPr>
            <w:r>
              <w:t>2.5</w:t>
            </w:r>
          </w:p>
        </w:tc>
        <w:tc>
          <w:tcPr>
            <w:tcW w:w="1040" w:type="dxa"/>
            <w:tcBorders>
              <w:top w:val="nil"/>
              <w:left w:val="nil"/>
              <w:bottom w:val="nil"/>
              <w:right w:val="nil"/>
            </w:tcBorders>
            <w:vAlign w:val="center"/>
          </w:tcPr>
          <w:p w14:paraId="6A6827E3" w14:textId="77777777" w:rsidR="00FA2B94" w:rsidRPr="00DA3683" w:rsidRDefault="00FA2B94" w:rsidP="00DD3BC8">
            <w:pPr>
              <w:spacing w:line="240" w:lineRule="auto"/>
              <w:jc w:val="center"/>
            </w:pPr>
            <w:r>
              <w:t>1.1</w:t>
            </w:r>
          </w:p>
        </w:tc>
        <w:tc>
          <w:tcPr>
            <w:tcW w:w="1040" w:type="dxa"/>
            <w:tcBorders>
              <w:top w:val="nil"/>
              <w:left w:val="nil"/>
              <w:bottom w:val="nil"/>
              <w:right w:val="nil"/>
            </w:tcBorders>
            <w:vAlign w:val="center"/>
          </w:tcPr>
          <w:p w14:paraId="38CF1D03" w14:textId="77777777" w:rsidR="00FA2B94" w:rsidRPr="00DA3683" w:rsidRDefault="00FA2B94" w:rsidP="00DD3BC8">
            <w:pPr>
              <w:spacing w:line="240" w:lineRule="auto"/>
              <w:jc w:val="center"/>
            </w:pPr>
            <w:r>
              <w:t>3.0</w:t>
            </w:r>
          </w:p>
        </w:tc>
        <w:tc>
          <w:tcPr>
            <w:tcW w:w="1040" w:type="dxa"/>
            <w:tcBorders>
              <w:top w:val="nil"/>
              <w:left w:val="nil"/>
              <w:bottom w:val="nil"/>
              <w:right w:val="nil"/>
            </w:tcBorders>
            <w:vAlign w:val="center"/>
          </w:tcPr>
          <w:p w14:paraId="7C98C4FE" w14:textId="77777777" w:rsidR="00FA2B94" w:rsidRPr="00DA3683" w:rsidRDefault="00FA2B94" w:rsidP="00DD3BC8">
            <w:pPr>
              <w:spacing w:line="240" w:lineRule="auto"/>
              <w:jc w:val="center"/>
            </w:pPr>
            <w:r>
              <w:t>3.9</w:t>
            </w:r>
          </w:p>
        </w:tc>
      </w:tr>
      <w:tr w:rsidR="00FA2B94" w:rsidRPr="0041408A" w14:paraId="56DA6546" w14:textId="77777777" w:rsidTr="00DD3BC8">
        <w:trPr>
          <w:trHeight w:val="576"/>
          <w:jc w:val="center"/>
        </w:trPr>
        <w:tc>
          <w:tcPr>
            <w:tcW w:w="1040" w:type="dxa"/>
            <w:tcBorders>
              <w:top w:val="nil"/>
              <w:left w:val="nil"/>
              <w:bottom w:val="nil"/>
              <w:right w:val="nil"/>
            </w:tcBorders>
            <w:shd w:val="clear" w:color="auto" w:fill="auto"/>
            <w:noWrap/>
            <w:vAlign w:val="center"/>
          </w:tcPr>
          <w:p w14:paraId="682DBF73" w14:textId="77777777" w:rsidR="00FA2B94" w:rsidRPr="00007259" w:rsidRDefault="00FA2B94" w:rsidP="00DD3BC8">
            <w:pPr>
              <w:spacing w:line="240" w:lineRule="auto"/>
              <w:jc w:val="center"/>
              <w:rPr>
                <w:rFonts w:eastAsia="Times New Roman" w:cs="Times New Roman"/>
                <w:szCs w:val="24"/>
              </w:rPr>
            </w:pPr>
            <w:r w:rsidRPr="00007259">
              <w:rPr>
                <w:rFonts w:eastAsia="Times New Roman" w:cs="Times New Roman"/>
                <w:szCs w:val="24"/>
              </w:rPr>
              <w:t>FW221</w:t>
            </w:r>
          </w:p>
        </w:tc>
        <w:tc>
          <w:tcPr>
            <w:tcW w:w="1040" w:type="dxa"/>
            <w:tcBorders>
              <w:top w:val="nil"/>
              <w:left w:val="nil"/>
              <w:bottom w:val="nil"/>
              <w:right w:val="nil"/>
            </w:tcBorders>
            <w:vAlign w:val="center"/>
          </w:tcPr>
          <w:p w14:paraId="3E168B6C" w14:textId="77777777" w:rsidR="00FA2B94" w:rsidRPr="00CE3274" w:rsidRDefault="00FA2B94" w:rsidP="00DD3BC8">
            <w:pPr>
              <w:spacing w:line="240" w:lineRule="auto"/>
              <w:jc w:val="center"/>
            </w:pPr>
            <w:r>
              <w:t>1.0</w:t>
            </w:r>
          </w:p>
        </w:tc>
        <w:tc>
          <w:tcPr>
            <w:tcW w:w="1040" w:type="dxa"/>
            <w:tcBorders>
              <w:top w:val="nil"/>
              <w:left w:val="nil"/>
              <w:bottom w:val="nil"/>
              <w:right w:val="nil"/>
            </w:tcBorders>
            <w:vAlign w:val="center"/>
          </w:tcPr>
          <w:p w14:paraId="01EF969D" w14:textId="77777777" w:rsidR="00FA2B94" w:rsidRPr="00CE3274" w:rsidRDefault="00FA2B94" w:rsidP="00DD3BC8">
            <w:pPr>
              <w:spacing w:line="240" w:lineRule="auto"/>
              <w:jc w:val="center"/>
            </w:pPr>
            <w:r>
              <w:t>0.7</w:t>
            </w:r>
          </w:p>
        </w:tc>
        <w:tc>
          <w:tcPr>
            <w:tcW w:w="1040" w:type="dxa"/>
            <w:tcBorders>
              <w:top w:val="nil"/>
              <w:left w:val="nil"/>
              <w:bottom w:val="nil"/>
              <w:right w:val="nil"/>
            </w:tcBorders>
            <w:shd w:val="clear" w:color="auto" w:fill="auto"/>
            <w:noWrap/>
            <w:vAlign w:val="center"/>
          </w:tcPr>
          <w:p w14:paraId="5F71B97C" w14:textId="77777777" w:rsidR="00FA2B94" w:rsidRPr="00007259" w:rsidRDefault="00FA2B94" w:rsidP="00DD3BC8">
            <w:pPr>
              <w:spacing w:line="240" w:lineRule="auto"/>
              <w:jc w:val="center"/>
              <w:rPr>
                <w:rFonts w:eastAsia="Times New Roman" w:cs="Times New Roman"/>
                <w:szCs w:val="24"/>
              </w:rPr>
            </w:pPr>
            <w:r>
              <w:t>5.0</w:t>
            </w:r>
          </w:p>
        </w:tc>
        <w:tc>
          <w:tcPr>
            <w:tcW w:w="1040" w:type="dxa"/>
            <w:tcBorders>
              <w:top w:val="nil"/>
              <w:left w:val="nil"/>
              <w:bottom w:val="nil"/>
              <w:right w:val="nil"/>
            </w:tcBorders>
            <w:shd w:val="clear" w:color="auto" w:fill="auto"/>
            <w:noWrap/>
            <w:vAlign w:val="center"/>
          </w:tcPr>
          <w:p w14:paraId="28E5A996" w14:textId="77777777" w:rsidR="00FA2B94" w:rsidRPr="00262192" w:rsidRDefault="00FA2B94" w:rsidP="00DD3BC8">
            <w:pPr>
              <w:spacing w:line="240" w:lineRule="auto"/>
              <w:jc w:val="center"/>
              <w:rPr>
                <w:rFonts w:eastAsia="Times New Roman" w:cs="Times New Roman"/>
                <w:szCs w:val="24"/>
              </w:rPr>
            </w:pPr>
            <w:r>
              <w:t>2.5</w:t>
            </w:r>
          </w:p>
        </w:tc>
        <w:tc>
          <w:tcPr>
            <w:tcW w:w="1040" w:type="dxa"/>
            <w:tcBorders>
              <w:top w:val="nil"/>
              <w:left w:val="nil"/>
              <w:bottom w:val="nil"/>
              <w:right w:val="nil"/>
            </w:tcBorders>
            <w:vAlign w:val="center"/>
          </w:tcPr>
          <w:p w14:paraId="0DA79A50" w14:textId="77777777" w:rsidR="00FA2B94" w:rsidRPr="00DA3683" w:rsidRDefault="00FA2B94" w:rsidP="00DD3BC8">
            <w:pPr>
              <w:spacing w:line="240" w:lineRule="auto"/>
              <w:jc w:val="center"/>
            </w:pPr>
            <w:r>
              <w:t>2.5</w:t>
            </w:r>
          </w:p>
        </w:tc>
        <w:tc>
          <w:tcPr>
            <w:tcW w:w="1040" w:type="dxa"/>
            <w:tcBorders>
              <w:top w:val="nil"/>
              <w:left w:val="nil"/>
              <w:bottom w:val="nil"/>
              <w:right w:val="nil"/>
            </w:tcBorders>
            <w:vAlign w:val="center"/>
          </w:tcPr>
          <w:p w14:paraId="71D7B917" w14:textId="77777777" w:rsidR="00FA2B94" w:rsidRPr="00DA3683" w:rsidRDefault="00FA2B94" w:rsidP="00DD3BC8">
            <w:pPr>
              <w:spacing w:line="240" w:lineRule="auto"/>
              <w:jc w:val="center"/>
            </w:pPr>
            <w:r>
              <w:t>0.4</w:t>
            </w:r>
          </w:p>
        </w:tc>
        <w:tc>
          <w:tcPr>
            <w:tcW w:w="1040" w:type="dxa"/>
            <w:tcBorders>
              <w:top w:val="nil"/>
              <w:left w:val="nil"/>
              <w:bottom w:val="nil"/>
              <w:right w:val="nil"/>
            </w:tcBorders>
            <w:vAlign w:val="center"/>
          </w:tcPr>
          <w:p w14:paraId="7BE492E0" w14:textId="77777777" w:rsidR="00FA2B94" w:rsidRPr="00DA3683" w:rsidRDefault="00FA2B94" w:rsidP="00DD3BC8">
            <w:pPr>
              <w:spacing w:line="240" w:lineRule="auto"/>
              <w:jc w:val="center"/>
            </w:pPr>
            <w:r>
              <w:t>1.1</w:t>
            </w:r>
          </w:p>
        </w:tc>
        <w:tc>
          <w:tcPr>
            <w:tcW w:w="1040" w:type="dxa"/>
            <w:tcBorders>
              <w:top w:val="nil"/>
              <w:left w:val="nil"/>
              <w:bottom w:val="nil"/>
              <w:right w:val="nil"/>
            </w:tcBorders>
            <w:vAlign w:val="center"/>
          </w:tcPr>
          <w:p w14:paraId="0AE38E65" w14:textId="77777777" w:rsidR="00FA2B94" w:rsidRPr="00DA3683" w:rsidRDefault="00FA2B94" w:rsidP="00DD3BC8">
            <w:pPr>
              <w:spacing w:line="240" w:lineRule="auto"/>
              <w:jc w:val="center"/>
            </w:pPr>
            <w:r>
              <w:t>2.1</w:t>
            </w:r>
          </w:p>
        </w:tc>
      </w:tr>
      <w:tr w:rsidR="00FA2B94" w:rsidRPr="0041408A" w14:paraId="30FA7CE9" w14:textId="77777777" w:rsidTr="00DD3BC8">
        <w:trPr>
          <w:trHeight w:val="576"/>
          <w:jc w:val="center"/>
        </w:trPr>
        <w:tc>
          <w:tcPr>
            <w:tcW w:w="1040" w:type="dxa"/>
            <w:tcBorders>
              <w:top w:val="nil"/>
              <w:left w:val="nil"/>
              <w:bottom w:val="nil"/>
              <w:right w:val="nil"/>
            </w:tcBorders>
            <w:shd w:val="clear" w:color="auto" w:fill="auto"/>
            <w:noWrap/>
            <w:vAlign w:val="center"/>
          </w:tcPr>
          <w:p w14:paraId="136C0B32" w14:textId="77777777" w:rsidR="00FA2B94" w:rsidRPr="00007259" w:rsidRDefault="00FA2B94" w:rsidP="00DD3BC8">
            <w:pPr>
              <w:spacing w:line="240" w:lineRule="auto"/>
              <w:jc w:val="center"/>
              <w:rPr>
                <w:rFonts w:eastAsia="Times New Roman" w:cs="Times New Roman"/>
                <w:szCs w:val="24"/>
              </w:rPr>
            </w:pPr>
            <w:r w:rsidRPr="00007259">
              <w:rPr>
                <w:rFonts w:eastAsia="Times New Roman" w:cs="Times New Roman"/>
                <w:szCs w:val="24"/>
              </w:rPr>
              <w:t>FW222</w:t>
            </w:r>
          </w:p>
        </w:tc>
        <w:tc>
          <w:tcPr>
            <w:tcW w:w="1040" w:type="dxa"/>
            <w:tcBorders>
              <w:top w:val="nil"/>
              <w:left w:val="nil"/>
              <w:bottom w:val="nil"/>
              <w:right w:val="nil"/>
            </w:tcBorders>
            <w:vAlign w:val="center"/>
          </w:tcPr>
          <w:p w14:paraId="32F62BB2" w14:textId="77777777" w:rsidR="00FA2B94" w:rsidRPr="00CE3274" w:rsidRDefault="00FA2B94" w:rsidP="00DD3BC8">
            <w:pPr>
              <w:spacing w:line="240" w:lineRule="auto"/>
              <w:jc w:val="center"/>
            </w:pPr>
            <w:r>
              <w:t>1.7</w:t>
            </w:r>
          </w:p>
        </w:tc>
        <w:tc>
          <w:tcPr>
            <w:tcW w:w="1040" w:type="dxa"/>
            <w:tcBorders>
              <w:top w:val="nil"/>
              <w:left w:val="nil"/>
              <w:bottom w:val="nil"/>
              <w:right w:val="nil"/>
            </w:tcBorders>
            <w:vAlign w:val="center"/>
          </w:tcPr>
          <w:p w14:paraId="28F71DCA" w14:textId="77777777" w:rsidR="00FA2B94" w:rsidRPr="00CE3274" w:rsidRDefault="00FA2B94" w:rsidP="00DD3BC8">
            <w:pPr>
              <w:spacing w:line="240" w:lineRule="auto"/>
              <w:jc w:val="center"/>
            </w:pPr>
            <w:r>
              <w:t>1.7</w:t>
            </w:r>
          </w:p>
        </w:tc>
        <w:tc>
          <w:tcPr>
            <w:tcW w:w="1040" w:type="dxa"/>
            <w:tcBorders>
              <w:top w:val="nil"/>
              <w:left w:val="nil"/>
              <w:bottom w:val="nil"/>
              <w:right w:val="nil"/>
            </w:tcBorders>
            <w:shd w:val="clear" w:color="auto" w:fill="auto"/>
            <w:noWrap/>
            <w:vAlign w:val="center"/>
          </w:tcPr>
          <w:p w14:paraId="2B3E84DB" w14:textId="77777777" w:rsidR="00FA2B94" w:rsidRPr="00007259" w:rsidRDefault="00FA2B94" w:rsidP="00DD3BC8">
            <w:pPr>
              <w:spacing w:line="240" w:lineRule="auto"/>
              <w:jc w:val="center"/>
              <w:rPr>
                <w:rFonts w:eastAsia="Times New Roman" w:cs="Times New Roman"/>
                <w:szCs w:val="24"/>
              </w:rPr>
            </w:pPr>
            <w:r>
              <w:t>5.0</w:t>
            </w:r>
          </w:p>
        </w:tc>
        <w:tc>
          <w:tcPr>
            <w:tcW w:w="1040" w:type="dxa"/>
            <w:tcBorders>
              <w:top w:val="nil"/>
              <w:left w:val="nil"/>
              <w:bottom w:val="nil"/>
              <w:right w:val="nil"/>
            </w:tcBorders>
            <w:shd w:val="clear" w:color="auto" w:fill="auto"/>
            <w:noWrap/>
            <w:vAlign w:val="center"/>
          </w:tcPr>
          <w:p w14:paraId="187BA16C" w14:textId="77777777" w:rsidR="00FA2B94" w:rsidRPr="00262192" w:rsidRDefault="00FA2B94" w:rsidP="00DD3BC8">
            <w:pPr>
              <w:spacing w:line="240" w:lineRule="auto"/>
              <w:jc w:val="center"/>
              <w:rPr>
                <w:rFonts w:eastAsia="Times New Roman" w:cs="Times New Roman"/>
                <w:szCs w:val="24"/>
              </w:rPr>
            </w:pPr>
            <w:r>
              <w:t>2.5</w:t>
            </w:r>
          </w:p>
        </w:tc>
        <w:tc>
          <w:tcPr>
            <w:tcW w:w="1040" w:type="dxa"/>
            <w:tcBorders>
              <w:top w:val="nil"/>
              <w:left w:val="nil"/>
              <w:bottom w:val="nil"/>
              <w:right w:val="nil"/>
            </w:tcBorders>
            <w:vAlign w:val="center"/>
          </w:tcPr>
          <w:p w14:paraId="59EC7A3C" w14:textId="77777777" w:rsidR="00FA2B94" w:rsidRPr="00DA3683" w:rsidRDefault="00FA2B94" w:rsidP="00DD3BC8">
            <w:pPr>
              <w:spacing w:line="240" w:lineRule="auto"/>
              <w:jc w:val="center"/>
            </w:pPr>
            <w:r>
              <w:t>2.5</w:t>
            </w:r>
          </w:p>
        </w:tc>
        <w:tc>
          <w:tcPr>
            <w:tcW w:w="1040" w:type="dxa"/>
            <w:tcBorders>
              <w:top w:val="nil"/>
              <w:left w:val="nil"/>
              <w:bottom w:val="nil"/>
              <w:right w:val="nil"/>
            </w:tcBorders>
            <w:vAlign w:val="center"/>
          </w:tcPr>
          <w:p w14:paraId="601A2D02" w14:textId="77777777" w:rsidR="00FA2B94" w:rsidRPr="00DA3683" w:rsidRDefault="00FA2B94" w:rsidP="00DD3BC8">
            <w:pPr>
              <w:spacing w:line="240" w:lineRule="auto"/>
              <w:jc w:val="center"/>
            </w:pPr>
            <w:r>
              <w:t>0.4</w:t>
            </w:r>
          </w:p>
        </w:tc>
        <w:tc>
          <w:tcPr>
            <w:tcW w:w="1040" w:type="dxa"/>
            <w:tcBorders>
              <w:top w:val="nil"/>
              <w:left w:val="nil"/>
              <w:bottom w:val="nil"/>
              <w:right w:val="nil"/>
            </w:tcBorders>
            <w:vAlign w:val="center"/>
          </w:tcPr>
          <w:p w14:paraId="673D7E11" w14:textId="77777777" w:rsidR="00FA2B94" w:rsidRPr="00DA3683" w:rsidRDefault="00FA2B94" w:rsidP="00DD3BC8">
            <w:pPr>
              <w:spacing w:line="240" w:lineRule="auto"/>
              <w:jc w:val="center"/>
            </w:pPr>
            <w:r>
              <w:t>1.1</w:t>
            </w:r>
          </w:p>
        </w:tc>
        <w:tc>
          <w:tcPr>
            <w:tcW w:w="1040" w:type="dxa"/>
            <w:tcBorders>
              <w:top w:val="nil"/>
              <w:left w:val="nil"/>
              <w:bottom w:val="nil"/>
              <w:right w:val="nil"/>
            </w:tcBorders>
            <w:vAlign w:val="center"/>
          </w:tcPr>
          <w:p w14:paraId="3D1A31EF" w14:textId="77777777" w:rsidR="00FA2B94" w:rsidRPr="00DA3683" w:rsidRDefault="00FA2B94" w:rsidP="00DD3BC8">
            <w:pPr>
              <w:spacing w:line="240" w:lineRule="auto"/>
              <w:jc w:val="center"/>
            </w:pPr>
            <w:r>
              <w:t>5.4</w:t>
            </w:r>
          </w:p>
        </w:tc>
      </w:tr>
      <w:tr w:rsidR="00FA2B94" w:rsidRPr="0041408A" w14:paraId="466BFEC8" w14:textId="77777777" w:rsidTr="00DD3BC8">
        <w:trPr>
          <w:trHeight w:val="576"/>
          <w:jc w:val="center"/>
        </w:trPr>
        <w:tc>
          <w:tcPr>
            <w:tcW w:w="1040" w:type="dxa"/>
            <w:tcBorders>
              <w:top w:val="nil"/>
              <w:left w:val="nil"/>
              <w:right w:val="nil"/>
            </w:tcBorders>
            <w:shd w:val="clear" w:color="auto" w:fill="auto"/>
            <w:noWrap/>
            <w:vAlign w:val="center"/>
          </w:tcPr>
          <w:p w14:paraId="1496BD61" w14:textId="77777777" w:rsidR="00FA2B94" w:rsidRPr="00007259" w:rsidRDefault="00FA2B94" w:rsidP="00DD3BC8">
            <w:pPr>
              <w:spacing w:line="240" w:lineRule="auto"/>
              <w:jc w:val="center"/>
              <w:rPr>
                <w:rFonts w:eastAsia="Times New Roman" w:cs="Times New Roman"/>
                <w:szCs w:val="24"/>
              </w:rPr>
            </w:pPr>
            <w:r w:rsidRPr="00007259">
              <w:rPr>
                <w:rFonts w:eastAsia="Times New Roman" w:cs="Times New Roman"/>
                <w:szCs w:val="24"/>
              </w:rPr>
              <w:t>FW223</w:t>
            </w:r>
          </w:p>
        </w:tc>
        <w:tc>
          <w:tcPr>
            <w:tcW w:w="1040" w:type="dxa"/>
            <w:tcBorders>
              <w:top w:val="nil"/>
              <w:left w:val="nil"/>
              <w:right w:val="nil"/>
            </w:tcBorders>
            <w:vAlign w:val="center"/>
          </w:tcPr>
          <w:p w14:paraId="75EBF7B2" w14:textId="77777777" w:rsidR="00FA2B94" w:rsidRPr="00CE3274" w:rsidRDefault="00FA2B94" w:rsidP="00DD3BC8">
            <w:pPr>
              <w:spacing w:line="240" w:lineRule="auto"/>
              <w:jc w:val="center"/>
            </w:pPr>
            <w:r>
              <w:t>1.1</w:t>
            </w:r>
          </w:p>
        </w:tc>
        <w:tc>
          <w:tcPr>
            <w:tcW w:w="1040" w:type="dxa"/>
            <w:tcBorders>
              <w:top w:val="nil"/>
              <w:left w:val="nil"/>
              <w:right w:val="nil"/>
            </w:tcBorders>
            <w:vAlign w:val="center"/>
          </w:tcPr>
          <w:p w14:paraId="788A501C" w14:textId="77777777" w:rsidR="00FA2B94" w:rsidRPr="00CE3274" w:rsidRDefault="00FA2B94" w:rsidP="00DD3BC8">
            <w:pPr>
              <w:spacing w:line="240" w:lineRule="auto"/>
              <w:jc w:val="center"/>
            </w:pPr>
            <w:r>
              <w:t>0.6</w:t>
            </w:r>
          </w:p>
        </w:tc>
        <w:tc>
          <w:tcPr>
            <w:tcW w:w="1040" w:type="dxa"/>
            <w:tcBorders>
              <w:top w:val="nil"/>
              <w:left w:val="nil"/>
              <w:right w:val="nil"/>
            </w:tcBorders>
            <w:shd w:val="clear" w:color="auto" w:fill="auto"/>
            <w:noWrap/>
            <w:vAlign w:val="center"/>
          </w:tcPr>
          <w:p w14:paraId="6D304A77" w14:textId="77777777" w:rsidR="00FA2B94" w:rsidRPr="00007259" w:rsidRDefault="00FA2B94" w:rsidP="00DD3BC8">
            <w:pPr>
              <w:spacing w:line="240" w:lineRule="auto"/>
              <w:jc w:val="center"/>
              <w:rPr>
                <w:rFonts w:eastAsia="Times New Roman" w:cs="Times New Roman"/>
                <w:szCs w:val="24"/>
              </w:rPr>
            </w:pPr>
            <w:r>
              <w:t>5.0</w:t>
            </w:r>
          </w:p>
        </w:tc>
        <w:tc>
          <w:tcPr>
            <w:tcW w:w="1040" w:type="dxa"/>
            <w:tcBorders>
              <w:top w:val="nil"/>
              <w:left w:val="nil"/>
              <w:right w:val="nil"/>
            </w:tcBorders>
            <w:shd w:val="clear" w:color="auto" w:fill="auto"/>
            <w:noWrap/>
            <w:vAlign w:val="center"/>
          </w:tcPr>
          <w:p w14:paraId="70A5A0A7" w14:textId="77777777" w:rsidR="00FA2B94" w:rsidRPr="00262192" w:rsidRDefault="00FA2B94" w:rsidP="00DD3BC8">
            <w:pPr>
              <w:spacing w:line="240" w:lineRule="auto"/>
              <w:jc w:val="center"/>
              <w:rPr>
                <w:rFonts w:eastAsia="Times New Roman" w:cs="Times New Roman"/>
                <w:szCs w:val="24"/>
              </w:rPr>
            </w:pPr>
            <w:r>
              <w:t>2.5</w:t>
            </w:r>
          </w:p>
        </w:tc>
        <w:tc>
          <w:tcPr>
            <w:tcW w:w="1040" w:type="dxa"/>
            <w:tcBorders>
              <w:top w:val="nil"/>
              <w:left w:val="nil"/>
              <w:right w:val="nil"/>
            </w:tcBorders>
            <w:vAlign w:val="center"/>
          </w:tcPr>
          <w:p w14:paraId="1D111663" w14:textId="77777777" w:rsidR="00FA2B94" w:rsidRPr="00DA3683" w:rsidRDefault="00FA2B94" w:rsidP="00DD3BC8">
            <w:pPr>
              <w:spacing w:line="240" w:lineRule="auto"/>
              <w:jc w:val="center"/>
            </w:pPr>
            <w:r>
              <w:t>2.5</w:t>
            </w:r>
          </w:p>
        </w:tc>
        <w:tc>
          <w:tcPr>
            <w:tcW w:w="1040" w:type="dxa"/>
            <w:tcBorders>
              <w:top w:val="nil"/>
              <w:left w:val="nil"/>
              <w:right w:val="nil"/>
            </w:tcBorders>
            <w:vAlign w:val="center"/>
          </w:tcPr>
          <w:p w14:paraId="3394A736" w14:textId="77777777" w:rsidR="00FA2B94" w:rsidRPr="00DA3683" w:rsidRDefault="00FA2B94" w:rsidP="00DD3BC8">
            <w:pPr>
              <w:spacing w:line="240" w:lineRule="auto"/>
              <w:jc w:val="center"/>
            </w:pPr>
            <w:r>
              <w:t>0.5</w:t>
            </w:r>
          </w:p>
        </w:tc>
        <w:tc>
          <w:tcPr>
            <w:tcW w:w="1040" w:type="dxa"/>
            <w:tcBorders>
              <w:top w:val="nil"/>
              <w:left w:val="nil"/>
              <w:right w:val="nil"/>
            </w:tcBorders>
            <w:vAlign w:val="center"/>
          </w:tcPr>
          <w:p w14:paraId="68DF94E3" w14:textId="77777777" w:rsidR="00FA2B94" w:rsidRPr="00DA3683" w:rsidRDefault="00FA2B94" w:rsidP="00DD3BC8">
            <w:pPr>
              <w:spacing w:line="240" w:lineRule="auto"/>
              <w:jc w:val="center"/>
            </w:pPr>
            <w:r>
              <w:t>1.4</w:t>
            </w:r>
          </w:p>
        </w:tc>
        <w:tc>
          <w:tcPr>
            <w:tcW w:w="1040" w:type="dxa"/>
            <w:tcBorders>
              <w:top w:val="nil"/>
              <w:left w:val="nil"/>
              <w:right w:val="nil"/>
            </w:tcBorders>
            <w:vAlign w:val="center"/>
          </w:tcPr>
          <w:p w14:paraId="645FB33C" w14:textId="77777777" w:rsidR="00FA2B94" w:rsidRPr="00DA3683" w:rsidRDefault="00FA2B94" w:rsidP="00DD3BC8">
            <w:pPr>
              <w:spacing w:line="240" w:lineRule="auto"/>
              <w:jc w:val="center"/>
            </w:pPr>
            <w:r>
              <w:t>3.6</w:t>
            </w:r>
          </w:p>
        </w:tc>
      </w:tr>
      <w:tr w:rsidR="00FA2B94" w:rsidRPr="0041408A" w14:paraId="0D7CF4A1" w14:textId="77777777" w:rsidTr="00DD3BC8">
        <w:trPr>
          <w:trHeight w:val="576"/>
          <w:jc w:val="center"/>
        </w:trPr>
        <w:tc>
          <w:tcPr>
            <w:tcW w:w="1040" w:type="dxa"/>
            <w:tcBorders>
              <w:top w:val="nil"/>
              <w:left w:val="nil"/>
              <w:bottom w:val="single" w:sz="4" w:space="0" w:color="auto"/>
              <w:right w:val="nil"/>
            </w:tcBorders>
            <w:shd w:val="clear" w:color="auto" w:fill="auto"/>
            <w:noWrap/>
            <w:vAlign w:val="center"/>
          </w:tcPr>
          <w:p w14:paraId="381A0D68" w14:textId="77777777" w:rsidR="00FA2B94" w:rsidRPr="00007259" w:rsidRDefault="00FA2B94" w:rsidP="00DD3BC8">
            <w:pPr>
              <w:spacing w:line="240" w:lineRule="auto"/>
              <w:jc w:val="center"/>
              <w:rPr>
                <w:rFonts w:eastAsia="Times New Roman" w:cs="Times New Roman"/>
                <w:szCs w:val="24"/>
              </w:rPr>
            </w:pPr>
            <w:r w:rsidRPr="00007259">
              <w:rPr>
                <w:rFonts w:eastAsia="Times New Roman" w:cs="Times New Roman"/>
                <w:szCs w:val="24"/>
              </w:rPr>
              <w:t>FW224</w:t>
            </w:r>
          </w:p>
        </w:tc>
        <w:tc>
          <w:tcPr>
            <w:tcW w:w="1040" w:type="dxa"/>
            <w:tcBorders>
              <w:top w:val="nil"/>
              <w:left w:val="nil"/>
              <w:bottom w:val="single" w:sz="4" w:space="0" w:color="auto"/>
              <w:right w:val="nil"/>
            </w:tcBorders>
            <w:vAlign w:val="center"/>
          </w:tcPr>
          <w:p w14:paraId="5A8124F3" w14:textId="77777777" w:rsidR="00FA2B94" w:rsidRPr="00CE3274" w:rsidRDefault="00FA2B94" w:rsidP="00DD3BC8">
            <w:pPr>
              <w:spacing w:line="240" w:lineRule="auto"/>
              <w:jc w:val="center"/>
            </w:pPr>
            <w:r>
              <w:t>0.6</w:t>
            </w:r>
          </w:p>
        </w:tc>
        <w:tc>
          <w:tcPr>
            <w:tcW w:w="1040" w:type="dxa"/>
            <w:tcBorders>
              <w:top w:val="nil"/>
              <w:left w:val="nil"/>
              <w:bottom w:val="single" w:sz="4" w:space="0" w:color="auto"/>
              <w:right w:val="nil"/>
            </w:tcBorders>
            <w:vAlign w:val="center"/>
          </w:tcPr>
          <w:p w14:paraId="277353C6" w14:textId="77777777" w:rsidR="00FA2B94" w:rsidRPr="00CE3274" w:rsidRDefault="00FA2B94" w:rsidP="00DD3BC8">
            <w:pPr>
              <w:spacing w:line="240" w:lineRule="auto"/>
              <w:jc w:val="center"/>
            </w:pPr>
            <w:r>
              <w:t>0.8</w:t>
            </w:r>
          </w:p>
        </w:tc>
        <w:tc>
          <w:tcPr>
            <w:tcW w:w="1040" w:type="dxa"/>
            <w:tcBorders>
              <w:top w:val="nil"/>
              <w:left w:val="nil"/>
              <w:bottom w:val="single" w:sz="4" w:space="0" w:color="auto"/>
              <w:right w:val="nil"/>
            </w:tcBorders>
            <w:shd w:val="clear" w:color="auto" w:fill="auto"/>
            <w:noWrap/>
            <w:vAlign w:val="center"/>
          </w:tcPr>
          <w:p w14:paraId="0E619013" w14:textId="77777777" w:rsidR="00FA2B94" w:rsidRPr="00007259" w:rsidRDefault="00FA2B94" w:rsidP="00DD3BC8">
            <w:pPr>
              <w:spacing w:line="240" w:lineRule="auto"/>
              <w:jc w:val="center"/>
              <w:rPr>
                <w:rFonts w:eastAsia="Times New Roman" w:cs="Times New Roman"/>
                <w:szCs w:val="24"/>
              </w:rPr>
            </w:pPr>
            <w:r>
              <w:t>5.0</w:t>
            </w:r>
          </w:p>
        </w:tc>
        <w:tc>
          <w:tcPr>
            <w:tcW w:w="1040" w:type="dxa"/>
            <w:tcBorders>
              <w:top w:val="nil"/>
              <w:left w:val="nil"/>
              <w:bottom w:val="single" w:sz="4" w:space="0" w:color="auto"/>
              <w:right w:val="nil"/>
            </w:tcBorders>
            <w:shd w:val="clear" w:color="auto" w:fill="auto"/>
            <w:noWrap/>
            <w:vAlign w:val="center"/>
          </w:tcPr>
          <w:p w14:paraId="4FE0E4C5" w14:textId="77777777" w:rsidR="00FA2B94" w:rsidRPr="00262192" w:rsidRDefault="00FA2B94" w:rsidP="00DD3BC8">
            <w:pPr>
              <w:spacing w:line="240" w:lineRule="auto"/>
              <w:jc w:val="center"/>
              <w:rPr>
                <w:rFonts w:eastAsia="Times New Roman" w:cs="Times New Roman"/>
                <w:szCs w:val="24"/>
              </w:rPr>
            </w:pPr>
            <w:r>
              <w:t>2.5</w:t>
            </w:r>
          </w:p>
        </w:tc>
        <w:tc>
          <w:tcPr>
            <w:tcW w:w="1040" w:type="dxa"/>
            <w:tcBorders>
              <w:top w:val="nil"/>
              <w:left w:val="nil"/>
              <w:bottom w:val="single" w:sz="4" w:space="0" w:color="auto"/>
              <w:right w:val="nil"/>
            </w:tcBorders>
            <w:vAlign w:val="center"/>
          </w:tcPr>
          <w:p w14:paraId="01B5386E" w14:textId="77777777" w:rsidR="00FA2B94" w:rsidRPr="00DA3683" w:rsidRDefault="00FA2B94" w:rsidP="00DD3BC8">
            <w:pPr>
              <w:spacing w:line="240" w:lineRule="auto"/>
              <w:jc w:val="center"/>
            </w:pPr>
            <w:r>
              <w:t>2.5</w:t>
            </w:r>
          </w:p>
        </w:tc>
        <w:tc>
          <w:tcPr>
            <w:tcW w:w="1040" w:type="dxa"/>
            <w:tcBorders>
              <w:top w:val="nil"/>
              <w:left w:val="nil"/>
              <w:bottom w:val="single" w:sz="4" w:space="0" w:color="auto"/>
              <w:right w:val="nil"/>
            </w:tcBorders>
            <w:vAlign w:val="center"/>
          </w:tcPr>
          <w:p w14:paraId="204285CA" w14:textId="77777777" w:rsidR="00FA2B94" w:rsidRPr="00DA3683" w:rsidRDefault="00FA2B94" w:rsidP="00DD3BC8">
            <w:pPr>
              <w:spacing w:line="240" w:lineRule="auto"/>
              <w:jc w:val="center"/>
            </w:pPr>
            <w:r>
              <w:t>0.9</w:t>
            </w:r>
          </w:p>
        </w:tc>
        <w:tc>
          <w:tcPr>
            <w:tcW w:w="1040" w:type="dxa"/>
            <w:tcBorders>
              <w:top w:val="nil"/>
              <w:left w:val="nil"/>
              <w:bottom w:val="single" w:sz="4" w:space="0" w:color="auto"/>
              <w:right w:val="nil"/>
            </w:tcBorders>
            <w:vAlign w:val="center"/>
          </w:tcPr>
          <w:p w14:paraId="33136835" w14:textId="77777777" w:rsidR="00FA2B94" w:rsidRPr="00DA3683" w:rsidRDefault="00FA2B94" w:rsidP="00DD3BC8">
            <w:pPr>
              <w:spacing w:line="240" w:lineRule="auto"/>
              <w:jc w:val="center"/>
            </w:pPr>
            <w:r>
              <w:t>2.8</w:t>
            </w:r>
          </w:p>
        </w:tc>
        <w:tc>
          <w:tcPr>
            <w:tcW w:w="1040" w:type="dxa"/>
            <w:tcBorders>
              <w:top w:val="nil"/>
              <w:left w:val="nil"/>
              <w:bottom w:val="single" w:sz="4" w:space="0" w:color="auto"/>
              <w:right w:val="nil"/>
            </w:tcBorders>
            <w:vAlign w:val="center"/>
          </w:tcPr>
          <w:p w14:paraId="0A919139" w14:textId="77777777" w:rsidR="00FA2B94" w:rsidRPr="00DA3683" w:rsidRDefault="00FA2B94" w:rsidP="00DD3BC8">
            <w:pPr>
              <w:spacing w:line="240" w:lineRule="auto"/>
              <w:jc w:val="center"/>
            </w:pPr>
            <w:r>
              <w:t>2.8</w:t>
            </w:r>
          </w:p>
        </w:tc>
      </w:tr>
    </w:tbl>
    <w:p w14:paraId="0DC16B74" w14:textId="77777777" w:rsidR="00FA2B94" w:rsidRDefault="00FA2B94" w:rsidP="00BC7A8C"/>
    <w:p w14:paraId="50440600" w14:textId="77777777" w:rsidR="00A2153D" w:rsidRDefault="00A2153D" w:rsidP="00BC7A8C"/>
    <w:p w14:paraId="5CA70511" w14:textId="77777777" w:rsidR="00A2153D" w:rsidRDefault="00A2153D" w:rsidP="00BC7A8C"/>
    <w:p w14:paraId="0E7A3991" w14:textId="77777777" w:rsidR="00A2153D" w:rsidRDefault="00A2153D" w:rsidP="00BC7A8C"/>
    <w:p w14:paraId="01FF21BB" w14:textId="77777777" w:rsidR="00A2153D" w:rsidRDefault="00A2153D" w:rsidP="00BC7A8C"/>
    <w:p w14:paraId="33BDC34C" w14:textId="77777777" w:rsidR="00A2153D" w:rsidRDefault="00A2153D" w:rsidP="00BC7A8C"/>
    <w:p w14:paraId="11FA1594" w14:textId="77777777" w:rsidR="00A2153D" w:rsidRDefault="00A2153D" w:rsidP="00BC7A8C"/>
    <w:p w14:paraId="421A8683" w14:textId="77777777" w:rsidR="00A2153D" w:rsidRDefault="00A2153D" w:rsidP="00BC7A8C"/>
    <w:p w14:paraId="0EA72ED4" w14:textId="77777777" w:rsidR="00A2153D" w:rsidRDefault="00A2153D" w:rsidP="00BC7A8C"/>
    <w:p w14:paraId="3EBC2952" w14:textId="77777777" w:rsidR="00A2153D" w:rsidRDefault="00A2153D" w:rsidP="00BC7A8C"/>
    <w:p w14:paraId="538A125E" w14:textId="77777777" w:rsidR="00A2153D" w:rsidRDefault="00A2153D" w:rsidP="00BC7A8C"/>
    <w:p w14:paraId="72EF8958" w14:textId="77777777" w:rsidR="00A2153D" w:rsidRDefault="00A2153D" w:rsidP="00BC7A8C"/>
    <w:p w14:paraId="6A74F611" w14:textId="77777777" w:rsidR="00A2153D" w:rsidRDefault="00A2153D" w:rsidP="00BC7A8C"/>
    <w:p w14:paraId="2410E92E" w14:textId="77777777" w:rsidR="00A2153D" w:rsidRDefault="00A2153D" w:rsidP="00BC7A8C"/>
    <w:p w14:paraId="37CE5EFB" w14:textId="77777777" w:rsidR="00A2153D" w:rsidRDefault="00FA2B94" w:rsidP="00BC7A8C">
      <w:r>
        <w:rPr>
          <w:noProof/>
          <w:lang w:eastAsia="zh-CN" w:bidi="ar-SA"/>
        </w:rPr>
        <w:lastRenderedPageBreak/>
        <w:drawing>
          <wp:inline distT="0" distB="0" distL="0" distR="0" wp14:anchorId="7EB3EA04" wp14:editId="5725A519">
            <wp:extent cx="5943600" cy="3657600"/>
            <wp:effectExtent l="0" t="0" r="0" b="0"/>
            <wp:docPr id="40" name="Chart 40">
              <a:extLst xmlns:a="http://schemas.openxmlformats.org/drawingml/2006/main">
                <a:ext uri="{FF2B5EF4-FFF2-40B4-BE49-F238E27FC236}">
                  <a16:creationId xmlns:a16="http://schemas.microsoft.com/office/drawing/2014/main" id="{4C985955-2A2D-449D-A65A-6522452F8F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31E91CA" w14:textId="77777777" w:rsidR="00FA2B94" w:rsidRDefault="00081BFA" w:rsidP="00081BFA">
      <w:pPr>
        <w:pStyle w:val="Caption"/>
      </w:pPr>
      <w:bookmarkStart w:id="142" w:name="_Ref486660706"/>
      <w:bookmarkStart w:id="143" w:name="_Toc498504899"/>
      <w:r>
        <w:t xml:space="preserve">Figure </w:t>
      </w:r>
      <w:r w:rsidR="00CA2C3C">
        <w:fldChar w:fldCharType="begin"/>
      </w:r>
      <w:r w:rsidR="00CA2C3C">
        <w:instrText xml:space="preserve"> STYLEREF 1 \s </w:instrText>
      </w:r>
      <w:r w:rsidR="00CA2C3C">
        <w:fldChar w:fldCharType="separate"/>
      </w:r>
      <w:r w:rsidR="00E70E91">
        <w:rPr>
          <w:noProof/>
        </w:rPr>
        <w:t>3</w:t>
      </w:r>
      <w:r w:rsidR="00CA2C3C">
        <w:rPr>
          <w:noProof/>
        </w:rPr>
        <w:fldChar w:fldCharType="end"/>
      </w:r>
      <w:r w:rsidR="00E70E91">
        <w:t>.</w:t>
      </w:r>
      <w:r w:rsidR="00CA2C3C">
        <w:fldChar w:fldCharType="begin"/>
      </w:r>
      <w:r w:rsidR="00CA2C3C">
        <w:instrText xml:space="preserve"> SEQ Figure \* ARABIC \s 1 </w:instrText>
      </w:r>
      <w:r w:rsidR="00CA2C3C">
        <w:fldChar w:fldCharType="separate"/>
      </w:r>
      <w:r w:rsidR="00E70E91">
        <w:rPr>
          <w:noProof/>
        </w:rPr>
        <w:t>5</w:t>
      </w:r>
      <w:r w:rsidR="00CA2C3C">
        <w:rPr>
          <w:noProof/>
        </w:rPr>
        <w:fldChar w:fldCharType="end"/>
      </w:r>
      <w:bookmarkEnd w:id="142"/>
      <w:r>
        <w:t xml:space="preserve"> </w:t>
      </w:r>
      <w:r w:rsidR="00FA2B94" w:rsidRPr="00081BFA">
        <w:rPr>
          <w:b w:val="0"/>
        </w:rPr>
        <w:t>Effective porosity (n</w:t>
      </w:r>
      <w:r w:rsidR="00FA2B94" w:rsidRPr="00081BFA">
        <w:rPr>
          <w:b w:val="0"/>
          <w:vertAlign w:val="subscript"/>
        </w:rPr>
        <w:t>e1</w:t>
      </w:r>
      <w:r w:rsidR="00FA2B94" w:rsidRPr="00081BFA">
        <w:rPr>
          <w:b w:val="0"/>
        </w:rPr>
        <w:t>) per equation (18) for tests in this study (FW220 through FW224), test well FW225 is omitted due to invalid results, error bars represent the uncertainty</w:t>
      </w:r>
      <w:bookmarkEnd w:id="143"/>
    </w:p>
    <w:p w14:paraId="46CB9440" w14:textId="77777777" w:rsidR="00A2153D" w:rsidRDefault="00A2153D" w:rsidP="00BC7A8C"/>
    <w:p w14:paraId="0B0338FE" w14:textId="77777777" w:rsidR="00A2153D" w:rsidRDefault="00A2153D" w:rsidP="00BC7A8C"/>
    <w:p w14:paraId="15AE154F" w14:textId="77777777" w:rsidR="00A2153D" w:rsidRDefault="00A2153D" w:rsidP="00BC7A8C"/>
    <w:p w14:paraId="5274318B" w14:textId="77777777" w:rsidR="00A2153D" w:rsidRDefault="00A2153D" w:rsidP="00BC7A8C"/>
    <w:p w14:paraId="4E9D8407" w14:textId="77777777" w:rsidR="00A2153D" w:rsidRDefault="00A2153D" w:rsidP="00BC7A8C"/>
    <w:p w14:paraId="0BDED4EA" w14:textId="77777777" w:rsidR="00A2153D" w:rsidRDefault="00A2153D" w:rsidP="00BC7A8C"/>
    <w:p w14:paraId="7E9ADCB6" w14:textId="77777777" w:rsidR="00A2153D" w:rsidRDefault="00A2153D" w:rsidP="00BC7A8C"/>
    <w:p w14:paraId="16122BCE" w14:textId="77777777" w:rsidR="00A2153D" w:rsidRDefault="00A2153D" w:rsidP="00BC7A8C"/>
    <w:p w14:paraId="522730B6" w14:textId="77777777" w:rsidR="00A2153D" w:rsidRDefault="00A2153D" w:rsidP="00BC7A8C"/>
    <w:p w14:paraId="44849CC5" w14:textId="77777777" w:rsidR="00A2153D" w:rsidRDefault="00A2153D" w:rsidP="00BC7A8C"/>
    <w:p w14:paraId="2E7F0590" w14:textId="77777777" w:rsidR="00557777" w:rsidRPr="00A873A8" w:rsidRDefault="00557777" w:rsidP="00BC7A8C"/>
    <w:p w14:paraId="5A05308A" w14:textId="77777777" w:rsidR="00632B86" w:rsidRDefault="00632B86" w:rsidP="00632B86">
      <w:pPr>
        <w:pStyle w:val="Heading2"/>
      </w:pPr>
      <w:bookmarkStart w:id="144" w:name="_Toc498505051"/>
      <w:r>
        <w:lastRenderedPageBreak/>
        <w:t>3.5.</w:t>
      </w:r>
      <w:r>
        <w:tab/>
        <w:t>Discussion</w:t>
      </w:r>
      <w:bookmarkEnd w:id="144"/>
    </w:p>
    <w:p w14:paraId="14240610" w14:textId="77777777" w:rsidR="00632B86" w:rsidRDefault="00632B86" w:rsidP="00632B86">
      <w:pPr>
        <w:pStyle w:val="Heading3"/>
      </w:pPr>
      <w:bookmarkStart w:id="145" w:name="_Toc498505052"/>
      <w:r>
        <w:t>3.5.1.</w:t>
      </w:r>
      <w:r>
        <w:tab/>
        <w:t xml:space="preserve"> </w:t>
      </w:r>
      <w:r w:rsidR="00E41B76">
        <w:t>Hydraulic gradient</w:t>
      </w:r>
      <w:bookmarkEnd w:id="145"/>
    </w:p>
    <w:p w14:paraId="450944D1" w14:textId="2DC02AA0" w:rsidR="00570627" w:rsidRPr="00570627" w:rsidRDefault="00570627" w:rsidP="00570627">
      <w:pPr>
        <w:ind w:firstLine="720"/>
      </w:pPr>
      <w:r>
        <w:t>The range of the near-well hydraulic gradient (-0.020 m/m to -0.085 m/m) in the test wells was relatively small (within a single order of magnitude) and representative of the site-wide average (-0.045 m/m)</w:t>
      </w:r>
      <w:r w:rsidR="000A5750">
        <w:t xml:space="preserve">. </w:t>
      </w:r>
      <w:r>
        <w:t xml:space="preserve">The spatial variability of the hydraulic gradient was expected due to </w:t>
      </w:r>
      <w:r w:rsidRPr="002E0DE2">
        <w:t>the high level of aquifer heterogeneity within Area 2</w:t>
      </w:r>
      <w:r>
        <w:t xml:space="preserve"> </w:t>
      </w:r>
      <w:r>
        <w:fldChar w:fldCharType="begin"/>
      </w:r>
      <w:r>
        <w:instrText xml:space="preserve"> ADDIN EN.CITE &lt;EndNote&gt;&lt;Cite&gt;&lt;Author&gt;Watson&lt;/Author&gt;&lt;Year&gt;2004&lt;/Year&gt;&lt;RecNum&gt;550&lt;/RecNum&gt;&lt;DisplayText&gt;(Moon et al. 2006; Watson et al. 2004)&lt;/DisplayText&gt;&lt;record&gt;&lt;rec-number&gt;550&lt;/rec-number&gt;&lt;foreign-keys&gt;&lt;key app="EN" db-id="rzwe2tae7rs0abe55xgp55w8xtdf5xp9dwrd"&gt;550&lt;/key&gt;&lt;/foreign-keys&gt;&lt;ref-type name="Generic"&gt;13&lt;/ref-type&gt;&lt;contributors&gt;&lt;authors&gt;&lt;author&gt;Watson, D. B.&lt;/author&gt;&lt;author&gt;Kostka, J. E.&lt;/author&gt;&lt;author&gt;Fields, M. W. &lt;/author&gt;&lt;author&gt;Jardine , P. M.&lt;/author&gt;&lt;/authors&gt;&lt;/contributors&gt;&lt;titles&gt;&lt;title&gt;The Oak Ridge Field Research Center Conceptual Model&lt;/title&gt;&lt;/titles&gt;&lt;dates&gt;&lt;year&gt;2004&lt;/year&gt;&lt;/dates&gt;&lt;pub-location&gt;Oak Ridge, TN, USA&lt;/pub-location&gt;&lt;publisher&gt;United States Department of Energy&lt;/publisher&gt;&lt;urls&gt;&lt;/urls&gt;&lt;/record&gt;&lt;/Cite&gt;&lt;Cite&gt;&lt;Author&gt;Moon&lt;/Author&gt;&lt;Year&gt;2006&lt;/Year&gt;&lt;RecNum&gt;707&lt;/RecNum&gt;&lt;record&gt;&lt;rec-number&gt;707&lt;/rec-number&gt;&lt;foreign-keys&gt;&lt;key app="EN" db-id="rzwe2tae7rs0abe55xgp55w8xtdf5xp9dwrd"&gt;707&lt;/key&gt;&lt;/foreign-keys&gt;&lt;ref-type name="Journal Article"&gt;17&lt;/ref-type&gt;&lt;contributors&gt;&lt;authors&gt;&lt;author&gt;Moon, J. W.&lt;/author&gt;&lt;author&gt;Roh, Y.&lt;/author&gt;&lt;author&gt;Phelps, T. J.&lt;/author&gt;&lt;author&gt;Phillips, D. H.&lt;/author&gt;&lt;author&gt;Watson, D. B.&lt;/author&gt;&lt;author&gt;Kim, Y. J.&lt;/author&gt;&lt;author&gt;Brooks, S. C.&lt;/author&gt;&lt;/authors&gt;&lt;/contributors&gt;&lt;titles&gt;&lt;title&gt;Physicochemical and mineralogical characterization of soil-saprolite cores from a field research site, Tennessee&lt;/title&gt;&lt;secondary-title&gt;Journal of Environmental Quality&lt;/secondary-title&gt;&lt;/titles&gt;&lt;periodical&gt;&lt;full-title&gt;Journal of Environmental Quality&lt;/full-title&gt;&lt;/periodical&gt;&lt;pages&gt;1731-1741&lt;/pages&gt;&lt;volume&gt;35&lt;/volume&gt;&lt;number&gt;5&lt;/number&gt;&lt;dates&gt;&lt;year&gt;2006&lt;/year&gt;&lt;pub-dates&gt;&lt;date&gt;Sep-Oct&lt;/date&gt;&lt;/pub-dates&gt;&lt;/dates&gt;&lt;isbn&gt;0047-2425&lt;/isbn&gt;&lt;accession-num&gt;WOS:000240924200010&lt;/accession-num&gt;&lt;urls&gt;&lt;related-urls&gt;&lt;url&gt;&amp;lt;Go to ISI&amp;gt;://WOS:000240924200010&lt;/url&gt;&lt;/related-urls&gt;&lt;/urls&gt;&lt;electronic-resource-num&gt;10.2134/jeq2005.0123&lt;/electronic-resource-num&gt;&lt;/record&gt;&lt;/Cite&gt;&lt;/EndNote&gt;</w:instrText>
      </w:r>
      <w:r>
        <w:fldChar w:fldCharType="separate"/>
      </w:r>
      <w:r>
        <w:rPr>
          <w:noProof/>
        </w:rPr>
        <w:t>(</w:t>
      </w:r>
      <w:hyperlink w:anchor="_ENREF_24" w:tooltip="Moon, 2006 #707" w:history="1">
        <w:r>
          <w:rPr>
            <w:noProof/>
          </w:rPr>
          <w:t>Moon et al. 2006</w:t>
        </w:r>
      </w:hyperlink>
      <w:r>
        <w:rPr>
          <w:noProof/>
        </w:rPr>
        <w:t xml:space="preserve">; </w:t>
      </w:r>
      <w:hyperlink w:anchor="_ENREF_34" w:tooltip="Watson, 2004 #550" w:history="1">
        <w:r>
          <w:rPr>
            <w:noProof/>
          </w:rPr>
          <w:t>Watson et al. 2004</w:t>
        </w:r>
      </w:hyperlink>
      <w:r>
        <w:rPr>
          <w:noProof/>
        </w:rPr>
        <w:t>)</w:t>
      </w:r>
      <w:r>
        <w:fldChar w:fldCharType="end"/>
      </w:r>
      <w:r w:rsidR="000A5750">
        <w:t xml:space="preserve">. </w:t>
      </w:r>
      <w:r>
        <w:t>However, it must be noted that the near-well hydraulic gradient was not measured directly, i.e., graphically, rather it was estimated based on a digital elevation model as discussed in Section 2.3</w:t>
      </w:r>
      <w:r w:rsidR="000A5750">
        <w:t xml:space="preserve">. </w:t>
      </w:r>
      <w:r>
        <w:t>Therefore, there is a level of uncertainty in the near-well hydraulic gradient that must be recognized</w:t>
      </w:r>
      <w:r w:rsidR="000A5750">
        <w:t xml:space="preserve">. </w:t>
      </w:r>
      <w:r>
        <w:t>Nevertheless, the model-generated values of the near-well hydraulic gradient are likely much more representative of the near-well conditions than the graphically-determined values at the site-wide scale</w:t>
      </w:r>
      <w:r w:rsidR="000A5750">
        <w:t xml:space="preserve">. </w:t>
      </w:r>
    </w:p>
    <w:p w14:paraId="0FA1D7D3" w14:textId="77777777" w:rsidR="003A681F" w:rsidRDefault="003A681F" w:rsidP="003A681F">
      <w:pPr>
        <w:pStyle w:val="Heading3"/>
      </w:pPr>
      <w:bookmarkStart w:id="146" w:name="_Toc498505053"/>
      <w:r>
        <w:t>3.5.</w:t>
      </w:r>
      <w:r w:rsidR="00283D1D">
        <w:t>2.</w:t>
      </w:r>
      <w:r w:rsidR="00283D1D">
        <w:tab/>
      </w:r>
      <w:r w:rsidR="00E41B76">
        <w:t>Hydraulic conductivity</w:t>
      </w:r>
      <w:bookmarkEnd w:id="146"/>
    </w:p>
    <w:p w14:paraId="4EE18195" w14:textId="4A04699C" w:rsidR="00570627" w:rsidRDefault="00570627" w:rsidP="00570627">
      <w:pPr>
        <w:ind w:firstLine="720"/>
      </w:pPr>
      <w:r>
        <w:t xml:space="preserve">The steady-state discharge and drawdown conditions among the test wells were consistent with the methodology of </w:t>
      </w:r>
      <w:r>
        <w:fldChar w:fldCharType="begin"/>
      </w:r>
      <w:r>
        <w:instrText xml:space="preserve"> ADDIN EN.CITE &lt;EndNote&gt;&lt;Cite AuthorYear="1"&gt;&lt;Author&gt;Robbins&lt;/Author&gt;&lt;Year&gt;2009&lt;/Year&gt;&lt;RecNum&gt;531&lt;/RecNum&gt;&lt;DisplayText&gt;Robbins et al. (2009)&lt;/DisplayText&gt;&lt;record&gt;&lt;rec-number&gt;531&lt;/rec-number&gt;&lt;foreign-keys&gt;&lt;key app="EN" db-id="rzwe2tae7rs0abe55xgp55w8xtdf5xp9dwrd"&gt;531&lt;/key&gt;&lt;/foreign-keys&gt;&lt;ref-type name="Journal Article"&gt;17&lt;/ref-type&gt;&lt;contributors&gt;&lt;authors&gt;&lt;author&gt;Robbins, G. A.&lt;/author&gt;&lt;author&gt;Aragon-Jose, A. T.&lt;/author&gt;&lt;author&gt;Romero, A.&lt;/author&gt;&lt;/authors&gt;&lt;/contributors&gt;&lt;titles&gt;&lt;title&gt;Determining Hydraulic Conductivity Using Pumping Data from Low-Flow Sampling&lt;/title&gt;&lt;secondary-title&gt;Ground Water&lt;/secondary-title&gt;&lt;/titles&gt;&lt;periodical&gt;&lt;full-title&gt;Ground Water&lt;/full-title&gt;&lt;abbr-1&gt;Ground Water&lt;/abbr-1&gt;&lt;/periodical&gt;&lt;pages&gt;271-276&lt;/pages&gt;&lt;volume&gt;47&lt;/volume&gt;&lt;number&gt;2&lt;/number&gt;&lt;dates&gt;&lt;year&gt;2009&lt;/year&gt;&lt;pub-dates&gt;&lt;date&gt;Mar-Apr&lt;/date&gt;&lt;/pub-dates&gt;&lt;/dates&gt;&lt;isbn&gt;0017-467X&lt;/isbn&gt;&lt;accession-num&gt;WOS:000263600800014&lt;/accession-num&gt;&lt;urls&gt;&lt;related-urls&gt;&lt;url&gt;&amp;lt;Go to ISI&amp;gt;://WOS:000263600800014&lt;/url&gt;&lt;/related-urls&gt;&lt;/urls&gt;&lt;electronic-resource-num&gt;10.1111/j.1745-6584.2008.00519.x&lt;/electronic-resource-num&gt;&lt;/record&gt;&lt;/Cite&gt;&lt;/EndNote&gt;</w:instrText>
      </w:r>
      <w:r>
        <w:fldChar w:fldCharType="separate"/>
      </w:r>
      <w:hyperlink w:anchor="_ENREF_29" w:tooltip="Robbins, 2009 #531" w:history="1">
        <w:r>
          <w:rPr>
            <w:noProof/>
          </w:rPr>
          <w:t>Robbins et al. (2009</w:t>
        </w:r>
      </w:hyperlink>
      <w:r>
        <w:rPr>
          <w:noProof/>
        </w:rPr>
        <w:t>)</w:t>
      </w:r>
      <w:r>
        <w:fldChar w:fldCharType="end"/>
      </w:r>
      <w:r>
        <w:t xml:space="preserve"> and </w:t>
      </w:r>
      <w:r>
        <w:fldChar w:fldCharType="begin"/>
      </w:r>
      <w:r>
        <w:instrText xml:space="preserve"> ADDIN EN.CITE &lt;EndNote&gt;&lt;Cite AuthorYear="1"&gt;&lt;Author&gt;Aragon-Jose&lt;/Author&gt;&lt;Year&gt;2011&lt;/Year&gt;&lt;RecNum&gt;532&lt;/RecNum&gt;&lt;DisplayText&gt;Aragon-Jose and Robbins (2011)&lt;/DisplayText&gt;&lt;record&gt;&lt;rec-number&gt;532&lt;/rec-number&gt;&lt;foreign-keys&gt;&lt;key app="EN" db-id="rzwe2tae7rs0abe55xgp55w8xtdf5xp9dwrd"&gt;532&lt;/key&gt;&lt;/foreign-keys&gt;&lt;ref-type name="Journal Article"&gt;17&lt;/ref-type&gt;&lt;contributors&gt;&lt;authors&gt;&lt;author&gt;Aragon-Jose, A. T.&lt;/author&gt;&lt;author&gt;Robbins, G. A.&lt;/author&gt;&lt;/authors&gt;&lt;/contributors&gt;&lt;titles&gt;&lt;title&gt;Low-Flow Hydraulic Conductivity Tests at Wells that Cross the Water Table&lt;/title&gt;&lt;secondary-title&gt;Ground Water&lt;/secondary-title&gt;&lt;/titles&gt;&lt;periodical&gt;&lt;full-title&gt;Ground Water&lt;/full-title&gt;&lt;abbr-1&gt;Ground Water&lt;/abbr-1&gt;&lt;/periodical&gt;&lt;pages&gt;426-431&lt;/pages&gt;&lt;volume&gt;49&lt;/volume&gt;&lt;number&gt;3&lt;/number&gt;&lt;dates&gt;&lt;year&gt;2011&lt;/year&gt;&lt;pub-dates&gt;&lt;date&gt;May-Jun&lt;/date&gt;&lt;/pub-dates&gt;&lt;/dates&gt;&lt;isbn&gt;0017-467X&lt;/isbn&gt;&lt;accession-num&gt;WOS:000289903400017&lt;/accession-num&gt;&lt;urls&gt;&lt;related-urls&gt;&lt;url&gt;&amp;lt;Go to ISI&amp;gt;://WOS:000289903400017&lt;/url&gt;&lt;/related-urls&gt;&lt;/urls&gt;&lt;electronic-resource-num&gt;10.1111/j.1745-6584.2010.00742.x&lt;/electronic-resource-num&gt;&lt;/record&gt;&lt;/Cite&gt;&lt;/EndNote&gt;</w:instrText>
      </w:r>
      <w:r>
        <w:fldChar w:fldCharType="separate"/>
      </w:r>
      <w:hyperlink w:anchor="_ENREF_1" w:tooltip="Aragon-Jose, 2011 #532" w:history="1">
        <w:r>
          <w:rPr>
            <w:noProof/>
          </w:rPr>
          <w:t>Aragon-Jose and Robbins (2011</w:t>
        </w:r>
      </w:hyperlink>
      <w:r>
        <w:rPr>
          <w:noProof/>
        </w:rPr>
        <w:t>)</w:t>
      </w:r>
      <w:r>
        <w:fldChar w:fldCharType="end"/>
      </w:r>
      <w:r w:rsidR="000A5750">
        <w:t xml:space="preserve">. </w:t>
      </w:r>
      <w:r>
        <w:t xml:space="preserve">It should be noted that the </w:t>
      </w:r>
      <w:r>
        <w:fldChar w:fldCharType="begin"/>
      </w:r>
      <w:r>
        <w:instrText xml:space="preserve"> ADDIN EN.CITE &lt;EndNote&gt;&lt;Cite AuthorYear="1"&gt;&lt;Author&gt;Robbins&lt;/Author&gt;&lt;Year&gt;2009&lt;/Year&gt;&lt;RecNum&gt;531&lt;/RecNum&gt;&lt;DisplayText&gt;Robbins et al. (2009)&lt;/DisplayText&gt;&lt;record&gt;&lt;rec-number&gt;531&lt;/rec-number&gt;&lt;foreign-keys&gt;&lt;key app="EN" db-id="rzwe2tae7rs0abe55xgp55w8xtdf5xp9dwrd"&gt;531&lt;/key&gt;&lt;/foreign-keys&gt;&lt;ref-type name="Journal Article"&gt;17&lt;/ref-type&gt;&lt;contributors&gt;&lt;authors&gt;&lt;author&gt;Robbins, G. A.&lt;/author&gt;&lt;author&gt;Aragon-Jose, A. T.&lt;/author&gt;&lt;author&gt;Romero, A.&lt;/author&gt;&lt;/authors&gt;&lt;/contributors&gt;&lt;titles&gt;&lt;title&gt;Determining Hydraulic Conductivity Using Pumping Data from Low-Flow Sampling&lt;/title&gt;&lt;secondary-title&gt;Ground Water&lt;/secondary-title&gt;&lt;/titles&gt;&lt;periodical&gt;&lt;full-title&gt;Ground Water&lt;/full-title&gt;&lt;abbr-1&gt;Ground Water&lt;/abbr-1&gt;&lt;/periodical&gt;&lt;pages&gt;271-276&lt;/pages&gt;&lt;volume&gt;47&lt;/volume&gt;&lt;number&gt;2&lt;/number&gt;&lt;dates&gt;&lt;year&gt;2009&lt;/year&gt;&lt;pub-dates&gt;&lt;date&gt;Mar-Apr&lt;/date&gt;&lt;/pub-dates&gt;&lt;/dates&gt;&lt;isbn&gt;0017-467X&lt;/isbn&gt;&lt;accession-num&gt;WOS:000263600800014&lt;/accession-num&gt;&lt;urls&gt;&lt;related-urls&gt;&lt;url&gt;&amp;lt;Go to ISI&amp;gt;://WOS:000263600800014&lt;/url&gt;&lt;/related-urls&gt;&lt;/urls&gt;&lt;electronic-resource-num&gt;10.1111/j.1745-6584.2008.00519.x&lt;/electronic-resource-num&gt;&lt;/record&gt;&lt;/Cite&gt;&lt;/EndNote&gt;</w:instrText>
      </w:r>
      <w:r>
        <w:fldChar w:fldCharType="separate"/>
      </w:r>
      <w:hyperlink w:anchor="_ENREF_29" w:tooltip="Robbins, 2009 #531" w:history="1">
        <w:r>
          <w:rPr>
            <w:noProof/>
          </w:rPr>
          <w:t>Robbins et al. (2009</w:t>
        </w:r>
      </w:hyperlink>
      <w:r>
        <w:rPr>
          <w:noProof/>
        </w:rPr>
        <w:t>)</w:t>
      </w:r>
      <w:r>
        <w:fldChar w:fldCharType="end"/>
      </w:r>
      <w:r>
        <w:t xml:space="preserve"> study was conducted in a confined aquifer comprised of fine sands, whereas this study was conducted in an unconfined aquifer comprised of s</w:t>
      </w:r>
      <w:r w:rsidRPr="0001012B">
        <w:t>ilty</w:t>
      </w:r>
      <w:r>
        <w:t xml:space="preserve"> and </w:t>
      </w:r>
      <w:r w:rsidRPr="0001012B">
        <w:t>clayey</w:t>
      </w:r>
      <w:r>
        <w:t xml:space="preserve"> fill</w:t>
      </w:r>
      <w:r w:rsidR="000A5750">
        <w:t xml:space="preserve">. </w:t>
      </w:r>
      <w:r>
        <w:t xml:space="preserve">However, </w:t>
      </w:r>
      <w:r>
        <w:fldChar w:fldCharType="begin"/>
      </w:r>
      <w:r>
        <w:instrText xml:space="preserve"> ADDIN EN.CITE &lt;EndNote&gt;&lt;Cite AuthorYear="1"&gt;&lt;Author&gt;Aragon-Jose&lt;/Author&gt;&lt;Year&gt;2011&lt;/Year&gt;&lt;RecNum&gt;532&lt;/RecNum&gt;&lt;DisplayText&gt;Aragon-Jose and Robbins (2011)&lt;/DisplayText&gt;&lt;record&gt;&lt;rec-number&gt;532&lt;/rec-number&gt;&lt;foreign-keys&gt;&lt;key app="EN" db-id="rzwe2tae7rs0abe55xgp55w8xtdf5xp9dwrd"&gt;532&lt;/key&gt;&lt;/foreign-keys&gt;&lt;ref-type name="Journal Article"&gt;17&lt;/ref-type&gt;&lt;contributors&gt;&lt;authors&gt;&lt;author&gt;Aragon-Jose, A. T.&lt;/author&gt;&lt;author&gt;Robbins, G. A.&lt;/author&gt;&lt;/authors&gt;&lt;/contributors&gt;&lt;titles&gt;&lt;title&gt;Low-Flow Hydraulic Conductivity Tests at Wells that Cross the Water Table&lt;/title&gt;&lt;secondary-title&gt;Ground Water&lt;/secondary-title&gt;&lt;/titles&gt;&lt;periodical&gt;&lt;full-title&gt;Ground Water&lt;/full-title&gt;&lt;abbr-1&gt;Ground Water&lt;/abbr-1&gt;&lt;/periodical&gt;&lt;pages&gt;426-431&lt;/pages&gt;&lt;volume&gt;49&lt;/volume&gt;&lt;number&gt;3&lt;/number&gt;&lt;dates&gt;&lt;year&gt;2011&lt;/year&gt;&lt;pub-dates&gt;&lt;date&gt;May-Jun&lt;/date&gt;&lt;/pub-dates&gt;&lt;/dates&gt;&lt;isbn&gt;0017-467X&lt;/isbn&gt;&lt;accession-num&gt;WOS:000289903400017&lt;/accession-num&gt;&lt;urls&gt;&lt;related-urls&gt;&lt;url&gt;&amp;lt;Go to ISI&amp;gt;://WOS:000289903400017&lt;/url&gt;&lt;/related-urls&gt;&lt;/urls&gt;&lt;electronic-resource-num&gt;10.1111/j.1745-6584.2010.00742.x&lt;/electronic-resource-num&gt;&lt;/record&gt;&lt;/Cite&gt;&lt;/EndNote&gt;</w:instrText>
      </w:r>
      <w:r>
        <w:fldChar w:fldCharType="separate"/>
      </w:r>
      <w:hyperlink w:anchor="_ENREF_1" w:tooltip="Aragon-Jose, 2011 #532" w:history="1">
        <w:r>
          <w:rPr>
            <w:noProof/>
          </w:rPr>
          <w:t>Aragon-Jose and Robbins (2011</w:t>
        </w:r>
      </w:hyperlink>
      <w:r>
        <w:rPr>
          <w:noProof/>
        </w:rPr>
        <w:t>)</w:t>
      </w:r>
      <w:r>
        <w:fldChar w:fldCharType="end"/>
      </w:r>
      <w:r>
        <w:t xml:space="preserve"> demonstrated the validity of the </w:t>
      </w:r>
      <w:r>
        <w:fldChar w:fldCharType="begin"/>
      </w:r>
      <w:r>
        <w:instrText xml:space="preserve"> ADDIN EN.CITE &lt;EndNote&gt;&lt;Cite AuthorYear="1"&gt;&lt;Author&gt;Robbins&lt;/Author&gt;&lt;Year&gt;2009&lt;/Year&gt;&lt;RecNum&gt;531&lt;/RecNum&gt;&lt;DisplayText&gt;Robbins et al. (2009)&lt;/DisplayText&gt;&lt;record&gt;&lt;rec-number&gt;531&lt;/rec-number&gt;&lt;foreign-keys&gt;&lt;key app="EN" db-id="rzwe2tae7rs0abe55xgp55w8xtdf5xp9dwrd"&gt;531&lt;/key&gt;&lt;/foreign-keys&gt;&lt;ref-type name="Journal Article"&gt;17&lt;/ref-type&gt;&lt;contributors&gt;&lt;authors&gt;&lt;author&gt;Robbins, G. A.&lt;/author&gt;&lt;author&gt;Aragon-Jose, A. T.&lt;/author&gt;&lt;author&gt;Romero, A.&lt;/author&gt;&lt;/authors&gt;&lt;/contributors&gt;&lt;titles&gt;&lt;title&gt;Determining Hydraulic Conductivity Using Pumping Data from Low-Flow Sampling&lt;/title&gt;&lt;secondary-title&gt;Ground Water&lt;/secondary-title&gt;&lt;/titles&gt;&lt;periodical&gt;&lt;full-title&gt;Ground Water&lt;/full-title&gt;&lt;abbr-1&gt;Ground Water&lt;/abbr-1&gt;&lt;/periodical&gt;&lt;pages&gt;271-276&lt;/pages&gt;&lt;volume&gt;47&lt;/volume&gt;&lt;number&gt;2&lt;/number&gt;&lt;dates&gt;&lt;year&gt;2009&lt;/year&gt;&lt;pub-dates&gt;&lt;date&gt;Mar-Apr&lt;/date&gt;&lt;/pub-dates&gt;&lt;/dates&gt;&lt;isbn&gt;0017-467X&lt;/isbn&gt;&lt;accession-num&gt;WOS:000263600800014&lt;/accession-num&gt;&lt;urls&gt;&lt;related-urls&gt;&lt;url&gt;&amp;lt;Go to ISI&amp;gt;://WOS:000263600800014&lt;/url&gt;&lt;/related-urls&gt;&lt;/urls&gt;&lt;electronic-resource-num&gt;10.1111/j.1745-6584.2008.00519.x&lt;/electronic-resource-num&gt;&lt;/record&gt;&lt;/Cite&gt;&lt;/EndNote&gt;</w:instrText>
      </w:r>
      <w:r>
        <w:fldChar w:fldCharType="separate"/>
      </w:r>
      <w:hyperlink w:anchor="_ENREF_29" w:tooltip="Robbins, 2009 #531" w:history="1">
        <w:r>
          <w:rPr>
            <w:noProof/>
          </w:rPr>
          <w:t>Robbins et al. (2009</w:t>
        </w:r>
      </w:hyperlink>
      <w:r>
        <w:rPr>
          <w:noProof/>
        </w:rPr>
        <w:t>)</w:t>
      </w:r>
      <w:r>
        <w:fldChar w:fldCharType="end"/>
      </w:r>
      <w:r>
        <w:t xml:space="preserve"> method in an unconfined aquifer comprised of sandy till and within test wells whose screens crossed the water table; these hydrogeologic and test well conditions were very similar to those in this study</w:t>
      </w:r>
      <w:r w:rsidR="000A5750">
        <w:t xml:space="preserve">. </w:t>
      </w:r>
      <w:r>
        <w:fldChar w:fldCharType="begin"/>
      </w:r>
      <w:r>
        <w:instrText xml:space="preserve"> ADDIN EN.CITE &lt;EndNote&gt;&lt;Cite AuthorYear="1"&gt;&lt;Author&gt;Aragon-Jose&lt;/Author&gt;&lt;Year&gt;2011&lt;/Year&gt;&lt;RecNum&gt;532&lt;/RecNum&gt;&lt;DisplayText&gt;Aragon-Jose and Robbins (2011)&lt;/DisplayText&gt;&lt;record&gt;&lt;rec-number&gt;532&lt;/rec-number&gt;&lt;foreign-keys&gt;&lt;key app="EN" db-id="rzwe2tae7rs0abe55xgp55w8xtdf5xp9dwrd"&gt;532&lt;/key&gt;&lt;/foreign-keys&gt;&lt;ref-type name="Journal Article"&gt;17&lt;/ref-type&gt;&lt;contributors&gt;&lt;authors&gt;&lt;author&gt;Aragon-Jose, A. T.&lt;/author&gt;&lt;author&gt;Robbins, G. A.&lt;/author&gt;&lt;/authors&gt;&lt;/contributors&gt;&lt;titles&gt;&lt;title&gt;Low-Flow Hydraulic Conductivity Tests at Wells that Cross the Water Table&lt;/title&gt;&lt;secondary-title&gt;Ground Water&lt;/secondary-title&gt;&lt;/titles&gt;&lt;periodical&gt;&lt;full-title&gt;Ground Water&lt;/full-title&gt;&lt;abbr-1&gt;Ground Water&lt;/abbr-1&gt;&lt;/periodical&gt;&lt;pages&gt;426-431&lt;/pages&gt;&lt;volume&gt;49&lt;/volume&gt;&lt;number&gt;3&lt;/number&gt;&lt;dates&gt;&lt;year&gt;2011&lt;/year&gt;&lt;pub-dates&gt;&lt;date&gt;May-Jun&lt;/date&gt;&lt;/pub-dates&gt;&lt;/dates&gt;&lt;isbn&gt;0017-467X&lt;/isbn&gt;&lt;accession-num&gt;WOS:000289903400017&lt;/accession-num&gt;&lt;urls&gt;&lt;related-urls&gt;&lt;url&gt;&amp;lt;Go to ISI&amp;gt;://WOS:000289903400017&lt;/url&gt;&lt;/related-urls&gt;&lt;/urls&gt;&lt;electronic-resource-num&gt;10.1111/j.1745-6584.2010.00742.x&lt;/electronic-resource-num&gt;&lt;/record&gt;&lt;/Cite&gt;&lt;/EndNote&gt;</w:instrText>
      </w:r>
      <w:r>
        <w:fldChar w:fldCharType="separate"/>
      </w:r>
      <w:hyperlink w:anchor="_ENREF_1" w:tooltip="Aragon-Jose, 2011 #532" w:history="1">
        <w:r>
          <w:rPr>
            <w:noProof/>
          </w:rPr>
          <w:t>Aragon-Jose and Robbins (2011</w:t>
        </w:r>
      </w:hyperlink>
      <w:r>
        <w:rPr>
          <w:noProof/>
        </w:rPr>
        <w:t>)</w:t>
      </w:r>
      <w:r>
        <w:fldChar w:fldCharType="end"/>
      </w:r>
      <w:r>
        <w:t xml:space="preserve"> recommended t</w:t>
      </w:r>
      <w:r w:rsidRPr="003F2CE3">
        <w:t>h</w:t>
      </w:r>
      <w:r>
        <w:t xml:space="preserve">at a valid application of the </w:t>
      </w:r>
      <w:r>
        <w:fldChar w:fldCharType="begin"/>
      </w:r>
      <w:r>
        <w:instrText xml:space="preserve"> ADDIN EN.CITE &lt;EndNote&gt;&lt;Cite AuthorYear="1"&gt;&lt;Author&gt;Robbins&lt;/Author&gt;&lt;Year&gt;2009&lt;/Year&gt;&lt;RecNum&gt;531&lt;/RecNum&gt;&lt;DisplayText&gt;Robbins et al. (2009)&lt;/DisplayText&gt;&lt;record&gt;&lt;rec-number&gt;531&lt;/rec-number&gt;&lt;foreign-keys&gt;&lt;key app="EN" db-id="rzwe2tae7rs0abe55xgp55w8xtdf5xp9dwrd"&gt;531&lt;/key&gt;&lt;/foreign-keys&gt;&lt;ref-type name="Journal Article"&gt;17&lt;/ref-type&gt;&lt;contributors&gt;&lt;authors&gt;&lt;author&gt;Robbins, G. A.&lt;/author&gt;&lt;author&gt;Aragon-Jose, A. T.&lt;/author&gt;&lt;author&gt;Romero, A.&lt;/author&gt;&lt;/authors&gt;&lt;/contributors&gt;&lt;titles&gt;&lt;title&gt;Determining Hydraulic Conductivity Using Pumping Data from Low-Flow Sampling&lt;/title&gt;&lt;secondary-title&gt;Ground Water&lt;/secondary-title&gt;&lt;/titles&gt;&lt;periodical&gt;&lt;full-title&gt;Ground Water&lt;/full-title&gt;&lt;abbr-1&gt;Ground Water&lt;/abbr-1&gt;&lt;/periodical&gt;&lt;pages&gt;271-276&lt;/pages&gt;&lt;volume&gt;47&lt;/volume&gt;&lt;number&gt;2&lt;/number&gt;&lt;dates&gt;&lt;year&gt;2009&lt;/year&gt;&lt;pub-dates&gt;&lt;date&gt;Mar-Apr&lt;/date&gt;&lt;/pub-dates&gt;&lt;/dates&gt;&lt;isbn&gt;0017-467X&lt;/isbn&gt;&lt;accession-num&gt;WOS:000263600800014&lt;/accession-num&gt;&lt;urls&gt;&lt;related-urls&gt;&lt;url&gt;&amp;lt;Go to ISI&amp;gt;://WOS:000263600800014&lt;/url&gt;&lt;/related-urls&gt;&lt;/urls&gt;&lt;electronic-resource-num&gt;10.1111/j.1745-6584.2008.00519.x&lt;/electronic-resource-num&gt;&lt;/record&gt;&lt;/Cite&gt;&lt;/EndNote&gt;</w:instrText>
      </w:r>
      <w:r>
        <w:fldChar w:fldCharType="separate"/>
      </w:r>
      <w:hyperlink w:anchor="_ENREF_29" w:tooltip="Robbins, 2009 #531" w:history="1">
        <w:r>
          <w:rPr>
            <w:noProof/>
          </w:rPr>
          <w:t>Robbins et al. (2009</w:t>
        </w:r>
      </w:hyperlink>
      <w:r>
        <w:rPr>
          <w:noProof/>
        </w:rPr>
        <w:t>)</w:t>
      </w:r>
      <w:r>
        <w:fldChar w:fldCharType="end"/>
      </w:r>
      <w:r>
        <w:t xml:space="preserve"> method in unconfined aquifers required minimal </w:t>
      </w:r>
      <w:r w:rsidRPr="003F2CE3">
        <w:t xml:space="preserve">drawdown </w:t>
      </w:r>
      <w:r>
        <w:t>with respect to the static saturated well screen length</w:t>
      </w:r>
      <w:r w:rsidR="000A5750">
        <w:t xml:space="preserve">. </w:t>
      </w:r>
      <w:r>
        <w:t xml:space="preserve">The drawdown in this study </w:t>
      </w:r>
      <w:r>
        <w:lastRenderedPageBreak/>
        <w:t xml:space="preserve">was typically less than 10% of the static saturated screen length and was within the general range of the percent drawdown reported by </w:t>
      </w:r>
      <w:r>
        <w:fldChar w:fldCharType="begin"/>
      </w:r>
      <w:r>
        <w:instrText xml:space="preserve"> ADDIN EN.CITE &lt;EndNote&gt;&lt;Cite AuthorYear="1"&gt;&lt;Author&gt;Aragon-Jose&lt;/Author&gt;&lt;Year&gt;2011&lt;/Year&gt;&lt;RecNum&gt;532&lt;/RecNum&gt;&lt;DisplayText&gt;Aragon-Jose and Robbins (2011)&lt;/DisplayText&gt;&lt;record&gt;&lt;rec-number&gt;532&lt;/rec-number&gt;&lt;foreign-keys&gt;&lt;key app="EN" db-id="rzwe2tae7rs0abe55xgp55w8xtdf5xp9dwrd"&gt;532&lt;/key&gt;&lt;/foreign-keys&gt;&lt;ref-type name="Journal Article"&gt;17&lt;/ref-type&gt;&lt;contributors&gt;&lt;authors&gt;&lt;author&gt;Aragon-Jose, A. T.&lt;/author&gt;&lt;author&gt;Robbins, G. A.&lt;/author&gt;&lt;/authors&gt;&lt;/contributors&gt;&lt;titles&gt;&lt;title&gt;Low-Flow Hydraulic Conductivity Tests at Wells that Cross the Water Table&lt;/title&gt;&lt;secondary-title&gt;Ground Water&lt;/secondary-title&gt;&lt;/titles&gt;&lt;periodical&gt;&lt;full-title&gt;Ground Water&lt;/full-title&gt;&lt;abbr-1&gt;Ground Water&lt;/abbr-1&gt;&lt;/periodical&gt;&lt;pages&gt;426-431&lt;/pages&gt;&lt;volume&gt;49&lt;/volume&gt;&lt;number&gt;3&lt;/number&gt;&lt;dates&gt;&lt;year&gt;2011&lt;/year&gt;&lt;pub-dates&gt;&lt;date&gt;May-Jun&lt;/date&gt;&lt;/pub-dates&gt;&lt;/dates&gt;&lt;isbn&gt;0017-467X&lt;/isbn&gt;&lt;accession-num&gt;WOS:000289903400017&lt;/accession-num&gt;&lt;urls&gt;&lt;related-urls&gt;&lt;url&gt;&amp;lt;Go to ISI&amp;gt;://WOS:000289903400017&lt;/url&gt;&lt;/related-urls&gt;&lt;/urls&gt;&lt;electronic-resource-num&gt;10.1111/j.1745-6584.2010.00742.x&lt;/electronic-resource-num&gt;&lt;/record&gt;&lt;/Cite&gt;&lt;/EndNote&gt;</w:instrText>
      </w:r>
      <w:r>
        <w:fldChar w:fldCharType="separate"/>
      </w:r>
      <w:hyperlink w:anchor="_ENREF_1" w:tooltip="Aragon-Jose, 2011 #532" w:history="1">
        <w:r>
          <w:rPr>
            <w:noProof/>
          </w:rPr>
          <w:t>Aragon-Jose and Robbins (2011</w:t>
        </w:r>
      </w:hyperlink>
      <w:r>
        <w:rPr>
          <w:noProof/>
        </w:rPr>
        <w:t>)</w:t>
      </w:r>
      <w:r>
        <w:fldChar w:fldCharType="end"/>
      </w:r>
      <w:r>
        <w:t xml:space="preserve"> (</w:t>
      </w:r>
      <w:r>
        <w:rPr>
          <w:rFonts w:cs="Times New Roman"/>
        </w:rPr>
        <w:t xml:space="preserve">≈ </w:t>
      </w:r>
      <w:r>
        <w:t>8% to 12%)</w:t>
      </w:r>
      <w:r w:rsidR="000A5750">
        <w:t xml:space="preserve">. </w:t>
      </w:r>
    </w:p>
    <w:p w14:paraId="3C35195B" w14:textId="1DB6F1F7" w:rsidR="00570627" w:rsidRDefault="00570627" w:rsidP="00570627">
      <w:pPr>
        <w:ind w:firstLine="720"/>
      </w:pPr>
      <w:r>
        <w:t>There is a level of uncertainty in the measured drawdown within the test wells that must be recognized</w:t>
      </w:r>
      <w:r w:rsidR="000A5750">
        <w:t xml:space="preserve">. </w:t>
      </w:r>
      <w:r>
        <w:t xml:space="preserve">The total drawdown within a well during pumping may due to a number of components, including: (1) aquifer loss, (2) skin layer loss, (3) gravel pack loss, (4) well screen loss, (5) up-flow loss in well interior, (6) partial penetration of well screen, and (7) seepage face </w:t>
      </w:r>
      <w:r>
        <w:fldChar w:fldCharType="begin"/>
      </w:r>
      <w:r>
        <w:instrText xml:space="preserve"> ADDIN EN.CITE &lt;EndNote&gt;&lt;Cite&gt;&lt;Author&gt;Houben&lt;/Author&gt;&lt;Year&gt;2015&lt;/Year&gt;&lt;RecNum&gt;837&lt;/RecNum&gt;&lt;DisplayText&gt;(Houben 2015a; Houben 2015b)&lt;/DisplayText&gt;&lt;record&gt;&lt;rec-number&gt;837&lt;/rec-number&gt;&lt;foreign-keys&gt;&lt;key app="EN" db-id="rzwe2tae7rs0abe55xgp55w8xtdf5xp9dwrd"&gt;837&lt;/key&gt;&lt;/foreign-keys&gt;&lt;ref-type name="Journal Article"&gt;17&lt;/ref-type&gt;&lt;contributors&gt;&lt;authors&gt;&lt;author&gt;Houben, G. J.&lt;/author&gt;&lt;/authors&gt;&lt;/contributors&gt;&lt;titles&gt;&lt;title&gt;Review: Hydraulics of water wells-head losses of individual components&lt;/title&gt;&lt;secondary-title&gt;Hydrogeology Journal&lt;/secondary-title&gt;&lt;/titles&gt;&lt;periodical&gt;&lt;full-title&gt;Hydrogeology Journal&lt;/full-title&gt;&lt;/periodical&gt;&lt;pages&gt;1659-1675&lt;/pages&gt;&lt;volume&gt;23&lt;/volume&gt;&lt;number&gt;8&lt;/number&gt;&lt;dates&gt;&lt;year&gt;2015&lt;/year&gt;&lt;pub-dates&gt;&lt;date&gt;Dec&lt;/date&gt;&lt;/pub-dates&gt;&lt;/dates&gt;&lt;isbn&gt;1431-2174&lt;/isbn&gt;&lt;accession-num&gt;WOS:000365079400003&lt;/accession-num&gt;&lt;urls&gt;&lt;related-urls&gt;&lt;url&gt;&amp;lt;Go to ISI&amp;gt;://WOS:000365079400003&lt;/url&gt;&lt;/related-urls&gt;&lt;/urls&gt;&lt;electronic-resource-num&gt;10.1007/s10040-015-1313-7&lt;/electronic-resource-num&gt;&lt;/record&gt;&lt;/Cite&gt;&lt;Cite&gt;&lt;Author&gt;Houben&lt;/Author&gt;&lt;Year&gt;2015&lt;/Year&gt;&lt;RecNum&gt;838&lt;/RecNum&gt;&lt;record&gt;&lt;rec-number&gt;838&lt;/rec-number&gt;&lt;foreign-keys&gt;&lt;key app="EN" db-id="rzwe2tae7rs0abe55xgp55w8xtdf5xp9dwrd"&gt;838&lt;/key&gt;&lt;/foreign-keys&gt;&lt;ref-type name="Journal Article"&gt;17&lt;/ref-type&gt;&lt;contributors&gt;&lt;authors&gt;&lt;author&gt;Houben, G. J.&lt;/author&gt;&lt;/authors&gt;&lt;/contributors&gt;&lt;titles&gt;&lt;title&gt;Review: Hydraulics of water wells-flow laws and influence of geometry&lt;/title&gt;&lt;secondary-title&gt;Hydrogeology Journal&lt;/secondary-title&gt;&lt;/titles&gt;&lt;periodical&gt;&lt;full-title&gt;Hydrogeology Journal&lt;/full-title&gt;&lt;/periodical&gt;&lt;pages&gt;1633-1657&lt;/pages&gt;&lt;volume&gt;23&lt;/volume&gt;&lt;number&gt;8&lt;/number&gt;&lt;dates&gt;&lt;year&gt;2015&lt;/year&gt;&lt;pub-dates&gt;&lt;date&gt;Dec&lt;/date&gt;&lt;/pub-dates&gt;&lt;/dates&gt;&lt;isbn&gt;1431-2174&lt;/isbn&gt;&lt;accession-num&gt;WOS:000365079400002&lt;/accession-num&gt;&lt;urls&gt;&lt;related-urls&gt;&lt;url&gt;&amp;lt;Go to ISI&amp;gt;://WOS:000365079400002&lt;/url&gt;&lt;/related-urls&gt;&lt;/urls&gt;&lt;electronic-resource-num&gt;10.1007/s10040-015-1312-8&lt;/electronic-resource-num&gt;&lt;/record&gt;&lt;/Cite&gt;&lt;/EndNote&gt;</w:instrText>
      </w:r>
      <w:r>
        <w:fldChar w:fldCharType="separate"/>
      </w:r>
      <w:r>
        <w:rPr>
          <w:noProof/>
        </w:rPr>
        <w:t>(</w:t>
      </w:r>
      <w:hyperlink w:anchor="_ENREF_9" w:tooltip="Houben, 2015 #838" w:history="1">
        <w:r>
          <w:rPr>
            <w:noProof/>
          </w:rPr>
          <w:t>Houben 2015a</w:t>
        </w:r>
      </w:hyperlink>
      <w:r>
        <w:rPr>
          <w:noProof/>
        </w:rPr>
        <w:t xml:space="preserve">; </w:t>
      </w:r>
      <w:hyperlink w:anchor="_ENREF_10" w:tooltip="Houben, 2015 #837" w:history="1">
        <w:r>
          <w:rPr>
            <w:noProof/>
          </w:rPr>
          <w:t>Houben 2015b</w:t>
        </w:r>
      </w:hyperlink>
      <w:r>
        <w:rPr>
          <w:noProof/>
        </w:rPr>
        <w:t>)</w:t>
      </w:r>
      <w:r>
        <w:fldChar w:fldCharType="end"/>
      </w:r>
      <w:r w:rsidR="000A5750">
        <w:t xml:space="preserve">. </w:t>
      </w:r>
      <w:r>
        <w:t>As previously discussed in Section 2.2., the well screens fully penetrate the unconfined aquifer and were installed without a gravel pack, i.e., the well screens are in direct contact with the fill materials</w:t>
      </w:r>
      <w:r w:rsidR="000A5750">
        <w:t xml:space="preserve">. </w:t>
      </w:r>
      <w:r>
        <w:t>The wells are also routinely developed by mechanical means, i.e., surge and purge, to limit skin layer loss</w:t>
      </w:r>
      <w:r w:rsidR="000A5750">
        <w:t xml:space="preserve">. </w:t>
      </w:r>
      <w:r>
        <w:t xml:space="preserve">The pump intake was set at mid-screen, i.e., 50% of the screen length, to limit up-flow loss in the well interior </w:t>
      </w:r>
      <w:r>
        <w:fldChar w:fldCharType="begin"/>
      </w:r>
      <w:r>
        <w:instrText xml:space="preserve"> ADDIN EN.CITE &lt;EndNote&gt;&lt;Cite&gt;&lt;Author&gt;Houben&lt;/Author&gt;&lt;Year&gt;2011&lt;/Year&gt;&lt;RecNum&gt;841&lt;/RecNum&gt;&lt;DisplayText&gt;(Houben and Hauschild 2011)&lt;/DisplayText&gt;&lt;record&gt;&lt;rec-number&gt;841&lt;/rec-number&gt;&lt;foreign-keys&gt;&lt;key app="EN" db-id="rzwe2tae7rs0abe55xgp55w8xtdf5xp9dwrd"&gt;841&lt;/key&gt;&lt;/foreign-keys&gt;&lt;ref-type name="Journal Article"&gt;17&lt;/ref-type&gt;&lt;contributors&gt;&lt;authors&gt;&lt;author&gt;Houben, G. J.&lt;/author&gt;&lt;author&gt;Hauschild, S.&lt;/author&gt;&lt;/authors&gt;&lt;/contributors&gt;&lt;titles&gt;&lt;title&gt;Numerical Modeling of the Near-Field Hydraulics of Water Wells&lt;/title&gt;&lt;secondary-title&gt;Ground Water&lt;/secondary-title&gt;&lt;/titles&gt;&lt;periodical&gt;&lt;full-title&gt;Ground Water&lt;/full-title&gt;&lt;abbr-1&gt;Ground Water&lt;/abbr-1&gt;&lt;/periodical&gt;&lt;pages&gt;570-575&lt;/pages&gt;&lt;volume&gt;49&lt;/volume&gt;&lt;number&gt;4&lt;/number&gt;&lt;dates&gt;&lt;year&gt;2011&lt;/year&gt;&lt;pub-dates&gt;&lt;date&gt;Jul-Aug&lt;/date&gt;&lt;/pub-dates&gt;&lt;/dates&gt;&lt;isbn&gt;0017-467X&lt;/isbn&gt;&lt;accession-num&gt;WOS:000292104400013&lt;/accession-num&gt;&lt;urls&gt;&lt;related-urls&gt;&lt;url&gt;&amp;lt;Go to ISI&amp;gt;://WOS:000292104400013&lt;/url&gt;&lt;/related-urls&gt;&lt;/urls&gt;&lt;electronic-resource-num&gt;10.1111/j.1745-6584.2010.00760.x&lt;/electronic-resource-num&gt;&lt;/record&gt;&lt;/Cite&gt;&lt;/EndNote&gt;</w:instrText>
      </w:r>
      <w:r>
        <w:fldChar w:fldCharType="separate"/>
      </w:r>
      <w:r>
        <w:rPr>
          <w:noProof/>
        </w:rPr>
        <w:t>(</w:t>
      </w:r>
      <w:hyperlink w:anchor="_ENREF_11" w:tooltip="Houben, 2011 #841" w:history="1">
        <w:r>
          <w:rPr>
            <w:noProof/>
          </w:rPr>
          <w:t>Houben and Hauschild 2011</w:t>
        </w:r>
      </w:hyperlink>
      <w:r>
        <w:rPr>
          <w:noProof/>
        </w:rPr>
        <w:t>)</w:t>
      </w:r>
      <w:r>
        <w:fldChar w:fldCharType="end"/>
      </w:r>
      <w:r w:rsidR="000A5750">
        <w:t xml:space="preserve">. </w:t>
      </w:r>
      <w:r>
        <w:t>Therefore, it is likely that the drawdown during pumping, in order of importance, was attributed to: (1) the aquifer and (2) seepage face</w:t>
      </w:r>
      <w:r w:rsidR="000A5750">
        <w:t xml:space="preserve">. </w:t>
      </w:r>
      <w:r>
        <w:t>Seepage face would lead to overestimating drawdown during pumping and underestimating hydraulic conductivity</w:t>
      </w:r>
      <w:r w:rsidR="000A5750">
        <w:t xml:space="preserve">. </w:t>
      </w:r>
      <w:r>
        <w:t>Underestimating hydraulic conductivity would also lead to underestimating effective porosity</w:t>
      </w:r>
      <w:r w:rsidR="000A5750">
        <w:t xml:space="preserve">. </w:t>
      </w:r>
      <w:r>
        <w:t>Nevertheless, the presence and extent of seepage face during pumping was not known</w:t>
      </w:r>
      <w:r w:rsidR="000A5750">
        <w:t xml:space="preserve">. </w:t>
      </w:r>
      <w:r>
        <w:t>However, by limiting the drawdown to approximately less than 10% of the static saturated screen length, the effects of seepage face were likely mitigated</w:t>
      </w:r>
      <w:r w:rsidR="000A5750">
        <w:t xml:space="preserve">. </w:t>
      </w:r>
    </w:p>
    <w:p w14:paraId="5C1A84EF" w14:textId="38BF6A34" w:rsidR="00570627" w:rsidRPr="00570627" w:rsidRDefault="00570627" w:rsidP="00570627">
      <w:pPr>
        <w:ind w:firstLine="720"/>
      </w:pPr>
      <w:r>
        <w:t xml:space="preserve">The range of hydraulic conductivity </w:t>
      </w:r>
      <w:r w:rsidRPr="00B10E19">
        <w:t>(</w:t>
      </w:r>
      <w:r>
        <w:t>2.1x10</w:t>
      </w:r>
      <w:r w:rsidRPr="001A1BB1">
        <w:rPr>
          <w:vertAlign w:val="superscript"/>
        </w:rPr>
        <w:t>-6</w:t>
      </w:r>
      <w:r>
        <w:t xml:space="preserve"> m/s to 1.8x10</w:t>
      </w:r>
      <w:r w:rsidRPr="001A1BB1">
        <w:rPr>
          <w:vertAlign w:val="superscript"/>
        </w:rPr>
        <w:t>-5</w:t>
      </w:r>
      <w:r>
        <w:t xml:space="preserve"> m/s</w:t>
      </w:r>
      <w:r w:rsidRPr="00B10E19">
        <w:t>)</w:t>
      </w:r>
      <w:r>
        <w:t xml:space="preserve"> in the test wells was relatively small (within a single order of magnitude) and within the lower and upper method detection limits (</w:t>
      </w:r>
      <w:r>
        <w:rPr>
          <w:rFonts w:cs="Times New Roman"/>
        </w:rPr>
        <w:t>≈</w:t>
      </w:r>
      <w:r>
        <w:t>10</w:t>
      </w:r>
      <w:r w:rsidRPr="001A1BB1">
        <w:rPr>
          <w:vertAlign w:val="superscript"/>
        </w:rPr>
        <w:t>-8</w:t>
      </w:r>
      <w:r>
        <w:t xml:space="preserve"> m/s to 10</w:t>
      </w:r>
      <w:r w:rsidRPr="001A1BB1">
        <w:rPr>
          <w:vertAlign w:val="superscript"/>
        </w:rPr>
        <w:t>-4</w:t>
      </w:r>
      <w:r>
        <w:t xml:space="preserve"> m/s) </w:t>
      </w:r>
      <w:r>
        <w:fldChar w:fldCharType="begin"/>
      </w:r>
      <w:r>
        <w:instrText xml:space="preserve"> ADDIN EN.CITE &lt;EndNote&gt;&lt;Cite&gt;&lt;Author&gt;Robbins&lt;/Author&gt;&lt;Year&gt;2009&lt;/Year&gt;&lt;RecNum&gt;531&lt;/RecNum&gt;&lt;DisplayText&gt;(Robbins et al. 2009)&lt;/DisplayText&gt;&lt;record&gt;&lt;rec-number&gt;531&lt;/rec-number&gt;&lt;foreign-keys&gt;&lt;key app="EN" db-id="rzwe2tae7rs0abe55xgp55w8xtdf5xp9dwrd"&gt;531&lt;/key&gt;&lt;/foreign-keys&gt;&lt;ref-type name="Journal Article"&gt;17&lt;/ref-type&gt;&lt;contributors&gt;&lt;authors&gt;&lt;author&gt;Robbins, G. A.&lt;/author&gt;&lt;author&gt;Aragon-Jose, A. T.&lt;/author&gt;&lt;author&gt;Romero, A.&lt;/author&gt;&lt;/authors&gt;&lt;/contributors&gt;&lt;titles&gt;&lt;title&gt;Determining Hydraulic Conductivity Using Pumping Data from Low-Flow Sampling&lt;/title&gt;&lt;secondary-title&gt;Ground Water&lt;/secondary-title&gt;&lt;/titles&gt;&lt;periodical&gt;&lt;full-title&gt;Ground Water&lt;/full-title&gt;&lt;abbr-1&gt;Ground Water&lt;/abbr-1&gt;&lt;/periodical&gt;&lt;pages&gt;271-276&lt;/pages&gt;&lt;volume&gt;47&lt;/volume&gt;&lt;number&gt;2&lt;/number&gt;&lt;dates&gt;&lt;year&gt;2009&lt;/year&gt;&lt;pub-dates&gt;&lt;date&gt;Mar-Apr&lt;/date&gt;&lt;/pub-dates&gt;&lt;/dates&gt;&lt;isbn&gt;0017-467X&lt;/isbn&gt;&lt;accession-num&gt;WOS:000263600800014&lt;/accession-num&gt;&lt;urls&gt;&lt;related-urls&gt;&lt;url&gt;&amp;lt;Go to ISI&amp;gt;://WOS:000263600800014&lt;/url&gt;&lt;/related-urls&gt;&lt;/urls&gt;&lt;electronic-resource-num&gt;10.1111/j.1745-6584.2008.00519.x&lt;/electronic-resource-num&gt;&lt;/record&gt;&lt;/Cite&gt;&lt;/EndNote&gt;</w:instrText>
      </w:r>
      <w:r>
        <w:fldChar w:fldCharType="separate"/>
      </w:r>
      <w:r>
        <w:rPr>
          <w:noProof/>
        </w:rPr>
        <w:t>(</w:t>
      </w:r>
      <w:hyperlink w:anchor="_ENREF_29" w:tooltip="Robbins, 2009 #531" w:history="1">
        <w:r>
          <w:rPr>
            <w:noProof/>
          </w:rPr>
          <w:t>Robbins et al. 2009</w:t>
        </w:r>
      </w:hyperlink>
      <w:r>
        <w:rPr>
          <w:noProof/>
        </w:rPr>
        <w:t>)</w:t>
      </w:r>
      <w:r>
        <w:fldChar w:fldCharType="end"/>
      </w:r>
      <w:r>
        <w:t xml:space="preserve">; the range of hydraulic conductivity was also within that representative of silts and fine sands </w:t>
      </w:r>
      <w:r>
        <w:fldChar w:fldCharType="begin"/>
      </w:r>
      <w:r>
        <w:instrText xml:space="preserve"> ADDIN EN.CITE &lt;EndNote&gt;&lt;Cite&gt;&lt;Author&gt;Domenico&lt;/Author&gt;&lt;Year&gt;1998&lt;/Year&gt;&lt;RecNum&gt;619&lt;/RecNum&gt;&lt;DisplayText&gt;(Domenico and Schwartz 1998)&lt;/DisplayText&gt;&lt;record&gt;&lt;rec-number&gt;619&lt;/rec-number&gt;&lt;foreign-keys&gt;&lt;key app="EN" db-id="rzwe2tae7rs0abe55xgp55w8xtdf5xp9dwrd"&gt;619&lt;/key&gt;&lt;/foreign-keys&gt;&lt;ref-type name="Book"&gt;6&lt;/ref-type&gt;&lt;contributors&gt;&lt;authors&gt;&lt;author&gt;Domenico, Partick A.&lt;/author&gt;&lt;author&gt;Schwartz, Franklin W.&lt;/author&gt;&lt;/authors&gt;&lt;/contributors&gt;&lt;titles&gt;&lt;title&gt;Physical and Chemical Hydrogeology&lt;/title&gt;&lt;/titles&gt;&lt;edition&gt;Second&lt;/edition&gt;&lt;dates&gt;&lt;year&gt;1998&lt;/year&gt;&lt;/dates&gt;&lt;pub-location&gt;New York, NY&lt;/pub-location&gt;&lt;publisher&gt;John Wiley &amp;amp; Sons, Inc.&lt;/publisher&gt;&lt;isbn&gt;0-471-59762-7&lt;/isbn&gt;&lt;urls&gt;&lt;/urls&gt;&lt;/record&gt;&lt;/Cite&gt;&lt;/EndNote&gt;</w:instrText>
      </w:r>
      <w:r>
        <w:fldChar w:fldCharType="separate"/>
      </w:r>
      <w:r>
        <w:rPr>
          <w:noProof/>
        </w:rPr>
        <w:t>(</w:t>
      </w:r>
      <w:hyperlink w:anchor="_ENREF_5" w:tooltip="Domenico, 1998 #619" w:history="1">
        <w:r>
          <w:rPr>
            <w:noProof/>
          </w:rPr>
          <w:t>Domenico and Schwartz 1998</w:t>
        </w:r>
      </w:hyperlink>
      <w:r>
        <w:rPr>
          <w:noProof/>
        </w:rPr>
        <w:t>)</w:t>
      </w:r>
      <w:r>
        <w:fldChar w:fldCharType="end"/>
      </w:r>
      <w:r w:rsidR="000A5750">
        <w:t xml:space="preserve">. </w:t>
      </w:r>
      <w:r>
        <w:t xml:space="preserve">However, </w:t>
      </w:r>
      <w:r>
        <w:fldChar w:fldCharType="begin"/>
      </w:r>
      <w:r>
        <w:instrText xml:space="preserve"> ADDIN EN.CITE &lt;EndNote&gt;&lt;Cite AuthorYear="1"&gt;&lt;Author&gt;Watson&lt;/Author&gt;&lt;Year&gt;2013&lt;/Year&gt;&lt;RecNum&gt;650&lt;/RecNum&gt;&lt;DisplayText&gt;Watson et al. (2013)&lt;/DisplayText&gt;&lt;record&gt;&lt;rec-number&gt;650&lt;/rec-number&gt;&lt;foreign-keys&gt;&lt;key app="EN" db-id="rzwe2tae7rs0abe55xgp55w8xtdf5xp9dwrd"&gt;650&lt;/key&gt;&lt;/foreign-keys&gt;&lt;ref-type name="Journal Article"&gt;17&lt;/ref-type&gt;&lt;contributors&gt;&lt;authors&gt;&lt;author&gt;Watson, D. B.&lt;/author&gt;&lt;author&gt;Wu, W. M.&lt;/author&gt;&lt;author&gt;Mehlhorn, T.&lt;/author&gt;&lt;author&gt;Tang, G. P.&lt;/author&gt;&lt;author&gt;Earles, J.&lt;/author&gt;&lt;author&gt;Lowe, K.&lt;/author&gt;&lt;author&gt;Gihring, T. M.&lt;/author&gt;&lt;author&gt;Zhang, G. X.&lt;/author&gt;&lt;author&gt;Phillips, J.&lt;/author&gt;&lt;author&gt;Boyanov, M. I.&lt;/author&gt;&lt;author&gt;Spalding, B. P.&lt;/author&gt;&lt;author&gt;Schadt, C.&lt;/author&gt;&lt;author&gt;Kemner, K. M.&lt;/author&gt;&lt;author&gt;Criddle, C. S.&lt;/author&gt;&lt;author&gt;Jardine, P. M.&lt;/author&gt;&lt;author&gt;Brooks, S. C.&lt;/author&gt;&lt;/authors&gt;&lt;/contributors&gt;&lt;titles&gt;&lt;title&gt;In Situ Bioremediation of Uranium with Emulsified Vegetable Oil as the Electron Donor&lt;/title&gt;&lt;secondary-title&gt;Environmental Science &amp;amp; Technology&lt;/secondary-title&gt;&lt;/titles&gt;&lt;periodical&gt;&lt;full-title&gt;Environmental Science &amp;amp; Technology&lt;/full-title&gt;&lt;/periodical&gt;&lt;pages&gt;6440-6448&lt;/pages&gt;&lt;volume&gt;47&lt;/volume&gt;&lt;number&gt;12&lt;/number&gt;&lt;dates&gt;&lt;year&gt;2013&lt;/year&gt;&lt;pub-dates&gt;&lt;date&gt;Jun&lt;/date&gt;&lt;/pub-dates&gt;&lt;/dates&gt;&lt;isbn&gt;0013-936X&lt;/isbn&gt;&lt;accession-num&gt;WOS:000320749000046&lt;/accession-num&gt;&lt;urls&gt;&lt;related-urls&gt;&lt;url&gt;&amp;lt;Go to ISI&amp;gt;://WOS:000320749000046&lt;/url&gt;&lt;/related-urls&gt;&lt;/urls&gt;&lt;electronic-resource-num&gt;10.1021/es3033555&lt;/electronic-resource-num&gt;&lt;/record&gt;&lt;/Cite&gt;&lt;/EndNote&gt;</w:instrText>
      </w:r>
      <w:r>
        <w:fldChar w:fldCharType="separate"/>
      </w:r>
      <w:hyperlink w:anchor="_ENREF_35" w:tooltip="Watson, 2013 #650" w:history="1">
        <w:r>
          <w:rPr>
            <w:noProof/>
          </w:rPr>
          <w:t>Watson et al. (2013</w:t>
        </w:r>
      </w:hyperlink>
      <w:r>
        <w:rPr>
          <w:noProof/>
        </w:rPr>
        <w:t>)</w:t>
      </w:r>
      <w:r>
        <w:fldChar w:fldCharType="end"/>
      </w:r>
      <w:r>
        <w:t xml:space="preserve"> reported that the hydraulic conductivity of the fill material, in </w:t>
      </w:r>
      <w:r>
        <w:lastRenderedPageBreak/>
        <w:t>Area 2 test wells immediately east of the study site, was approximately 3.8x10</w:t>
      </w:r>
      <w:r w:rsidRPr="001A1BB1">
        <w:rPr>
          <w:vertAlign w:val="superscript"/>
        </w:rPr>
        <w:t>-4</w:t>
      </w:r>
      <w:r>
        <w:t xml:space="preserve"> m/s</w:t>
      </w:r>
      <w:r w:rsidR="000A5750">
        <w:t xml:space="preserve">. </w:t>
      </w:r>
      <w:r>
        <w:t>Therefore, the range of hydraulic conductivity reported in this study was notably less (up to two orders of magnitude) than to the value previously reported</w:t>
      </w:r>
      <w:r w:rsidR="000A5750">
        <w:t xml:space="preserve">. </w:t>
      </w:r>
      <w:r>
        <w:t xml:space="preserve">It is important to note that </w:t>
      </w:r>
      <w:r>
        <w:fldChar w:fldCharType="begin"/>
      </w:r>
      <w:r>
        <w:instrText xml:space="preserve"> ADDIN EN.CITE &lt;EndNote&gt;&lt;Cite AuthorYear="1"&gt;&lt;Author&gt;Watson&lt;/Author&gt;&lt;Year&gt;2013&lt;/Year&gt;&lt;RecNum&gt;650&lt;/RecNum&gt;&lt;DisplayText&gt;Watson et al. (2013)&lt;/DisplayText&gt;&lt;record&gt;&lt;rec-number&gt;650&lt;/rec-number&gt;&lt;foreign-keys&gt;&lt;key app="EN" db-id="rzwe2tae7rs0abe55xgp55w8xtdf5xp9dwrd"&gt;650&lt;/key&gt;&lt;/foreign-keys&gt;&lt;ref-type name="Journal Article"&gt;17&lt;/ref-type&gt;&lt;contributors&gt;&lt;authors&gt;&lt;author&gt;Watson, D. B.&lt;/author&gt;&lt;author&gt;Wu, W. M.&lt;/author&gt;&lt;author&gt;Mehlhorn, T.&lt;/author&gt;&lt;author&gt;Tang, G. P.&lt;/author&gt;&lt;author&gt;Earles, J.&lt;/author&gt;&lt;author&gt;Lowe, K.&lt;/author&gt;&lt;author&gt;Gihring, T. M.&lt;/author&gt;&lt;author&gt;Zhang, G. X.&lt;/author&gt;&lt;author&gt;Phillips, J.&lt;/author&gt;&lt;author&gt;Boyanov, M. I.&lt;/author&gt;&lt;author&gt;Spalding, B. P.&lt;/author&gt;&lt;author&gt;Schadt, C.&lt;/author&gt;&lt;author&gt;Kemner, K. M.&lt;/author&gt;&lt;author&gt;Criddle, C. S.&lt;/author&gt;&lt;author&gt;Jardine, P. M.&lt;/author&gt;&lt;author&gt;Brooks, S. C.&lt;/author&gt;&lt;/authors&gt;&lt;/contributors&gt;&lt;titles&gt;&lt;title&gt;In Situ Bioremediation of Uranium with Emulsified Vegetable Oil as the Electron Donor&lt;/title&gt;&lt;secondary-title&gt;Environmental Science &amp;amp; Technology&lt;/secondary-title&gt;&lt;/titles&gt;&lt;periodical&gt;&lt;full-title&gt;Environmental Science &amp;amp; Technology&lt;/full-title&gt;&lt;/periodical&gt;&lt;pages&gt;6440-6448&lt;/pages&gt;&lt;volume&gt;47&lt;/volume&gt;&lt;number&gt;12&lt;/number&gt;&lt;dates&gt;&lt;year&gt;2013&lt;/year&gt;&lt;pub-dates&gt;&lt;date&gt;Jun&lt;/date&gt;&lt;/pub-dates&gt;&lt;/dates&gt;&lt;isbn&gt;0013-936X&lt;/isbn&gt;&lt;accession-num&gt;WOS:000320749000046&lt;/accession-num&gt;&lt;urls&gt;&lt;related-urls&gt;&lt;url&gt;&amp;lt;Go to ISI&amp;gt;://WOS:000320749000046&lt;/url&gt;&lt;/related-urls&gt;&lt;/urls&gt;&lt;electronic-resource-num&gt;10.1021/es3033555&lt;/electronic-resource-num&gt;&lt;/record&gt;&lt;/Cite&gt;&lt;/EndNote&gt;</w:instrText>
      </w:r>
      <w:r>
        <w:fldChar w:fldCharType="separate"/>
      </w:r>
      <w:hyperlink w:anchor="_ENREF_35" w:tooltip="Watson, 2013 #650" w:history="1">
        <w:r>
          <w:rPr>
            <w:noProof/>
          </w:rPr>
          <w:t>Watson et al. (2013</w:t>
        </w:r>
      </w:hyperlink>
      <w:r>
        <w:rPr>
          <w:noProof/>
        </w:rPr>
        <w:t>)</w:t>
      </w:r>
      <w:r>
        <w:fldChar w:fldCharType="end"/>
      </w:r>
      <w:r>
        <w:t xml:space="preserve">, and others </w:t>
      </w:r>
      <w:r>
        <w:fldChar w:fldCharType="begin"/>
      </w:r>
      <w:r>
        <w:instrText xml:space="preserve"> ADDIN EN.CITE &lt;EndNote&gt;&lt;Cite&gt;&lt;Author&gt;Phillips&lt;/Author&gt;&lt;Year&gt;2008&lt;/Year&gt;&lt;RecNum&gt;708&lt;/RecNum&gt;&lt;DisplayText&gt;(Phillips et al. 2008)&lt;/DisplayText&gt;&lt;record&gt;&lt;rec-number&gt;708&lt;/rec-number&gt;&lt;foreign-keys&gt;&lt;key app="EN" db-id="rzwe2tae7rs0abe55xgp55w8xtdf5xp9dwrd"&gt;708&lt;/key&gt;&lt;/foreign-keys&gt;&lt;ref-type name="Journal Article"&gt;17&lt;/ref-type&gt;&lt;contributors&gt;&lt;authors&gt;&lt;author&gt;Phillips, D. H.&lt;/author&gt;&lt;author&gt;Watson, D. B.&lt;/author&gt;&lt;author&gt;Kelly, S. D.&lt;/author&gt;&lt;author&gt;Ravel, B.&lt;/author&gt;&lt;author&gt;Kemner, K. M.&lt;/author&gt;&lt;/authors&gt;&lt;/contributors&gt;&lt;titles&gt;&lt;title&gt;Deposition of uranium precipitates in dolomitic gravel fill&lt;/title&gt;&lt;secondary-title&gt;Environmental Science &amp;amp; Technology&lt;/secondary-title&gt;&lt;/titles&gt;&lt;periodical&gt;&lt;full-title&gt;Environmental Science &amp;amp; Technology&lt;/full-title&gt;&lt;/periodical&gt;&lt;pages&gt;7104-7110&lt;/pages&gt;&lt;volume&gt;42&lt;/volume&gt;&lt;number&gt;19&lt;/number&gt;&lt;dates&gt;&lt;year&gt;2008&lt;/year&gt;&lt;pub-dates&gt;&lt;date&gt;Oct&lt;/date&gt;&lt;/pub-dates&gt;&lt;/dates&gt;&lt;isbn&gt;0013-936X&lt;/isbn&gt;&lt;accession-num&gt;WOS:000259603700016&lt;/accession-num&gt;&lt;urls&gt;&lt;related-urls&gt;&lt;url&gt;&amp;lt;Go to ISI&amp;gt;://WOS:000259603700016&lt;/url&gt;&lt;/related-urls&gt;&lt;/urls&gt;&lt;electronic-resource-num&gt;10.1021/es8001579&lt;/electronic-resource-num&gt;&lt;/record&gt;&lt;/Cite&gt;&lt;/EndNote&gt;</w:instrText>
      </w:r>
      <w:r>
        <w:fldChar w:fldCharType="separate"/>
      </w:r>
      <w:r>
        <w:rPr>
          <w:noProof/>
        </w:rPr>
        <w:t>(</w:t>
      </w:r>
      <w:hyperlink w:anchor="_ENREF_27" w:tooltip="Phillips, 2008 #708" w:history="1">
        <w:r>
          <w:rPr>
            <w:noProof/>
          </w:rPr>
          <w:t>Phillips et al. 2008</w:t>
        </w:r>
      </w:hyperlink>
      <w:r>
        <w:rPr>
          <w:noProof/>
        </w:rPr>
        <w:t>)</w:t>
      </w:r>
      <w:r>
        <w:fldChar w:fldCharType="end"/>
      </w:r>
      <w:r>
        <w:t>, also reported that the fill material was gravelly, whereas no gravel component is known to exist within the area of this study site</w:t>
      </w:r>
      <w:r w:rsidR="000A5750">
        <w:t xml:space="preserve">. </w:t>
      </w:r>
      <w:r>
        <w:t>Therefore, the lack of a gravel component in the fill material within the study site may explain the lower values of hydraulic conductivity</w:t>
      </w:r>
      <w:r w:rsidR="000A5750">
        <w:t xml:space="preserve">. </w:t>
      </w:r>
      <w:r w:rsidRPr="008B264C">
        <w:t>In summary, the single-well pumping test data and analysis</w:t>
      </w:r>
      <w:r>
        <w:t xml:space="preserve"> suggested that the variability in the hydraulic conductivity of the fill material was relatively low and within that representative of silts and fine sands</w:t>
      </w:r>
      <w:r w:rsidR="000A5750">
        <w:t xml:space="preserve">. </w:t>
      </w:r>
    </w:p>
    <w:p w14:paraId="006AAC9B" w14:textId="77777777" w:rsidR="003A681F" w:rsidRDefault="003A681F" w:rsidP="003A681F">
      <w:pPr>
        <w:pStyle w:val="Heading3"/>
      </w:pPr>
      <w:bookmarkStart w:id="147" w:name="_Toc498505054"/>
      <w:r>
        <w:t>3.5.</w:t>
      </w:r>
      <w:r w:rsidR="00283D1D">
        <w:t>3.</w:t>
      </w:r>
      <w:r w:rsidR="00283D1D">
        <w:tab/>
      </w:r>
      <w:r w:rsidR="00E41B76">
        <w:t>Effective porosity</w:t>
      </w:r>
      <w:bookmarkEnd w:id="147"/>
    </w:p>
    <w:p w14:paraId="176C5961" w14:textId="0301C339" w:rsidR="00570627" w:rsidRDefault="00570627" w:rsidP="00570627">
      <w:pPr>
        <w:ind w:firstLine="720"/>
      </w:pPr>
      <w:r>
        <w:t xml:space="preserve">The breakthrough curve for a non-reactive tracer released from an instantaneous point source, as it passes a fixed point of observation, should resemble a bell-shaped curve when its transport is governed by advection and dispersion during steady-state groundwater flow in a homogeneous and an isotropic granular porous medium </w:t>
      </w:r>
      <w:r>
        <w:fldChar w:fldCharType="begin"/>
      </w:r>
      <w:r>
        <w:instrText xml:space="preserve"> ADDIN EN.CITE &lt;EndNote&gt;&lt;Cite&gt;&lt;Author&gt;Baetsle&lt;/Author&gt;&lt;Year&gt;1969&lt;/Year&gt;&lt;RecNum&gt;652&lt;/RecNum&gt;&lt;DisplayText&gt;(Baetsle 1969)&lt;/DisplayText&gt;&lt;record&gt;&lt;rec-number&gt;652&lt;/rec-number&gt;&lt;foreign-keys&gt;&lt;key app="EN" db-id="rzwe2tae7rs0abe55xgp55w8xtdf5xp9dwrd"&gt;652&lt;/key&gt;&lt;/foreign-keys&gt;&lt;ref-type name="Book Section"&gt;5&lt;/ref-type&gt;&lt;contributors&gt;&lt;authors&gt;&lt;author&gt;Baetsle, L. H.&lt;/author&gt;&lt;/authors&gt;&lt;secondary-authors&gt;&lt;author&gt;Duhamel, A. M. F.&lt;/author&gt;&lt;/secondary-authors&gt;&lt;/contributors&gt;&lt;titles&gt;&lt;title&gt;Migration of radionuclides in porous media&lt;/title&gt;&lt;secondary-title&gt;Progress in Nuclear Energy&lt;/secondary-title&gt;&lt;tertiary-title&gt;Health Physics&lt;/tertiary-title&gt;&lt;/titles&gt;&lt;pages&gt;707-730&lt;/pages&gt;&lt;edition&gt;Series XII&lt;/edition&gt;&lt;dates&gt;&lt;year&gt;1969&lt;/year&gt;&lt;/dates&gt;&lt;pub-location&gt;Elmsford, New York&lt;/pub-location&gt;&lt;publisher&gt;Pergamon Press&lt;/publisher&gt;&lt;urls&gt;&lt;/urls&gt;&lt;/record&gt;&lt;/Cite&gt;&lt;/EndNote&gt;</w:instrText>
      </w:r>
      <w:r>
        <w:fldChar w:fldCharType="separate"/>
      </w:r>
      <w:r>
        <w:rPr>
          <w:noProof/>
        </w:rPr>
        <w:t>(</w:t>
      </w:r>
      <w:hyperlink w:anchor="_ENREF_2" w:tooltip="Baetsle, 1969 #652" w:history="1">
        <w:r>
          <w:rPr>
            <w:noProof/>
          </w:rPr>
          <w:t>Baetsle 1969</w:t>
        </w:r>
      </w:hyperlink>
      <w:r>
        <w:rPr>
          <w:noProof/>
        </w:rPr>
        <w:t>)</w:t>
      </w:r>
      <w:r>
        <w:fldChar w:fldCharType="end"/>
      </w:r>
      <w:r w:rsidR="000A5750">
        <w:t xml:space="preserve">. </w:t>
      </w:r>
      <w:r>
        <w:t>The breakthrough curves for bromide, observed during the pull phase of the tests, resembled bell-shaped curves that were truncated at the leading edges (early time) and possibly skewed towards the following edges (late time)</w:t>
      </w:r>
      <w:r w:rsidR="000A5750">
        <w:t xml:space="preserve">. </w:t>
      </w:r>
      <w:r>
        <w:t>The truncation at the leading edge indicated that the full spatial extent of the injectate did not move beyond the test wells during the drift phase</w:t>
      </w:r>
      <w:r w:rsidR="000A5750">
        <w:t xml:space="preserve">. </w:t>
      </w:r>
      <w:r>
        <w:t xml:space="preserve">Ideally, the entire injectate should drift beyond the test wells under natural-gradient (non-pumping) conditions and then the entire injectate should be pumped back to the test wells under forced-gradient (extraction pumping) conditions </w:t>
      </w:r>
      <w:r>
        <w:fldChar w:fldCharType="begin"/>
      </w:r>
      <w:r>
        <w:instrText xml:space="preserve"> ADDIN EN.CITE &lt;EndNote&gt;&lt;Cite&gt;&lt;Author&gt;Leap&lt;/Author&gt;&lt;Year&gt;1988&lt;/Year&gt;&lt;RecNum&gt;108&lt;/RecNum&gt;&lt;DisplayText&gt;(Leap and Kaplan 1988)&lt;/DisplayText&gt;&lt;record&gt;&lt;rec-number&gt;108&lt;/rec-number&gt;&lt;foreign-keys&gt;&lt;key app="EN" db-id="rzwe2tae7rs0abe55xgp55w8xtdf5xp9dwrd"&gt;108&lt;/key&gt;&lt;/foreign-keys&gt;&lt;ref-type name="Journal Article"&gt;17&lt;/ref-type&gt;&lt;contributors&gt;&lt;authors&gt;&lt;author&gt;Leap, D. I.&lt;/author&gt;&lt;author&gt;Kaplan, P. G.&lt;/author&gt;&lt;/authors&gt;&lt;/contributors&gt;&lt;titles&gt;&lt;title&gt;A single-well tracing method for estimating regional advective velocity in a confined aquifer - theory and preliminary laboratory verification &lt;/title&gt;&lt;secondary-title&gt;Water Resources Research&lt;/secondary-title&gt;&lt;/titles&gt;&lt;periodical&gt;&lt;full-title&gt;Water Resources Research&lt;/full-title&gt;&lt;/periodical&gt;&lt;pages&gt;993-998&lt;/pages&gt;&lt;volume&gt;24&lt;/volume&gt;&lt;number&gt;7&lt;/number&gt;&lt;dates&gt;&lt;year&gt;1988&lt;/year&gt;&lt;pub-dates&gt;&lt;date&gt;Jul&lt;/date&gt;&lt;/pub-dates&gt;&lt;/dates&gt;&lt;isbn&gt;0043-1397&lt;/isbn&gt;&lt;accession-num&gt;WOS:A1988P264500011&lt;/accession-num&gt;&lt;urls&gt;&lt;related-urls&gt;&lt;url&gt;&amp;lt;Go to ISI&amp;gt;://WOS:A1988P264500011&lt;/url&gt;&lt;url&gt;http://onlinelibrary.wiley.com/doi/10.1029/WR024i007p00993/abstract&lt;/url&gt;&lt;/related-urls&gt;&lt;/urls&gt;&lt;electronic-resource-num&gt;10.1029/WR024i007p00993&lt;/electronic-resource-num&gt;&lt;/record&gt;&lt;/Cite&gt;&lt;/EndNote&gt;</w:instrText>
      </w:r>
      <w:r>
        <w:fldChar w:fldCharType="separate"/>
      </w:r>
      <w:r>
        <w:rPr>
          <w:noProof/>
        </w:rPr>
        <w:t>(</w:t>
      </w:r>
      <w:hyperlink w:anchor="_ENREF_15" w:tooltip="Leap, 1988 #108" w:history="1">
        <w:r>
          <w:rPr>
            <w:noProof/>
          </w:rPr>
          <w:t>Leap and Kaplan 1988</w:t>
        </w:r>
      </w:hyperlink>
      <w:r>
        <w:rPr>
          <w:noProof/>
        </w:rPr>
        <w:t>)</w:t>
      </w:r>
      <w:r>
        <w:fldChar w:fldCharType="end"/>
      </w:r>
      <w:r w:rsidR="000A5750">
        <w:t xml:space="preserve">. </w:t>
      </w:r>
      <w:r>
        <w:t>However, if the injectate drifts too far from the test wells it may only partially return during the pull phase and lead to a low mass recovery of the tracer</w:t>
      </w:r>
      <w:r w:rsidR="000A5750">
        <w:t xml:space="preserve">. </w:t>
      </w:r>
      <w:r>
        <w:t xml:space="preserve">Although it may be tempting to suggest that the drift times in this study were too short, it must be </w:t>
      </w:r>
      <w:r>
        <w:lastRenderedPageBreak/>
        <w:t xml:space="preserve">noted that the average percent mass recovery of the tracer (bromide) was far less than 100% (60 </w:t>
      </w:r>
      <w:r>
        <w:rPr>
          <w:rFonts w:cs="Times New Roman"/>
        </w:rPr>
        <w:t>±</w:t>
      </w:r>
      <w:r>
        <w:t xml:space="preserve"> 10%, data not shown)</w:t>
      </w:r>
      <w:r w:rsidR="000A5750">
        <w:t xml:space="preserve">. </w:t>
      </w:r>
      <w:r>
        <w:t>Therefore, an increase in the drift time would have likely resulted in a lower mass recovery of bromide and thus a weaker signal for analysis</w:t>
      </w:r>
      <w:r w:rsidR="000A5750">
        <w:t xml:space="preserve">. </w:t>
      </w:r>
      <w:r w:rsidRPr="009C5C84">
        <w:t>In addition to advective</w:t>
      </w:r>
      <w:r>
        <w:t xml:space="preserve"> mass</w:t>
      </w:r>
      <w:r w:rsidRPr="009C5C84">
        <w:t xml:space="preserve"> transport, diffusive </w:t>
      </w:r>
      <w:r>
        <w:t xml:space="preserve">mass </w:t>
      </w:r>
      <w:r w:rsidRPr="009C5C84">
        <w:t xml:space="preserve">transport of bromide from mobile to immobile pore water may partially explain the low mass recovery of bromide; mobile to immobile diffusive mass transport is well documented and described at the OR-IFRC site and at the nearby west Beak Creek Valley site </w:t>
      </w:r>
      <w:r w:rsidRPr="009C5C84">
        <w:fldChar w:fldCharType="begin">
          <w:fldData xml:space="preserve">PEVuZE5vdGU+PENpdGU+PEF1dGhvcj5MdW88L0F1dGhvcj48WWVhcj4yMDA1PC9ZZWFyPjxSZWNO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</w:fldData>
        </w:fldChar>
      </w:r>
      <w:r w:rsidRPr="009C5C84">
        <w:instrText xml:space="preserve"> ADDIN EN.CITE </w:instrText>
      </w:r>
      <w:r w:rsidRPr="009C5C84">
        <w:fldChar w:fldCharType="begin">
          <w:fldData xml:space="preserve">PEVuZE5vdGU+PENpdGU+PEF1dGhvcj5MdW88L0F1dGhvcj48WWVhcj4yMDA1PC9ZZWFyPjxSZWNO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</w:fldData>
        </w:fldChar>
      </w:r>
      <w:r w:rsidRPr="009C5C84">
        <w:instrText xml:space="preserve"> ADDIN EN.CITE.DATA </w:instrText>
      </w:r>
      <w:r w:rsidRPr="009C5C84">
        <w:fldChar w:fldCharType="end"/>
      </w:r>
      <w:r w:rsidRPr="009C5C84">
        <w:fldChar w:fldCharType="separate"/>
      </w:r>
      <w:r w:rsidRPr="009C5C84">
        <w:rPr>
          <w:noProof/>
        </w:rPr>
        <w:t>(</w:t>
      </w:r>
      <w:hyperlink w:anchor="_ENREF_18" w:tooltip="Luo, 2005 #773" w:history="1">
        <w:r w:rsidRPr="009C5C84">
          <w:rPr>
            <w:noProof/>
          </w:rPr>
          <w:t>Luo et al</w:t>
        </w:r>
        <w:r>
          <w:rPr>
            <w:noProof/>
          </w:rPr>
          <w:t xml:space="preserve">. </w:t>
        </w:r>
        <w:r w:rsidRPr="009C5C84">
          <w:rPr>
            <w:noProof/>
          </w:rPr>
          <w:t>2005</w:t>
        </w:r>
      </w:hyperlink>
      <w:r w:rsidRPr="009C5C84">
        <w:rPr>
          <w:noProof/>
        </w:rPr>
        <w:t xml:space="preserve">; </w:t>
      </w:r>
      <w:hyperlink w:anchor="_ENREF_19" w:tooltip="Mayes, 2003 #772" w:history="1">
        <w:r w:rsidRPr="009C5C84">
          <w:rPr>
            <w:noProof/>
          </w:rPr>
          <w:t>Mayes et al</w:t>
        </w:r>
        <w:r>
          <w:rPr>
            <w:noProof/>
          </w:rPr>
          <w:t xml:space="preserve">. </w:t>
        </w:r>
        <w:r w:rsidRPr="009C5C84">
          <w:rPr>
            <w:noProof/>
          </w:rPr>
          <w:t>2003</w:t>
        </w:r>
      </w:hyperlink>
      <w:r w:rsidRPr="009C5C84">
        <w:rPr>
          <w:noProof/>
        </w:rPr>
        <w:t xml:space="preserve">; </w:t>
      </w:r>
      <w:hyperlink w:anchor="_ENREF_21" w:tooltip="McKay, 2000 #648" w:history="1">
        <w:r w:rsidRPr="009C5C84">
          <w:rPr>
            <w:noProof/>
          </w:rPr>
          <w:t>McKay et al</w:t>
        </w:r>
        <w:r>
          <w:rPr>
            <w:noProof/>
          </w:rPr>
          <w:t xml:space="preserve">. </w:t>
        </w:r>
        <w:r w:rsidRPr="009C5C84">
          <w:rPr>
            <w:noProof/>
          </w:rPr>
          <w:t>2000</w:t>
        </w:r>
      </w:hyperlink>
      <w:r w:rsidRPr="009C5C84">
        <w:rPr>
          <w:noProof/>
        </w:rPr>
        <w:t xml:space="preserve">; </w:t>
      </w:r>
      <w:hyperlink w:anchor="_ENREF_28" w:tooltip="Reedy, 1996 #771" w:history="1">
        <w:r w:rsidRPr="009C5C84">
          <w:rPr>
            <w:noProof/>
          </w:rPr>
          <w:t>Reedy et al</w:t>
        </w:r>
        <w:r>
          <w:rPr>
            <w:noProof/>
          </w:rPr>
          <w:t xml:space="preserve">. </w:t>
        </w:r>
        <w:r w:rsidRPr="009C5C84">
          <w:rPr>
            <w:noProof/>
          </w:rPr>
          <w:t>1996</w:t>
        </w:r>
      </w:hyperlink>
      <w:r w:rsidRPr="009C5C84">
        <w:rPr>
          <w:noProof/>
        </w:rPr>
        <w:t>)</w:t>
      </w:r>
      <w:r w:rsidRPr="009C5C84">
        <w:fldChar w:fldCharType="end"/>
      </w:r>
      <w:r w:rsidR="000A5750">
        <w:t xml:space="preserve">. </w:t>
      </w:r>
      <w:r w:rsidRPr="009C5C84">
        <w:t>The extent of sorption or degradation of bromide was likely negligible based on previous batch and column studies which demonstrated that mass recoveries of bromide from OR-IFRC soils and sediments are nearly 100% under acidic to neutral pH (</w:t>
      </w:r>
      <w:r w:rsidRPr="009C5C84">
        <w:rPr>
          <w:rFonts w:cs="Times New Roman"/>
        </w:rPr>
        <w:t xml:space="preserve">≈ </w:t>
      </w:r>
      <w:r w:rsidRPr="009C5C84">
        <w:t xml:space="preserve">4.5 to 7) </w:t>
      </w:r>
      <w:r w:rsidRPr="009C5C84">
        <w:fldChar w:fldCharType="begin"/>
      </w:r>
      <w:r w:rsidRPr="009C5C84">
        <w:instrText xml:space="preserve"> ADDIN EN.CITE &lt;EndNote&gt;&lt;Cite&gt;&lt;Author&gt;Hu&lt;/Author&gt;&lt;Year&gt;2005&lt;/Year&gt;&lt;RecNum&gt;775&lt;/RecNum&gt;&lt;DisplayText&gt;(Hu and Moran 2005; McCarthy et al. 2000)&lt;/DisplayText&gt;&lt;record&gt;&lt;rec-number&gt;775&lt;/rec-number&gt;&lt;foreign-keys&gt;&lt;key app="EN" db-id="rzwe2tae7rs0abe55xgp55w8xtdf5xp9dwrd"&gt;775&lt;/key&gt;&lt;/foreign-keys&gt;&lt;ref-type name="Journal Article"&gt;17&lt;/ref-type&gt;&lt;contributors&gt;&lt;authors&gt;&lt;author&gt;Hu, Q. H.&lt;/author&gt;&lt;author&gt;Moran, J. E.&lt;/author&gt;&lt;/authors&gt;&lt;/contributors&gt;&lt;titles&gt;&lt;title&gt;Simultaneous analyses and applications of multiple fluorobenzoate and halide tracers in hydrologic studies&lt;/title&gt;&lt;secondary-title&gt;Hydrological Processes&lt;/secondary-title&gt;&lt;/titles&gt;&lt;periodical&gt;&lt;full-title&gt;Hydrological Processes&lt;/full-title&gt;&lt;/periodical&gt;&lt;pages&gt;2671-2687&lt;/pages&gt;&lt;volume&gt;19&lt;/volume&gt;&lt;number&gt;14&lt;/number&gt;&lt;dates&gt;&lt;year&gt;2005&lt;/year&gt;&lt;pub-dates&gt;&lt;date&gt;Sep&lt;/date&gt;&lt;/pub-dates&gt;&lt;/dates&gt;&lt;isbn&gt;0885-6087&lt;/isbn&gt;&lt;accession-num&gt;WOS:000232210200002&lt;/accession-num&gt;&lt;urls&gt;&lt;related-urls&gt;&lt;url&gt;&amp;lt;Go to ISI&amp;gt;://WOS:000232210200002&lt;/url&gt;&lt;/related-urls&gt;&lt;/urls&gt;&lt;electronic-resource-num&gt;10.1002/hyp.5780&lt;/electronic-resource-num&gt;&lt;/record&gt;&lt;/Cite&gt;&lt;Cite&gt;&lt;Author&gt;McCarthy&lt;/Author&gt;&lt;Year&gt;2000&lt;/Year&gt;&lt;RecNum&gt;116&lt;/RecNum&gt;&lt;record&gt;&lt;rec-number&gt;116&lt;/rec-number&gt;&lt;foreign-keys&gt;&lt;key app="EN" db-id="rzwe2tae7rs0abe55xgp55w8xtdf5xp9dwrd"&gt;116&lt;/key&gt;&lt;/foreign-keys&gt;&lt;ref-type name="Journal Article"&gt;17&lt;/ref-type&gt;&lt;contributors&gt;&lt;authors&gt;&lt;author&gt;McCarthy, J. F.&lt;/author&gt;&lt;author&gt;Howard, K. M.&lt;/author&gt;&lt;author&gt;McKay, L. D.&lt;/author&gt;&lt;/authors&gt;&lt;/contributors&gt;&lt;titles&gt;&lt;title&gt;Effect of pH on sorption and transport of fluorobenzoic acid ground water tracers&lt;/title&gt;&lt;secondary-title&gt;Journal of Environmental Quality&lt;/secondary-title&gt;&lt;/titles&gt;&lt;periodical&gt;&lt;full-title&gt;Journal of Environmental Quality&lt;/full-title&gt;&lt;/periodical&gt;&lt;pages&gt;1806-1813&lt;/pages&gt;&lt;volume&gt;29&lt;/volume&gt;&lt;number&gt;6&lt;/number&gt;&lt;dates&gt;&lt;year&gt;2000&lt;/year&gt;&lt;pub-dates&gt;&lt;date&gt;Nov-Dec&lt;/date&gt;&lt;/pub-dates&gt;&lt;/dates&gt;&lt;isbn&gt;0047-2425&lt;/isbn&gt;&lt;accession-num&gt;WOS:000165364200010&lt;/accession-num&gt;&lt;urls&gt;&lt;related-urls&gt;&lt;url&gt;&amp;lt;Go to ISI&amp;gt;://WOS:000165364200010&lt;/url&gt;&lt;/related-urls&gt;&lt;/urls&gt;&lt;/record&gt;&lt;/Cite&gt;&lt;/EndNote&gt;</w:instrText>
      </w:r>
      <w:r w:rsidRPr="009C5C84">
        <w:fldChar w:fldCharType="separate"/>
      </w:r>
      <w:r w:rsidRPr="009C5C84">
        <w:rPr>
          <w:noProof/>
        </w:rPr>
        <w:t>(</w:t>
      </w:r>
      <w:hyperlink w:anchor="_ENREF_12" w:tooltip="Hu, 2005 #775" w:history="1">
        <w:r w:rsidRPr="009C5C84">
          <w:rPr>
            <w:noProof/>
          </w:rPr>
          <w:t>Hu and Moran 2005</w:t>
        </w:r>
      </w:hyperlink>
      <w:r w:rsidRPr="009C5C84">
        <w:rPr>
          <w:noProof/>
        </w:rPr>
        <w:t xml:space="preserve">; </w:t>
      </w:r>
      <w:hyperlink w:anchor="_ENREF_20" w:tooltip="McCarthy, 2000 #116" w:history="1">
        <w:r w:rsidRPr="009C5C84">
          <w:rPr>
            <w:noProof/>
          </w:rPr>
          <w:t>McCarthy et al</w:t>
        </w:r>
        <w:r>
          <w:rPr>
            <w:noProof/>
          </w:rPr>
          <w:t xml:space="preserve">. </w:t>
        </w:r>
        <w:r w:rsidRPr="009C5C84">
          <w:rPr>
            <w:noProof/>
          </w:rPr>
          <w:t>2000</w:t>
        </w:r>
      </w:hyperlink>
      <w:r w:rsidRPr="009C5C84">
        <w:rPr>
          <w:noProof/>
        </w:rPr>
        <w:t>)</w:t>
      </w:r>
      <w:r w:rsidRPr="009C5C84">
        <w:fldChar w:fldCharType="end"/>
      </w:r>
      <w:r w:rsidRPr="009C5C84">
        <w:t xml:space="preserve">; the pH at the study site ranges from approximately 6.5 to 8 </w:t>
      </w:r>
      <w:r w:rsidRPr="009C5C84">
        <w:fldChar w:fldCharType="begin"/>
      </w:r>
      <w:r>
        <w:instrText xml:space="preserve"> ADDIN EN.CITE &lt;EndNote&gt;&lt;Cite&gt;&lt;Author&gt;Paradis&lt;/Author&gt;&lt;Year&gt;2016&lt;/Year&gt;&lt;RecNum&gt;1&lt;/RecNum&gt;&lt;DisplayText&gt;(Paradis et al. 2016)&lt;/DisplayText&gt;&lt;record&gt;&lt;rec-number&gt;1&lt;/rec-number&gt;&lt;foreign-keys&gt;&lt;key app="EN" db-id="rzwe2tae7rs0abe55xgp55w8xtdf5xp9dwrd"&gt;1&lt;/key&gt;&lt;/foreign-keys&gt;&lt;ref-type name="Journal Article"&gt;17&lt;/ref-type&gt;&lt;contributors&gt;&lt;authors&gt;&lt;author&gt;Paradis, Charles J.&lt;/author&gt;&lt;author&gt;Jagadamma, Sindhu&lt;/author&gt;&lt;author&gt;Watson, David B.&lt;/author&gt;&lt;author&gt;McKay, Larry D.&lt;/author&gt;&lt;author&gt;Hazen, Terry C.&lt;/author&gt;&lt;author&gt;Park, Melora&lt;/author&gt;&lt;author&gt;Istok, Jonathan D.&lt;/author&gt;&lt;/authors&gt;&lt;/contributors&gt;&lt;titles&gt;&lt;title&gt;In situ mobility of uranium in the presence of nitrate following sulfate-reducing conditions&lt;/title&gt;&lt;secondary-title&gt;Journal of Contaminant Hydrology&lt;/secondary-title&gt;&lt;/titles&gt;&lt;periodical&gt;&lt;full-title&gt;Journal of contaminant hydrology&lt;/full-title&gt;&lt;/periodical&gt;&lt;pages&gt;55-64&lt;/pages&gt;&lt;volume&gt;187&lt;/volume&gt;&lt;dates&gt;&lt;year&gt;2016&lt;/year&gt;&lt;pub-dates&gt;&lt;date&gt;2016-Apr&lt;/date&gt;&lt;/pub-dates&gt;&lt;/dates&gt;&lt;accession-num&gt;MEDLINE:26897652&lt;/accession-num&gt;&lt;urls&gt;&lt;related-urls&gt;&lt;url&gt;&amp;lt;Go to ISI&amp;gt;://MEDLINE:26897652&lt;/url&gt;&lt;url&gt;http://ac.els-cdn.com/S0169772216300201/1-s2.0-S0169772216300201-main.pdf?_tid=ca2124d0-081b-11e6-94e3-00000aacb35f&amp;amp;acdnat=1461282793_85f4b0d6470714e0f46b4e949907bbf8&lt;/url&gt;&lt;/related-urls&gt;&lt;/urls&gt;&lt;electronic-resource-num&gt;10.1016/j.jconhyd.2016.02.002&lt;/electronic-resource-num&gt;&lt;/record&gt;&lt;/Cite&gt;&lt;/EndNote&gt;</w:instrText>
      </w:r>
      <w:r w:rsidRPr="009C5C84">
        <w:fldChar w:fldCharType="separate"/>
      </w:r>
      <w:r w:rsidRPr="009C5C84">
        <w:rPr>
          <w:noProof/>
        </w:rPr>
        <w:t>(</w:t>
      </w:r>
      <w:hyperlink w:anchor="_ENREF_25" w:tooltip="Paradis, 2016 #1" w:history="1">
        <w:r w:rsidRPr="009C5C84">
          <w:rPr>
            <w:noProof/>
          </w:rPr>
          <w:t>Paradis et al</w:t>
        </w:r>
        <w:r>
          <w:rPr>
            <w:noProof/>
          </w:rPr>
          <w:t xml:space="preserve">. </w:t>
        </w:r>
        <w:r w:rsidRPr="009C5C84">
          <w:rPr>
            <w:noProof/>
          </w:rPr>
          <w:t>2016</w:t>
        </w:r>
      </w:hyperlink>
      <w:r w:rsidRPr="009C5C84">
        <w:rPr>
          <w:noProof/>
        </w:rPr>
        <w:t>)</w:t>
      </w:r>
      <w:r w:rsidRPr="009C5C84">
        <w:fldChar w:fldCharType="end"/>
      </w:r>
      <w:r w:rsidR="000A5750">
        <w:t xml:space="preserve">. </w:t>
      </w:r>
    </w:p>
    <w:p w14:paraId="32AD9204" w14:textId="55337D2C" w:rsidR="00570627" w:rsidRDefault="00570627" w:rsidP="00570627">
      <w:pPr>
        <w:ind w:firstLine="720"/>
      </w:pPr>
      <w:proofErr w:type="gramStart"/>
      <w:r>
        <w:t>With regard to</w:t>
      </w:r>
      <w:proofErr w:type="gramEnd"/>
      <w:r>
        <w:t xml:space="preserve"> the possible skewness of the breakthrough curves towards the following edge, this suggested that mass transport mechanisms in addition to advection and dispersion and/or anisotropy and heterogeneity of the porous media were present</w:t>
      </w:r>
      <w:r w:rsidR="000A5750">
        <w:t xml:space="preserve">. </w:t>
      </w:r>
      <w:r w:rsidRPr="000121D8">
        <w:t xml:space="preserve">The likelihood that the </w:t>
      </w:r>
      <w:r w:rsidRPr="00A52F44">
        <w:t xml:space="preserve">fill materials </w:t>
      </w:r>
      <w:r w:rsidRPr="000121D8">
        <w:t>w</w:t>
      </w:r>
      <w:r>
        <w:t>ere</w:t>
      </w:r>
      <w:r w:rsidRPr="000121D8">
        <w:t xml:space="preserve"> packed in the vertical direction</w:t>
      </w:r>
      <w:r>
        <w:t xml:space="preserve"> </w:t>
      </w:r>
      <w:r w:rsidRPr="000121D8">
        <w:t xml:space="preserve">suggests that </w:t>
      </w:r>
      <w:r>
        <w:t xml:space="preserve">permeable </w:t>
      </w:r>
      <w:r w:rsidRPr="000121D8">
        <w:t xml:space="preserve">media </w:t>
      </w:r>
      <w:r>
        <w:t xml:space="preserve">at the site </w:t>
      </w:r>
      <w:r w:rsidRPr="000121D8">
        <w:t>were anisotropic</w:t>
      </w:r>
      <w:r w:rsidR="000A5750">
        <w:t xml:space="preserve">. </w:t>
      </w:r>
      <w:r>
        <w:t>The variability in the magnitude of the hydraulic conductivity among the test wells (2.1x10</w:t>
      </w:r>
      <w:r w:rsidRPr="001A1BB1">
        <w:rPr>
          <w:vertAlign w:val="superscript"/>
        </w:rPr>
        <w:t>-6</w:t>
      </w:r>
      <w:r>
        <w:t xml:space="preserve"> m/s to 1.8x10</w:t>
      </w:r>
      <w:r w:rsidRPr="001A1BB1">
        <w:rPr>
          <w:vertAlign w:val="superscript"/>
        </w:rPr>
        <w:t>-5</w:t>
      </w:r>
      <w:r>
        <w:t xml:space="preserve"> m/s) also indicates a certain amount of heterogeneity</w:t>
      </w:r>
      <w:r w:rsidR="000A5750">
        <w:t xml:space="preserve">. </w:t>
      </w:r>
      <w:r>
        <w:t xml:space="preserve">Although a thorough investigation of advection, dispersion, and other mass transport mechanisms was not an objective of this study, the skewness of the breakthrough curves towards the following edge may be attributed to numerous small-scale heterogeneities in aquifer hydraulic properties during radially convergent flow to a well </w:t>
      </w:r>
      <w:r>
        <w:fldChar w:fldCharType="begin"/>
      </w:r>
      <w:r>
        <w:instrText xml:space="preserve"> ADDIN EN.CITE &lt;EndNote&gt;&lt;Cite&gt;&lt;Author&gt;Pedretti&lt;/Author&gt;&lt;Year&gt;2013&lt;/Year&gt;&lt;RecNum&gt;653&lt;/RecNum&gt;&lt;DisplayText&gt;(Pedretti et al. 2013)&lt;/DisplayText&gt;&lt;record&gt;&lt;rec-number&gt;653&lt;/rec-number&gt;&lt;foreign-keys&gt;&lt;key app="EN" db-id="rzwe2tae7rs0abe55xgp55w8xtdf5xp9dwrd"&gt;653&lt;/key&gt;&lt;/foreign-keys&gt;&lt;ref-type name="Journal Article"&gt;17&lt;/ref-type&gt;&lt;contributors&gt;&lt;authors&gt;&lt;author&gt;Pedretti, D.&lt;/author&gt;&lt;author&gt;Fernandez-Garcia, D.&lt;/author&gt;&lt;author&gt;Bolster, D.&lt;/author&gt;&lt;author&gt;Sanchez-Vila, X.&lt;/author&gt;&lt;/authors&gt;&lt;/contributors&gt;&lt;titles&gt;&lt;title&gt;On the formation of breakthrough curves tailing during convergent flow tracer tests in three-dimensional heterogeneous aquifers&lt;/title&gt;&lt;secondary-title&gt;Water Resources Research&lt;/secondary-title&gt;&lt;/titles&gt;&lt;periodical&gt;&lt;full-title&gt;Water Resources Research&lt;/full-title&gt;&lt;/periodical&gt;&lt;pages&gt;4157-4173&lt;/pages&gt;&lt;volume&gt;49&lt;/volume&gt;&lt;number&gt;7&lt;/number&gt;&lt;dates&gt;&lt;year&gt;2013&lt;/year&gt;&lt;pub-dates&gt;&lt;date&gt;Jul&lt;/date&gt;&lt;/pub-dates&gt;&lt;/dates&gt;&lt;isbn&gt;0043-1397&lt;/isbn&gt;&lt;accession-num&gt;WOS:000323419100019&lt;/accession-num&gt;&lt;urls&gt;&lt;related-urls&gt;&lt;url&gt;&amp;lt;Go to ISI&amp;gt;://WOS:000323419100019&lt;/url&gt;&lt;/related-urls&gt;&lt;/urls&gt;&lt;electronic-resource-num&gt;10.1002/wrcr.20330&lt;/electronic-resource-num&gt;&lt;/record&gt;&lt;/Cite&gt;&lt;/EndNote&gt;</w:instrText>
      </w:r>
      <w:r>
        <w:fldChar w:fldCharType="separate"/>
      </w:r>
      <w:r>
        <w:rPr>
          <w:noProof/>
        </w:rPr>
        <w:t>(</w:t>
      </w:r>
      <w:hyperlink w:anchor="_ENREF_26" w:tooltip="Pedretti, 2013 #653" w:history="1">
        <w:r>
          <w:rPr>
            <w:noProof/>
          </w:rPr>
          <w:t>Pedretti et al. 2013</w:t>
        </w:r>
      </w:hyperlink>
      <w:r>
        <w:rPr>
          <w:noProof/>
        </w:rPr>
        <w:t>)</w:t>
      </w:r>
      <w:r>
        <w:fldChar w:fldCharType="end"/>
      </w:r>
      <w:r w:rsidR="000A5750">
        <w:t xml:space="preserve">. </w:t>
      </w:r>
      <w:r w:rsidRPr="004D47D9">
        <w:t xml:space="preserve">In summary, the </w:t>
      </w:r>
      <w:r>
        <w:t xml:space="preserve">breakthrough curves suggested that the injectate drifted some distance beyond the test wells under natural-gradient </w:t>
      </w:r>
      <w:r>
        <w:lastRenderedPageBreak/>
        <w:t>conditions and that an adequate amount of tracer (bromide) was recovered during the pull phase to accurately calculate effective porosity using equations (18) and (20)</w:t>
      </w:r>
      <w:r w:rsidR="000A5750">
        <w:t xml:space="preserve">. </w:t>
      </w:r>
    </w:p>
    <w:p w14:paraId="47C77623" w14:textId="336FCD4A" w:rsidR="00570627" w:rsidRDefault="00570627" w:rsidP="00570627">
      <w:pPr>
        <w:ind w:firstLine="720"/>
      </w:pPr>
      <w:r w:rsidRPr="001F49B0">
        <w:t xml:space="preserve">The effective porosity </w:t>
      </w:r>
      <w:r>
        <w:t xml:space="preserve">values from the expanded equation </w:t>
      </w:r>
      <w:r w:rsidRPr="001F49B0">
        <w:t>(0.</w:t>
      </w:r>
      <w:r>
        <w:t>6%</w:t>
      </w:r>
      <w:r w:rsidRPr="001F49B0">
        <w:t xml:space="preserve"> to </w:t>
      </w:r>
      <w:r>
        <w:t>5</w:t>
      </w:r>
      <w:r w:rsidRPr="001F49B0">
        <w:t>.</w:t>
      </w:r>
      <w:r>
        <w:t>0</w:t>
      </w:r>
      <w:r w:rsidRPr="001F49B0">
        <w:t xml:space="preserve">%) </w:t>
      </w:r>
      <w:r>
        <w:t>were substantially larger than those from the truncated equation (</w:t>
      </w:r>
      <w:r w:rsidRPr="001F49B0">
        <w:t>0.</w:t>
      </w:r>
      <w:r>
        <w:t>1%</w:t>
      </w:r>
      <w:r w:rsidRPr="001F49B0">
        <w:t xml:space="preserve"> to </w:t>
      </w:r>
      <w:r>
        <w:t>1</w:t>
      </w:r>
      <w:r w:rsidRPr="001F49B0">
        <w:t>.</w:t>
      </w:r>
      <w:r>
        <w:t>3</w:t>
      </w:r>
      <w:r w:rsidRPr="001F49B0">
        <w:t>%</w:t>
      </w:r>
      <w:r>
        <w:t>) which indicated that the transport of the tracer during the injection phase was not truly negligible</w:t>
      </w:r>
      <w:r w:rsidR="000A5750">
        <w:t xml:space="preserve">. </w:t>
      </w:r>
      <w:r>
        <w:t xml:space="preserve">From </w:t>
      </w:r>
      <w:r>
        <w:fldChar w:fldCharType="begin"/>
      </w:r>
      <w:r>
        <w:instrText xml:space="preserve"> ADDIN EN.CITE &lt;EndNote&gt;&lt;Cite AuthorYear="1"&gt;&lt;Author&gt;Hall&lt;/Author&gt;&lt;Year&gt;1991&lt;/Year&gt;&lt;RecNum&gt;107&lt;/RecNum&gt;&lt;DisplayText&gt;Hall et al. (1991)&lt;/DisplayText&gt;&lt;record&gt;&lt;rec-number&gt;107&lt;/rec-number&gt;&lt;foreign-keys&gt;&lt;key app="EN" db-id="rzwe2tae7rs0abe55xgp55w8xtdf5xp9dwrd"&gt;107&lt;/key&gt;&lt;/foreign-keys&gt;&lt;ref-type name="Journal Article"&gt;17&lt;/ref-type&gt;&lt;contributors&gt;&lt;authors&gt;&lt;author&gt;Hall, S. H.&lt;/author&gt;&lt;author&gt;Luttrell, S. P.&lt;/author&gt;&lt;author&gt;Cronin, W. E.&lt;/author&gt;&lt;/authors&gt;&lt;/contributors&gt;&lt;titles&gt;&lt;title&gt;A method for estimating effective porosity and groundwater velocity&lt;/title&gt;&lt;secondary-title&gt;Ground Water&lt;/secondary-title&gt;&lt;/titles&gt;&lt;periodical&gt;&lt;full-title&gt;Ground Water&lt;/full-title&gt;&lt;abbr-1&gt;Ground Water&lt;/abbr-1&gt;&lt;/periodical&gt;&lt;pages&gt;171-174&lt;/pages&gt;&lt;volume&gt;29&lt;/volume&gt;&lt;number&gt;2&lt;/number&gt;&lt;dates&gt;&lt;year&gt;1991&lt;/year&gt;&lt;pub-dates&gt;&lt;date&gt;Mar-Apr&lt;/date&gt;&lt;/pub-dates&gt;&lt;/dates&gt;&lt;isbn&gt;0017-467X&lt;/isbn&gt;&lt;accession-num&gt;WOS:A1991FA88300002&lt;/accession-num&gt;&lt;urls&gt;&lt;related-urls&gt;&lt;url&gt;&amp;lt;Go to ISI&amp;gt;://WOS:A1991FA88300002&lt;/url&gt;&lt;url&gt;http://onlinelibrary.wiley.com/doi/10.1111/j.1745-6584.1991.tb00506.x/abstract&lt;/url&gt;&lt;/related-urls&gt;&lt;/urls&gt;&lt;electronic-resource-num&gt;10.1111/j.1745-6584.1991.tb00506.x&lt;/electronic-resource-num&gt;&lt;/record&gt;&lt;/Cite&gt;&lt;/EndNote&gt;</w:instrText>
      </w:r>
      <w:r>
        <w:fldChar w:fldCharType="separate"/>
      </w:r>
      <w:hyperlink w:anchor="_ENREF_8" w:tooltip="Hall, 1991 #107" w:history="1">
        <w:r>
          <w:rPr>
            <w:noProof/>
          </w:rPr>
          <w:t>Hall et al. (1991</w:t>
        </w:r>
      </w:hyperlink>
      <w:r>
        <w:rPr>
          <w:noProof/>
        </w:rPr>
        <w:t>)</w:t>
      </w:r>
      <w:r>
        <w:fldChar w:fldCharType="end"/>
      </w:r>
      <w:r>
        <w:t>, the effective porosity values were almost identical (6.3% versus 6.2%) which indicated that the transport of the tracer during the injection phase of was truly negligible</w:t>
      </w:r>
      <w:r w:rsidR="000A5750">
        <w:t xml:space="preserve">. </w:t>
      </w:r>
      <w:r>
        <w:t xml:space="preserve">From </w:t>
      </w:r>
      <w:r>
        <w:fldChar w:fldCharType="begin"/>
      </w:r>
      <w:r>
        <w:instrText xml:space="preserve"> ADDIN EN.CITE &lt;EndNote&gt;&lt;Cite AuthorYear="1"&gt;&lt;Author&gt;Istok&lt;/Author&gt;&lt;Year&gt;2013&lt;/Year&gt;&lt;RecNum&gt;549&lt;/RecNum&gt;&lt;DisplayText&gt;Istok (2013)&lt;/DisplayText&gt;&lt;record&gt;&lt;rec-number&gt;549&lt;/rec-number&gt;&lt;foreign-keys&gt;&lt;key app="EN" db-id="rzwe2tae7rs0abe55xgp55w8xtdf5xp9dwrd"&gt;549&lt;/key&gt;&lt;/foreign-keys&gt;&lt;ref-type name="Book"&gt;6&lt;/ref-type&gt;&lt;contributors&gt;&lt;authors&gt;&lt;author&gt;Jonathan David Istok&lt;/author&gt;&lt;/authors&gt;&lt;/contributors&gt;&lt;titles&gt;&lt;title&gt;Push-Pull Tests for Site Characterization&lt;/title&gt;&lt;secondary-title&gt;Lecture Notes in Earth System Sciences&lt;/secondary-title&gt;&lt;/titles&gt;&lt;dates&gt;&lt;year&gt;2013&lt;/year&gt;&lt;/dates&gt;&lt;pub-location&gt;Corvaillis, OR, USA&lt;/pub-location&gt;&lt;publisher&gt;Springer&lt;/publisher&gt;&lt;isbn&gt;2193-8571&lt;/isbn&gt;&lt;urls&gt;&lt;/urls&gt;&lt;electronic-resource-num&gt;10.1007/978-3-642-13920-8&lt;/electronic-resource-num&gt;&lt;/record&gt;&lt;/Cite&gt;&lt;/EndNote&gt;</w:instrText>
      </w:r>
      <w:r>
        <w:fldChar w:fldCharType="separate"/>
      </w:r>
      <w:hyperlink w:anchor="_ENREF_13" w:tooltip="Istok, 2013 #549" w:history="1">
        <w:r>
          <w:rPr>
            <w:noProof/>
          </w:rPr>
          <w:t>Istok (2013</w:t>
        </w:r>
      </w:hyperlink>
      <w:r>
        <w:rPr>
          <w:noProof/>
        </w:rPr>
        <w:t>)</w:t>
      </w:r>
      <w:r>
        <w:fldChar w:fldCharType="end"/>
      </w:r>
      <w:r>
        <w:t>, the effective porosity values were notably different (38% versus 13%), as in the tests presented here, which indicated that the transport of the tracer during the injection phase was not truly negligible</w:t>
      </w:r>
      <w:r w:rsidR="000A5750">
        <w:t xml:space="preserve">. </w:t>
      </w:r>
      <w:r>
        <w:t xml:space="preserve">Therefore, the agreement, or lack thereof, of effective porosity from the expanded versus the truncated equation can clearly identify and quantify the relative importance of accounting for the transport of tracer during the injection phase, as shown in the tests presented here and in those from the literature </w:t>
      </w:r>
      <w:r>
        <w:fldChar w:fldCharType="begin"/>
      </w:r>
      <w:r>
        <w:instrText xml:space="preserve"> ADDIN EN.CITE &lt;EndNote&gt;&lt;Cite&gt;&lt;Author&gt;Hall&lt;/Author&gt;&lt;Year&gt;1991&lt;/Year&gt;&lt;RecNum&gt;107&lt;/RecNum&gt;&lt;DisplayText&gt;(Hall et al. 1991; Istok 2013)&lt;/DisplayText&gt;&lt;record&gt;&lt;rec-number&gt;107&lt;/rec-number&gt;&lt;foreign-keys&gt;&lt;key app="EN" db-id="rzwe2tae7rs0abe55xgp55w8xtdf5xp9dwrd"&gt;107&lt;/key&gt;&lt;/foreign-keys&gt;&lt;ref-type name="Journal Article"&gt;17&lt;/ref-type&gt;&lt;contributors&gt;&lt;authors&gt;&lt;author&gt;Hall, S. H.&lt;/author&gt;&lt;author&gt;Luttrell, S. P.&lt;/author&gt;&lt;author&gt;Cronin, W. E.&lt;/author&gt;&lt;/authors&gt;&lt;/contributors&gt;&lt;titles&gt;&lt;title&gt;A method for estimating effective porosity and groundwater velocity&lt;/title&gt;&lt;secondary-title&gt;Ground Water&lt;/secondary-title&gt;&lt;/titles&gt;&lt;periodical&gt;&lt;full-title&gt;Ground Water&lt;/full-title&gt;&lt;abbr-1&gt;Ground Water&lt;/abbr-1&gt;&lt;/periodical&gt;&lt;pages&gt;171-174&lt;/pages&gt;&lt;volume&gt;29&lt;/volume&gt;&lt;number&gt;2&lt;/number&gt;&lt;dates&gt;&lt;year&gt;1991&lt;/year&gt;&lt;pub-dates&gt;&lt;date&gt;Mar-Apr&lt;/date&gt;&lt;/pub-dates&gt;&lt;/dates&gt;&lt;isbn&gt;0017-467X&lt;/isbn&gt;&lt;accession-num&gt;WOS:A1991FA88300002&lt;/accession-num&gt;&lt;urls&gt;&lt;related-urls&gt;&lt;url&gt;&amp;lt;Go to ISI&amp;gt;://WOS:A1991FA88300002&lt;/url&gt;&lt;url&gt;http://onlinelibrary.wiley.com/doi/10.1111/j.1745-6584.1991.tb00506.x/abstract&lt;/url&gt;&lt;/related-urls&gt;&lt;/urls&gt;&lt;electronic-resource-num&gt;10.1111/j.1745-6584.1991.tb00506.x&lt;/electronic-resource-num&gt;&lt;/record&gt;&lt;/Cite&gt;&lt;Cite&gt;&lt;Author&gt;Istok&lt;/Author&gt;&lt;Year&gt;2013&lt;/Year&gt;&lt;RecNum&gt;549&lt;/RecNum&gt;&lt;record&gt;&lt;rec-number&gt;549&lt;/rec-number&gt;&lt;foreign-keys&gt;&lt;key app="EN" db-id="rzwe2tae7rs0abe55xgp55w8xtdf5xp9dwrd"&gt;549&lt;/key&gt;&lt;/foreign-keys&gt;&lt;ref-type name="Book"&gt;6&lt;/ref-type&gt;&lt;contributors&gt;&lt;authors&gt;&lt;author&gt;Jonathan David Istok&lt;/author&gt;&lt;/authors&gt;&lt;/contributors&gt;&lt;titles&gt;&lt;title&gt;Push-Pull Tests for Site Characterization&lt;/title&gt;&lt;secondary-title&gt;Lecture Notes in Earth System Sciences&lt;/secondary-title&gt;&lt;/titles&gt;&lt;dates&gt;&lt;year&gt;2013&lt;/year&gt;&lt;/dates&gt;&lt;pub-location&gt;Corvaillis, OR, USA&lt;/pub-location&gt;&lt;publisher&gt;Springer&lt;/publisher&gt;&lt;isbn&gt;2193-8571&lt;/isbn&gt;&lt;urls&gt;&lt;/urls&gt;&lt;electronic-resource-num&gt;10.1007/978-3-642-13920-8&lt;/electronic-resource-num&gt;&lt;/record&gt;&lt;/Cite&gt;&lt;/EndNote&gt;</w:instrText>
      </w:r>
      <w:r>
        <w:fldChar w:fldCharType="separate"/>
      </w:r>
      <w:r>
        <w:rPr>
          <w:noProof/>
        </w:rPr>
        <w:t>(</w:t>
      </w:r>
      <w:hyperlink w:anchor="_ENREF_8" w:tooltip="Hall, 1991 #107" w:history="1">
        <w:r>
          <w:rPr>
            <w:noProof/>
          </w:rPr>
          <w:t>Hall et al. 1991</w:t>
        </w:r>
      </w:hyperlink>
      <w:r>
        <w:rPr>
          <w:noProof/>
        </w:rPr>
        <w:t xml:space="preserve">; </w:t>
      </w:r>
      <w:hyperlink w:anchor="_ENREF_13" w:tooltip="Istok, 2013 #549" w:history="1">
        <w:r>
          <w:rPr>
            <w:noProof/>
          </w:rPr>
          <w:t>Istok 2013</w:t>
        </w:r>
      </w:hyperlink>
      <w:r>
        <w:rPr>
          <w:noProof/>
        </w:rPr>
        <w:t>)</w:t>
      </w:r>
      <w:r>
        <w:fldChar w:fldCharType="end"/>
      </w:r>
      <w:r>
        <w:t xml:space="preserve">. </w:t>
      </w:r>
    </w:p>
    <w:p w14:paraId="4A0BF445" w14:textId="5876A845" w:rsidR="00570627" w:rsidRPr="0009740A" w:rsidRDefault="00570627" w:rsidP="00570627">
      <w:pPr>
        <w:ind w:firstLine="720"/>
      </w:pPr>
      <w:r>
        <w:t>The negative value of effective porosity (-0.1%), using the expanded equation for test well FW225, suggested that the volume of water extracted until the center of mass of the tracer was recovered (</w:t>
      </w:r>
      <w:r>
        <w:rPr>
          <w:rFonts w:cs="Times New Roman"/>
        </w:rPr>
        <w:t>Ѷ</w:t>
      </w:r>
      <w:r>
        <w:rPr>
          <w:vertAlign w:val="subscript"/>
        </w:rPr>
        <w:t>e</w:t>
      </w:r>
      <w:r>
        <w:t>) was less than the volume of water injected until the center of mass of the tracer was released (</w:t>
      </w:r>
      <w:r>
        <w:rPr>
          <w:rFonts w:cs="Times New Roman"/>
        </w:rPr>
        <w:t>Ѷ</w:t>
      </w:r>
      <w:r>
        <w:rPr>
          <w:vertAlign w:val="subscript"/>
        </w:rPr>
        <w:t>i</w:t>
      </w:r>
      <w:r>
        <w:t>); this is impossible due to the law of conservation of mass</w:t>
      </w:r>
      <w:r w:rsidR="000A5750">
        <w:t xml:space="preserve">. </w:t>
      </w:r>
      <w:r>
        <w:t>An inspection of the breakthrough curve of bromide for test well FW225 shows that pumping stopped despite bromide concentrations greater than 20 mg/L, whereas pumping stopped in the remaining five test wells at bromide concentrations less than 10 mg/L</w:t>
      </w:r>
      <w:r w:rsidR="000A5750">
        <w:t xml:space="preserve">. </w:t>
      </w:r>
      <w:r>
        <w:t>Therefore, it is likely that the total pump-back time in test well FW225 was too short to return an adequate volume of water representative of the true center of mass of bromide</w:t>
      </w:r>
      <w:r w:rsidR="000A5750">
        <w:t xml:space="preserve">. </w:t>
      </w:r>
      <w:r>
        <w:t xml:space="preserve">As expected, this error in the application and data analysis </w:t>
      </w:r>
      <w:r>
        <w:lastRenderedPageBreak/>
        <w:t>of the push-pull test goes unrecognized when using the truncated equation, as shown by a positive value of effective porosity (0.1%) for test well FW225</w:t>
      </w:r>
      <w:r w:rsidR="000A5750">
        <w:t xml:space="preserve">. </w:t>
      </w:r>
    </w:p>
    <w:p w14:paraId="47A6CB3D" w14:textId="37BFADFB" w:rsidR="00570627" w:rsidRDefault="00570627" w:rsidP="00570627">
      <w:pPr>
        <w:ind w:firstLine="720"/>
      </w:pPr>
      <w:r w:rsidRPr="001F49B0">
        <w:t xml:space="preserve">The effective porosity </w:t>
      </w:r>
      <w:r>
        <w:t xml:space="preserve">values from the expanded equation </w:t>
      </w:r>
      <w:r w:rsidRPr="001F49B0">
        <w:t>(0.</w:t>
      </w:r>
      <w:r>
        <w:t>6%</w:t>
      </w:r>
      <w:r w:rsidRPr="001F49B0">
        <w:t xml:space="preserve"> to </w:t>
      </w:r>
      <w:r>
        <w:t>5</w:t>
      </w:r>
      <w:r w:rsidRPr="001F49B0">
        <w:t>.</w:t>
      </w:r>
      <w:r>
        <w:t>0</w:t>
      </w:r>
      <w:r w:rsidRPr="001F49B0">
        <w:t xml:space="preserve">%) </w:t>
      </w:r>
      <w:r>
        <w:t xml:space="preserve">were more similar to </w:t>
      </w:r>
      <w:r w:rsidRPr="00481B43">
        <w:t>those calculated from field-scale tracer-based studies conducted in</w:t>
      </w:r>
      <w:r>
        <w:t xml:space="preserve"> unconsolidated, heterogeneous, and fine-grained </w:t>
      </w:r>
      <w:r w:rsidRPr="00481B43">
        <w:t>granular porous media</w:t>
      </w:r>
      <w:r>
        <w:t xml:space="preserve"> whereas those from the truncated equation (</w:t>
      </w:r>
      <w:r w:rsidRPr="001F49B0">
        <w:t>0.</w:t>
      </w:r>
      <w:r>
        <w:t>1%</w:t>
      </w:r>
      <w:r w:rsidRPr="001F49B0">
        <w:t xml:space="preserve"> to </w:t>
      </w:r>
      <w:r>
        <w:t>1</w:t>
      </w:r>
      <w:r w:rsidRPr="001F49B0">
        <w:t>.</w:t>
      </w:r>
      <w:r>
        <w:t>3</w:t>
      </w:r>
      <w:r w:rsidRPr="001F49B0">
        <w:t>%</w:t>
      </w:r>
      <w:r>
        <w:t xml:space="preserve">) were more similar to those from </w:t>
      </w:r>
      <w:r w:rsidRPr="00D45016">
        <w:t>fractured p</w:t>
      </w:r>
      <w:r w:rsidRPr="00481B43">
        <w:t xml:space="preserve">orous media </w:t>
      </w:r>
      <w:r w:rsidRPr="00D45016">
        <w:fldChar w:fldCharType="begin">
          <w:fldData xml:space="preserve">PEVuZE5vdGU+PENpdGU+PEF1dGhvcj5HZWxoYXI8L0F1dGhvcj48WWVhcj4xOTkyPC9ZZWFyPjxS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</w:fldData>
        </w:fldChar>
      </w:r>
      <w:r>
        <w:instrText xml:space="preserve"> ADDIN EN.CITE </w:instrText>
      </w:r>
      <w:r>
        <w:fldChar w:fldCharType="begin">
          <w:fldData xml:space="preserve">PEVuZE5vdGU+PENpdGU+PEF1dGhvcj5HZWxoYXI8L0F1dGhvcj48WWVhcj4xOTkyPC9ZZWFyPjxS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</w:fldData>
        </w:fldChar>
      </w:r>
      <w:r>
        <w:instrText xml:space="preserve"> ADDIN EN.CITE.DATA </w:instrText>
      </w:r>
      <w:r>
        <w:fldChar w:fldCharType="end"/>
      </w:r>
      <w:r w:rsidRPr="00D45016">
        <w:fldChar w:fldCharType="separate"/>
      </w:r>
      <w:r>
        <w:rPr>
          <w:noProof/>
        </w:rPr>
        <w:t>(</w:t>
      </w:r>
      <w:hyperlink w:anchor="_ENREF_7" w:tooltip="Gelhar, 1992 #327" w:history="1">
        <w:r>
          <w:rPr>
            <w:noProof/>
          </w:rPr>
          <w:t>Gelhar et al. 1992</w:t>
        </w:r>
      </w:hyperlink>
      <w:r>
        <w:rPr>
          <w:noProof/>
        </w:rPr>
        <w:t xml:space="preserve">; </w:t>
      </w:r>
      <w:hyperlink w:anchor="_ENREF_8" w:tooltip="Hall, 1991 #107" w:history="1">
        <w:r>
          <w:rPr>
            <w:noProof/>
          </w:rPr>
          <w:t>Hall et al. 1991</w:t>
        </w:r>
      </w:hyperlink>
      <w:r>
        <w:rPr>
          <w:noProof/>
        </w:rPr>
        <w:t xml:space="preserve">; </w:t>
      </w:r>
      <w:hyperlink w:anchor="_ENREF_30" w:tooltip="Stephens, 1998 #502" w:history="1">
        <w:r>
          <w:rPr>
            <w:noProof/>
          </w:rPr>
          <w:t>Stephens et al. 1998</w:t>
        </w:r>
      </w:hyperlink>
      <w:r>
        <w:rPr>
          <w:noProof/>
        </w:rPr>
        <w:t>)</w:t>
      </w:r>
      <w:r w:rsidRPr="00D45016">
        <w:fldChar w:fldCharType="end"/>
      </w:r>
      <w:r w:rsidR="000A5750">
        <w:t xml:space="preserve">. </w:t>
      </w:r>
      <w:r>
        <w:t>Based on the hydrogeology of the study site, i.e., s</w:t>
      </w:r>
      <w:r w:rsidRPr="0001012B">
        <w:t>ilty</w:t>
      </w:r>
      <w:r>
        <w:t xml:space="preserve"> and </w:t>
      </w:r>
      <w:r w:rsidRPr="0001012B">
        <w:t>clayey</w:t>
      </w:r>
      <w:r>
        <w:t xml:space="preserve"> fill, the effective porosity values from the expanded equation are likely more accurate than those from the truncated equation</w:t>
      </w:r>
      <w:r w:rsidR="000A5750">
        <w:t xml:space="preserve">. </w:t>
      </w:r>
      <w:r>
        <w:t xml:space="preserve">Moreover, the push-pull tests by </w:t>
      </w:r>
      <w:r>
        <w:fldChar w:fldCharType="begin"/>
      </w:r>
      <w:r>
        <w:instrText xml:space="preserve"> ADDIN EN.CITE &lt;EndNote&gt;&lt;Cite AuthorYear="1"&gt;&lt;Author&gt;Istok&lt;/Author&gt;&lt;Year&gt;2013&lt;/Year&gt;&lt;RecNum&gt;549&lt;/RecNum&gt;&lt;DisplayText&gt;Istok (2013)&lt;/DisplayText&gt;&lt;record&gt;&lt;rec-number&gt;549&lt;/rec-number&gt;&lt;foreign-keys&gt;&lt;key app="EN" db-id="rzwe2tae7rs0abe55xgp55w8xtdf5xp9dwrd"&gt;549&lt;/key&gt;&lt;/foreign-keys&gt;&lt;ref-type name="Book"&gt;6&lt;/ref-type&gt;&lt;contributors&gt;&lt;authors&gt;&lt;author&gt;Jonathan David Istok&lt;/author&gt;&lt;/authors&gt;&lt;/contributors&gt;&lt;titles&gt;&lt;title&gt;Push-Pull Tests for Site Characterization&lt;/title&gt;&lt;secondary-title&gt;Lecture Notes in Earth System Sciences&lt;/secondary-title&gt;&lt;/titles&gt;&lt;dates&gt;&lt;year&gt;2013&lt;/year&gt;&lt;/dates&gt;&lt;pub-location&gt;Corvaillis, OR, USA&lt;/pub-location&gt;&lt;publisher&gt;Springer&lt;/publisher&gt;&lt;isbn&gt;2193-8571&lt;/isbn&gt;&lt;urls&gt;&lt;/urls&gt;&lt;electronic-resource-num&gt;10.1007/978-3-642-13920-8&lt;/electronic-resource-num&gt;&lt;/record&gt;&lt;/Cite&gt;&lt;/EndNote&gt;</w:instrText>
      </w:r>
      <w:r>
        <w:fldChar w:fldCharType="separate"/>
      </w:r>
      <w:hyperlink w:anchor="_ENREF_13" w:tooltip="Istok, 2013 #549" w:history="1">
        <w:r>
          <w:rPr>
            <w:noProof/>
          </w:rPr>
          <w:t>Istok (2013</w:t>
        </w:r>
      </w:hyperlink>
      <w:r>
        <w:rPr>
          <w:noProof/>
        </w:rPr>
        <w:t>)</w:t>
      </w:r>
      <w:r>
        <w:fldChar w:fldCharType="end"/>
      </w:r>
      <w:r>
        <w:t xml:space="preserve"> were conducted in a gravel and sand aquifer, which also suggests that the effective porosity of 38% from the expanded equation is likely more accurate than the 13% from the truncated equation</w:t>
      </w:r>
      <w:r w:rsidR="000A5750">
        <w:t xml:space="preserve">. </w:t>
      </w:r>
      <w:r>
        <w:t>However</w:t>
      </w:r>
      <w:r w:rsidRPr="00841D98">
        <w:t>, it must be emphasized that values of effective porosity are dependent on the type of tracer</w:t>
      </w:r>
      <w:r>
        <w:t xml:space="preserve"> and the nature of the porous media</w:t>
      </w:r>
      <w:r w:rsidR="000A5750">
        <w:t xml:space="preserve">. </w:t>
      </w:r>
      <w:r w:rsidRPr="00841D98">
        <w:t xml:space="preserve">For example, in column experiments by </w:t>
      </w:r>
      <w:r w:rsidRPr="00841D98">
        <w:fldChar w:fldCharType="begin"/>
      </w:r>
      <w:r w:rsidRPr="00841D98">
        <w:instrText xml:space="preserve"> ADDIN EN.CITE &lt;EndNote&gt;&lt;Cite AuthorYear="1"&gt;&lt;Author&gt;van der Kamp&lt;/Author&gt;&lt;Year&gt;1996&lt;/Year&gt;&lt;RecNum&gt;776&lt;/RecNum&gt;&lt;DisplayText&gt;van der Kamp et al. (1996)&lt;/DisplayText&gt;&lt;record&gt;&lt;rec-number&gt;776&lt;/rec-number&gt;&lt;foreign-keys&gt;&lt;key app="EN" db-id="rzwe2tae7rs0abe55xgp55w8xtdf5xp9dwrd"&gt;776&lt;/key&gt;&lt;/foreign-keys&gt;&lt;ref-type name="Journal Article"&gt;17&lt;/ref-type&gt;&lt;contributors&gt;&lt;authors&gt;&lt;author&gt;van der Kamp, G.&lt;/author&gt;&lt;author&gt;van Stempvoort, D. R.&lt;/author&gt;&lt;author&gt;Wassenaar, L. I.&lt;/author&gt;&lt;/authors&gt;&lt;/contributors&gt;&lt;titles&gt;&lt;title&gt;The radial diffusion method .1. Using intact cores to determine isotopic composition, chemistry, and effective porosities for groundwater in aquitards&lt;/title&gt;&lt;secondary-title&gt;Water Resources Research&lt;/secondary-title&gt;&lt;/titles&gt;&lt;periodical&gt;&lt;full-title&gt;Water Resources Research&lt;/full-title&gt;&lt;/periodical&gt;&lt;pages&gt;1815-1822&lt;/pages&gt;&lt;volume&gt;32&lt;/volume&gt;&lt;number&gt;6&lt;/number&gt;&lt;dates&gt;&lt;year&gt;1996&lt;/year&gt;&lt;pub-dates&gt;&lt;date&gt;Jun&lt;/date&gt;&lt;/pub-dates&gt;&lt;/dates&gt;&lt;isbn&gt;0043-1397&lt;/isbn&gt;&lt;accession-num&gt;WOS:A1996UN70400032&lt;/accession-num&gt;&lt;urls&gt;&lt;related-urls&gt;&lt;url&gt;&amp;lt;Go to ISI&amp;gt;://WOS:A1996UN70400032&lt;/url&gt;&lt;/related-urls&gt;&lt;/urls&gt;&lt;electronic-resource-num&gt;10.1029/95wr03719&lt;/electronic-resource-num&gt;&lt;/record&gt;&lt;/Cite&gt;&lt;/EndNote&gt;</w:instrText>
      </w:r>
      <w:r w:rsidRPr="00841D98">
        <w:fldChar w:fldCharType="separate"/>
      </w:r>
      <w:hyperlink w:anchor="_ENREF_33" w:tooltip="van der Kamp, 1996 #776" w:history="1">
        <w:r w:rsidRPr="00841D98">
          <w:rPr>
            <w:noProof/>
          </w:rPr>
          <w:t>van der Kamp et al</w:t>
        </w:r>
        <w:r>
          <w:rPr>
            <w:noProof/>
          </w:rPr>
          <w:t xml:space="preserve">. </w:t>
        </w:r>
        <w:r w:rsidRPr="00841D98">
          <w:rPr>
            <w:noProof/>
          </w:rPr>
          <w:t>(1996</w:t>
        </w:r>
      </w:hyperlink>
      <w:r w:rsidRPr="00841D98">
        <w:rPr>
          <w:noProof/>
        </w:rPr>
        <w:t>)</w:t>
      </w:r>
      <w:r w:rsidRPr="00841D98">
        <w:fldChar w:fldCharType="end"/>
      </w:r>
      <w:r w:rsidRPr="00841D98">
        <w:t>, values of effective porosity were equal to or far less than the total porosity, depending on the type of solute tracer</w:t>
      </w:r>
      <w:r w:rsidR="000A5750">
        <w:t xml:space="preserve">. </w:t>
      </w:r>
      <w:r w:rsidRPr="00841D98">
        <w:fldChar w:fldCharType="begin"/>
      </w:r>
      <w:r w:rsidRPr="00841D98">
        <w:instrText xml:space="preserve"> ADDIN EN.CITE &lt;EndNote&gt;&lt;Cite AuthorYear="1"&gt;&lt;Author&gt;van der Kamp&lt;/Author&gt;&lt;Year&gt;1996&lt;/Year&gt;&lt;RecNum&gt;776&lt;/RecNum&gt;&lt;DisplayText&gt;van der Kamp et al. (1996)&lt;/DisplayText&gt;&lt;record&gt;&lt;rec-number&gt;776&lt;/rec-number&gt;&lt;foreign-keys&gt;&lt;key app="EN" db-id="rzwe2tae7rs0abe55xgp55w8xtdf5xp9dwrd"&gt;776&lt;/key&gt;&lt;/foreign-keys&gt;&lt;ref-type name="Journal Article"&gt;17&lt;/ref-type&gt;&lt;contributors&gt;&lt;authors&gt;&lt;author&gt;van der Kamp, G.&lt;/author&gt;&lt;author&gt;van Stempvoort, D. R.&lt;/author&gt;&lt;author&gt;Wassenaar, L. I.&lt;/author&gt;&lt;/authors&gt;&lt;/contributors&gt;&lt;titles&gt;&lt;title&gt;The radial diffusion method .1. Using intact cores to determine isotopic composition, chemistry, and effective porosities for groundwater in aquitards&lt;/title&gt;&lt;secondary-title&gt;Water Resources Research&lt;/secondary-title&gt;&lt;/titles&gt;&lt;periodical&gt;&lt;full-title&gt;Water Resources Research&lt;/full-title&gt;&lt;/periodical&gt;&lt;pages&gt;1815-1822&lt;/pages&gt;&lt;volume&gt;32&lt;/volume&gt;&lt;number&gt;6&lt;/number&gt;&lt;dates&gt;&lt;year&gt;1996&lt;/year&gt;&lt;pub-dates&gt;&lt;date&gt;Jun&lt;/date&gt;&lt;/pub-dates&gt;&lt;/dates&gt;&lt;isbn&gt;0043-1397&lt;/isbn&gt;&lt;accession-num&gt;WOS:A1996UN70400032&lt;/accession-num&gt;&lt;urls&gt;&lt;related-urls&gt;&lt;url&gt;&amp;lt;Go to ISI&amp;gt;://WOS:A1996UN70400032&lt;/url&gt;&lt;/related-urls&gt;&lt;/urls&gt;&lt;electronic-resource-num&gt;10.1029/95wr03719&lt;/electronic-resource-num&gt;&lt;/record&gt;&lt;/Cite&gt;&lt;/EndNote&gt;</w:instrText>
      </w:r>
      <w:r w:rsidRPr="00841D98">
        <w:fldChar w:fldCharType="separate"/>
      </w:r>
      <w:hyperlink w:anchor="_ENREF_33" w:tooltip="van der Kamp, 1996 #776" w:history="1">
        <w:r w:rsidRPr="00841D98">
          <w:rPr>
            <w:noProof/>
          </w:rPr>
          <w:t>van der Kamp et al</w:t>
        </w:r>
        <w:r>
          <w:rPr>
            <w:noProof/>
          </w:rPr>
          <w:t xml:space="preserve">. </w:t>
        </w:r>
        <w:r w:rsidRPr="00841D98">
          <w:rPr>
            <w:noProof/>
          </w:rPr>
          <w:t>(1996</w:t>
        </w:r>
      </w:hyperlink>
      <w:r w:rsidRPr="00841D98">
        <w:rPr>
          <w:noProof/>
        </w:rPr>
        <w:t>)</w:t>
      </w:r>
      <w:r w:rsidRPr="00841D98">
        <w:fldChar w:fldCharType="end"/>
      </w:r>
      <w:r w:rsidRPr="00841D98">
        <w:t xml:space="preserve"> attributed these findings to phenomena such as: </w:t>
      </w:r>
      <w:r>
        <w:t xml:space="preserve">(1) </w:t>
      </w:r>
      <w:r w:rsidRPr="00841D98">
        <w:t xml:space="preserve">ion exclusion, </w:t>
      </w:r>
      <w:r>
        <w:t xml:space="preserve">(2) </w:t>
      </w:r>
      <w:r w:rsidRPr="00841D98">
        <w:t xml:space="preserve">enclosed pores, and </w:t>
      </w:r>
      <w:r>
        <w:t xml:space="preserve">(3) </w:t>
      </w:r>
      <w:r w:rsidRPr="00841D98">
        <w:t>bound water</w:t>
      </w:r>
      <w:r w:rsidR="000A5750">
        <w:t xml:space="preserve">. </w:t>
      </w:r>
      <w:r w:rsidRPr="00841D98">
        <w:t xml:space="preserve">At the nearby west Beak Creek Valley site, </w:t>
      </w:r>
      <w:r w:rsidRPr="00841D98">
        <w:fldChar w:fldCharType="begin"/>
      </w:r>
      <w:r w:rsidRPr="00841D98">
        <w:instrText xml:space="preserve"> ADDIN EN.CITE &lt;EndNote&gt;&lt;Cite AuthorYear="1"&gt;&lt;Author&gt;McKay&lt;/Author&gt;&lt;Year&gt;2000&lt;/Year&gt;&lt;RecNum&gt;648&lt;/RecNum&gt;&lt;DisplayText&gt;McKay et al. (2000)&lt;/DisplayText&gt;&lt;record&gt;&lt;rec-number&gt;648&lt;/rec-number&gt;&lt;foreign-keys&gt;&lt;key app="EN" db-id="rzwe2tae7rs0abe55xgp55w8xtdf5xp9dwrd"&gt;648&lt;/key&gt;&lt;/foreign-keys&gt;&lt;ref-type name="Journal Article"&gt;17&lt;/ref-type&gt;&lt;contributors&gt;&lt;authors&gt;&lt;author&gt;McKay, L. D.&lt;/author&gt;&lt;author&gt;Sanford, W. E.&lt;/author&gt;&lt;author&gt;Strong, J. M.&lt;/author&gt;&lt;/authors&gt;&lt;/contributors&gt;&lt;titles&gt;&lt;title&gt;Field-scale migration of colloidal tracers in a fractured shale saprolite&lt;/title&gt;&lt;secondary-title&gt;Ground Water&lt;/secondary-title&gt;&lt;/titles&gt;&lt;periodical&gt;&lt;full-title&gt;Ground Water&lt;/full-title&gt;&lt;abbr-1&gt;Ground Water&lt;/abbr-1&gt;&lt;/periodical&gt;&lt;pages&gt;139-147&lt;/pages&gt;&lt;volume&gt;38&lt;/volume&gt;&lt;number&gt;1&lt;/number&gt;&lt;dates&gt;&lt;year&gt;2000&lt;/year&gt;&lt;pub-dates&gt;&lt;date&gt;Jan-Feb&lt;/date&gt;&lt;/pub-dates&gt;&lt;/dates&gt;&lt;isbn&gt;0017-467X&lt;/isbn&gt;&lt;accession-num&gt;WOS:000087761100025&lt;/accession-num&gt;&lt;urls&gt;&lt;related-urls&gt;&lt;url&gt;&amp;lt;Go to ISI&amp;gt;://WOS:000087761100025&lt;/url&gt;&lt;/related-urls&gt;&lt;/urls&gt;&lt;electronic-resource-num&gt;10.1111/j.1745-6584.2000.tb00211.x&lt;/electronic-resource-num&gt;&lt;/record&gt;&lt;/Cite&gt;&lt;/EndNote&gt;</w:instrText>
      </w:r>
      <w:r w:rsidRPr="00841D98">
        <w:fldChar w:fldCharType="separate"/>
      </w:r>
      <w:hyperlink w:anchor="_ENREF_21" w:tooltip="McKay, 2000 #648" w:history="1">
        <w:r w:rsidRPr="00841D98">
          <w:rPr>
            <w:noProof/>
          </w:rPr>
          <w:t>McKay et al</w:t>
        </w:r>
        <w:r>
          <w:rPr>
            <w:noProof/>
          </w:rPr>
          <w:t xml:space="preserve">. </w:t>
        </w:r>
        <w:r w:rsidRPr="00841D98">
          <w:rPr>
            <w:noProof/>
          </w:rPr>
          <w:t>(2000</w:t>
        </w:r>
      </w:hyperlink>
      <w:r w:rsidRPr="00841D98">
        <w:rPr>
          <w:noProof/>
        </w:rPr>
        <w:t>)</w:t>
      </w:r>
      <w:r w:rsidRPr="00841D98">
        <w:fldChar w:fldCharType="end"/>
      </w:r>
      <w:r w:rsidRPr="00841D98">
        <w:t xml:space="preserve"> conducted a multi-well natural-gradient tracer study and demonstrated that the mean arrival times of colloidal tracers were up to 500 times faster than those reported for solute tracers from previous tests at the site conducted by </w:t>
      </w:r>
      <w:r w:rsidRPr="00841D98">
        <w:fldChar w:fldCharType="begin"/>
      </w:r>
      <w:r w:rsidRPr="00841D98">
        <w:instrText xml:space="preserve"> ADDIN EN.CITE &lt;EndNote&gt;&lt;Cite AuthorYear="1"&gt;&lt;Author&gt;Lee&lt;/Author&gt;&lt;Year&gt;1992&lt;/Year&gt;&lt;RecNum&gt;777&lt;/RecNum&gt;&lt;DisplayText&gt;Lee et al. (1992)&lt;/DisplayText&gt;&lt;record&gt;&lt;rec-number&gt;777&lt;/rec-number&gt;&lt;foreign-keys&gt;&lt;key app="EN" db-id="rzwe2tae7rs0abe55xgp55w8xtdf5xp9dwrd"&gt;777&lt;/key&gt;&lt;/foreign-keys&gt;&lt;ref-type name="Journal Article"&gt;17&lt;/ref-type&gt;&lt;contributors&gt;&lt;authors&gt;&lt;author&gt;Lee, R. R.&lt;/author&gt;&lt;author&gt;Ketelle, R. H.&lt;/author&gt;&lt;author&gt;Bownds, J. M.&lt;/author&gt;&lt;author&gt;Rizk, T. A.&lt;/author&gt;&lt;/authors&gt;&lt;/contributors&gt;&lt;titles&gt;&lt;title&gt;Aquifer Analysis and Modeling in a Fractured, Heterogeneous Medium&lt;/title&gt;&lt;secondary-title&gt;Ground Water&lt;/secondary-title&gt;&lt;/titles&gt;&lt;periodical&gt;&lt;full-title&gt;Ground Water&lt;/full-title&gt;&lt;abbr-1&gt;Ground Water&lt;/abbr-1&gt;&lt;/periodical&gt;&lt;pages&gt;589-597&lt;/pages&gt;&lt;volume&gt;30&lt;/volume&gt;&lt;number&gt;4&lt;/number&gt;&lt;dates&gt;&lt;year&gt;1992&lt;/year&gt;&lt;pub-dates&gt;&lt;date&gt;Jul-Aug&lt;/date&gt;&lt;/pub-dates&gt;&lt;/dates&gt;&lt;isbn&gt;0017-467X&lt;/isbn&gt;&lt;accession-num&gt;WOS:A1992JB92100014&lt;/accession-num&gt;&lt;urls&gt;&lt;related-urls&gt;&lt;url&gt;&amp;lt;Go to ISI&amp;gt;://WOS:A1992JB92100014&lt;/url&gt;&lt;/related-urls&gt;&lt;/urls&gt;&lt;electronic-resource-num&gt;10.1111/j.1745-6584.1992.tb01535.x&lt;/electronic-resource-num&gt;&lt;/record&gt;&lt;/Cite&gt;&lt;/EndNote&gt;</w:instrText>
      </w:r>
      <w:r w:rsidRPr="00841D98">
        <w:fldChar w:fldCharType="separate"/>
      </w:r>
      <w:hyperlink w:anchor="_ENREF_16" w:tooltip="Lee, 1992 #777" w:history="1">
        <w:r w:rsidRPr="00841D98">
          <w:rPr>
            <w:noProof/>
          </w:rPr>
          <w:t>Lee et al</w:t>
        </w:r>
        <w:r>
          <w:rPr>
            <w:noProof/>
          </w:rPr>
          <w:t xml:space="preserve">. </w:t>
        </w:r>
        <w:r w:rsidRPr="00841D98">
          <w:rPr>
            <w:noProof/>
          </w:rPr>
          <w:t>(1992</w:t>
        </w:r>
      </w:hyperlink>
      <w:r w:rsidRPr="00841D98">
        <w:rPr>
          <w:noProof/>
        </w:rPr>
        <w:t>)</w:t>
      </w:r>
      <w:r w:rsidRPr="00841D98">
        <w:fldChar w:fldCharType="end"/>
      </w:r>
      <w:r w:rsidR="000A5750">
        <w:t xml:space="preserve">. </w:t>
      </w:r>
      <w:r w:rsidRPr="00841D98">
        <w:fldChar w:fldCharType="begin"/>
      </w:r>
      <w:r w:rsidRPr="00841D98">
        <w:instrText xml:space="preserve"> ADDIN EN.CITE &lt;EndNote&gt;&lt;Cite AuthorYear="1"&gt;&lt;Author&gt;McKay&lt;/Author&gt;&lt;Year&gt;2000&lt;/Year&gt;&lt;RecNum&gt;648&lt;/RecNum&gt;&lt;DisplayText&gt;McKay et al. (2000)&lt;/DisplayText&gt;&lt;record&gt;&lt;rec-number&gt;648&lt;/rec-number&gt;&lt;foreign-keys&gt;&lt;key app="EN" db-id="rzwe2tae7rs0abe55xgp55w8xtdf5xp9dwrd"&gt;648&lt;/key&gt;&lt;/foreign-keys&gt;&lt;ref-type name="Journal Article"&gt;17&lt;/ref-type&gt;&lt;contributors&gt;&lt;authors&gt;&lt;author&gt;McKay, L. D.&lt;/author&gt;&lt;author&gt;Sanford, W. E.&lt;/author&gt;&lt;author&gt;Strong, J. M.&lt;/author&gt;&lt;/authors&gt;&lt;/contributors&gt;&lt;titles&gt;&lt;title&gt;Field-scale migration of colloidal tracers in a fractured shale saprolite&lt;/title&gt;&lt;secondary-title&gt;Ground Water&lt;/secondary-title&gt;&lt;/titles&gt;&lt;periodical&gt;&lt;full-title&gt;Ground Water&lt;/full-title&gt;&lt;abbr-1&gt;Ground Water&lt;/abbr-1&gt;&lt;/periodical&gt;&lt;pages&gt;139-147&lt;/pages&gt;&lt;volume&gt;38&lt;/volume&gt;&lt;number&gt;1&lt;/number&gt;&lt;dates&gt;&lt;year&gt;2000&lt;/year&gt;&lt;pub-dates&gt;&lt;date&gt;Jan-Feb&lt;/date&gt;&lt;/pub-dates&gt;&lt;/dates&gt;&lt;isbn&gt;0017-467X&lt;/isbn&gt;&lt;accession-num&gt;WOS:000087761100025&lt;/accession-num&gt;&lt;urls&gt;&lt;related-urls&gt;&lt;url&gt;&amp;lt;Go to ISI&amp;gt;://WOS:000087761100025&lt;/url&gt;&lt;/related-urls&gt;&lt;/urls&gt;&lt;electronic-resource-num&gt;10.1111/j.1745-6584.2000.tb00211.x&lt;/electronic-resource-num&gt;&lt;/record&gt;&lt;/Cite&gt;&lt;/EndNote&gt;</w:instrText>
      </w:r>
      <w:r w:rsidRPr="00841D98">
        <w:fldChar w:fldCharType="separate"/>
      </w:r>
      <w:hyperlink w:anchor="_ENREF_21" w:tooltip="McKay, 2000 #648" w:history="1">
        <w:r w:rsidRPr="00841D98">
          <w:rPr>
            <w:noProof/>
          </w:rPr>
          <w:t>McKay et al</w:t>
        </w:r>
        <w:r>
          <w:rPr>
            <w:noProof/>
          </w:rPr>
          <w:t xml:space="preserve">. </w:t>
        </w:r>
        <w:r w:rsidRPr="00841D98">
          <w:rPr>
            <w:noProof/>
          </w:rPr>
          <w:t>(2000</w:t>
        </w:r>
      </w:hyperlink>
      <w:r w:rsidRPr="00841D98">
        <w:rPr>
          <w:noProof/>
        </w:rPr>
        <w:t>)</w:t>
      </w:r>
      <w:r w:rsidRPr="00841D98">
        <w:fldChar w:fldCharType="end"/>
      </w:r>
      <w:r w:rsidRPr="00841D98">
        <w:t xml:space="preserve"> attributed these findings to greater diffusive</w:t>
      </w:r>
      <w:r>
        <w:t xml:space="preserve"> mass </w:t>
      </w:r>
      <w:r w:rsidRPr="00841D98">
        <w:t>transport of the solute tracers, as opposed to the colloidal tracers, into immobile pore water</w:t>
      </w:r>
      <w:r>
        <w:t xml:space="preserve"> within fine-grained matrix between advection-dominated fractures</w:t>
      </w:r>
      <w:r w:rsidR="000A5750">
        <w:t xml:space="preserve">. </w:t>
      </w:r>
      <w:r w:rsidRPr="00841D98">
        <w:t xml:space="preserve">Therefore, the magnitude of </w:t>
      </w:r>
      <w:r w:rsidRPr="00841D98">
        <w:lastRenderedPageBreak/>
        <w:t xml:space="preserve">the effective porosities calculated in this study, may not be </w:t>
      </w:r>
      <w:r>
        <w:t xml:space="preserve">truly </w:t>
      </w:r>
      <w:r w:rsidRPr="00841D98">
        <w:t>representative of the void space</w:t>
      </w:r>
      <w:r>
        <w:t xml:space="preserve">s through which water can flow. </w:t>
      </w:r>
    </w:p>
    <w:p w14:paraId="64CFCAA2" w14:textId="6C371551" w:rsidR="00570627" w:rsidRPr="00570627" w:rsidRDefault="00570627" w:rsidP="00570627">
      <w:pPr>
        <w:ind w:firstLine="720"/>
      </w:pPr>
      <w:r>
        <w:t>Lastly, and perhaps most importantly, it must be recognized that both the expanded and truncated equations were theoretically developed for confined aquifers as opposed to unconfined aquifers</w:t>
      </w:r>
      <w:r w:rsidR="000A5750">
        <w:t xml:space="preserve">. </w:t>
      </w:r>
      <w:r>
        <w:t xml:space="preserve">However, the only </w:t>
      </w:r>
      <w:r w:rsidR="00AF4FA9">
        <w:rPr>
          <w:i/>
          <w:iCs/>
        </w:rPr>
        <w:t>in situ</w:t>
      </w:r>
      <w:r w:rsidR="00AF4FA9">
        <w:t xml:space="preserve"> </w:t>
      </w:r>
      <w:r>
        <w:t xml:space="preserve">study to experimentally test the validity of the truncated equation was by </w:t>
      </w:r>
      <w:r>
        <w:fldChar w:fldCharType="begin"/>
      </w:r>
      <w:r>
        <w:instrText xml:space="preserve"> ADDIN EN.CITE &lt;EndNote&gt;&lt;Cite AuthorYear="1"&gt;&lt;Author&gt;Hall&lt;/Author&gt;&lt;Year&gt;1991&lt;/Year&gt;&lt;RecNum&gt;107&lt;/RecNum&gt;&lt;DisplayText&gt;Hall et al. (1991)&lt;/DisplayText&gt;&lt;record&gt;&lt;rec-number&gt;107&lt;/rec-number&gt;&lt;foreign-keys&gt;&lt;key app="EN" db-id="rzwe2tae7rs0abe55xgp55w8xtdf5xp9dwrd"&gt;107&lt;/key&gt;&lt;/foreign-keys&gt;&lt;ref-type name="Journal Article"&gt;17&lt;/ref-type&gt;&lt;contributors&gt;&lt;authors&gt;&lt;author&gt;Hall, S. H.&lt;/author&gt;&lt;author&gt;Luttrell, S. P.&lt;/author&gt;&lt;author&gt;Cronin, W. E.&lt;/author&gt;&lt;/authors&gt;&lt;/contributors&gt;&lt;titles&gt;&lt;title&gt;A method for estimating effective porosity and groundwater velocity&lt;/title&gt;&lt;secondary-title&gt;Ground Water&lt;/secondary-title&gt;&lt;/titles&gt;&lt;periodical&gt;&lt;full-title&gt;Ground Water&lt;/full-title&gt;&lt;abbr-1&gt;Ground Water&lt;/abbr-1&gt;&lt;/periodical&gt;&lt;pages&gt;171-174&lt;/pages&gt;&lt;volume&gt;29&lt;/volume&gt;&lt;number&gt;2&lt;/number&gt;&lt;dates&gt;&lt;year&gt;1991&lt;/year&gt;&lt;pub-dates&gt;&lt;date&gt;Mar-Apr&lt;/date&gt;&lt;/pub-dates&gt;&lt;/dates&gt;&lt;isbn&gt;0017-467X&lt;/isbn&gt;&lt;accession-num&gt;WOS:A1991FA88300002&lt;/accession-num&gt;&lt;urls&gt;&lt;related-urls&gt;&lt;url&gt;&amp;lt;Go to ISI&amp;gt;://WOS:A1991FA88300002&lt;/url&gt;&lt;url&gt;http://onlinelibrary.wiley.com/doi/10.1111/j.1745-6584.1991.tb00506.x/abstract&lt;/url&gt;&lt;/related-urls&gt;&lt;/urls&gt;&lt;electronic-resource-num&gt;10.1111/j.1745-6584.1991.tb00506.x&lt;/electronic-resource-num&gt;&lt;/record&gt;&lt;/Cite&gt;&lt;/EndNote&gt;</w:instrText>
      </w:r>
      <w:r>
        <w:fldChar w:fldCharType="separate"/>
      </w:r>
      <w:hyperlink w:anchor="_ENREF_8" w:tooltip="Hall, 1991 #107" w:history="1">
        <w:r>
          <w:rPr>
            <w:noProof/>
          </w:rPr>
          <w:t>Hall et al. (1991</w:t>
        </w:r>
      </w:hyperlink>
      <w:r>
        <w:rPr>
          <w:noProof/>
        </w:rPr>
        <w:t>)</w:t>
      </w:r>
      <w:r>
        <w:fldChar w:fldCharType="end"/>
      </w:r>
      <w:r w:rsidR="000A5750">
        <w:t xml:space="preserve">. </w:t>
      </w:r>
      <w:hyperlink w:anchor="_ENREF_10" w:tooltip="Hall, 1991 #107" w:history="1">
        <w:r>
          <w:rPr>
            <w:noProof/>
          </w:rPr>
          <w:t>Hall et al. (1991</w:t>
        </w:r>
      </w:hyperlink>
      <w:r>
        <w:rPr>
          <w:noProof/>
        </w:rPr>
        <w:t xml:space="preserve">) </w:t>
      </w:r>
      <w:r>
        <w:t>arrived at similar values of effective porosity (</w:t>
      </w:r>
      <w:r>
        <w:rPr>
          <w:rFonts w:cs="Times New Roman"/>
        </w:rPr>
        <w:t xml:space="preserve">≈ </w:t>
      </w:r>
      <w:r>
        <w:t>6%) from both single-well push-pull and dual-well natural-gradient tests which were conducted in an unconfined, heterogeneous, and sandy aquifer</w:t>
      </w:r>
      <w:r w:rsidR="000A5750">
        <w:t xml:space="preserve">. </w:t>
      </w:r>
      <w:r>
        <w:t xml:space="preserve">Therefore, there is clearly a need to theoretically develop and experimentally test both the expanded and truncated solutions for the unconfined case. </w:t>
      </w:r>
    </w:p>
    <w:p w14:paraId="129DA323" w14:textId="77777777" w:rsidR="00E41B76" w:rsidRDefault="00E41B76" w:rsidP="00E41B76">
      <w:pPr>
        <w:pStyle w:val="Heading3"/>
      </w:pPr>
      <w:bookmarkStart w:id="148" w:name="_Toc498505055"/>
      <w:r>
        <w:t>3.5.4.</w:t>
      </w:r>
      <w:r>
        <w:tab/>
        <w:t>Uncertainty analysis</w:t>
      </w:r>
      <w:bookmarkEnd w:id="148"/>
    </w:p>
    <w:p w14:paraId="448839F9" w14:textId="4DB6CDE1" w:rsidR="00570627" w:rsidRPr="00570627" w:rsidRDefault="00570627" w:rsidP="00570627">
      <w:pPr>
        <w:ind w:firstLine="720"/>
      </w:pPr>
      <w:r>
        <w:t xml:space="preserve">The error-propagated uncertainty in the calculated values of effective porosity was relatively small (&lt; </w:t>
      </w:r>
      <w:r>
        <w:rPr>
          <w:rFonts w:cs="Times New Roman"/>
        </w:rPr>
        <w:t xml:space="preserve">± </w:t>
      </w:r>
      <w:r>
        <w:t>1%), due in part, to the careful consideration for the precise determination of the aquifer properties, e.g., hydraulic gradient, hydraulic conductivity, and saturated aquifer thickness, and the push-pull test parameters, e.g., the times and volumes at which the center of mass of bromide was released and recovered</w:t>
      </w:r>
      <w:r w:rsidR="000A5750">
        <w:t xml:space="preserve">. </w:t>
      </w:r>
      <w:r>
        <w:t>However, the uncertainty analysis failed to capture the effects of: (1) the presence and extent of seepage face during extraction pumping and (2) applying an analytical solution developed for a confined aquifer to an unconfined aquifer</w:t>
      </w:r>
      <w:r w:rsidR="000A5750">
        <w:t xml:space="preserve">. </w:t>
      </w:r>
      <w:r>
        <w:t>The presence and extent of seepage face could have been determined using a down-well device with video capability during extraction pumping</w:t>
      </w:r>
      <w:r w:rsidR="000A5750">
        <w:t xml:space="preserve">. </w:t>
      </w:r>
      <w:r>
        <w:t>However, this was not possible due to the small diameter (1.9 cm) of the wells and the presence of down-well tubing (0.64 cm diameter) which limited the physical space to deploy such a device</w:t>
      </w:r>
      <w:r w:rsidR="000A5750">
        <w:t xml:space="preserve">. </w:t>
      </w:r>
      <w:r>
        <w:t>The effects of applying an analytical solution developed for a confined aquifer to the unconfined aquifer in this study was not known</w:t>
      </w:r>
      <w:r w:rsidR="000A5750">
        <w:t xml:space="preserve">. </w:t>
      </w:r>
      <w:r>
        <w:lastRenderedPageBreak/>
        <w:t xml:space="preserve">However, as previously discussed in Section 4.3., </w:t>
      </w:r>
      <w:r>
        <w:fldChar w:fldCharType="begin"/>
      </w:r>
      <w:r>
        <w:instrText xml:space="preserve"> ADDIN EN.CITE &lt;EndNote&gt;&lt;Cite AuthorYear="1"&gt;&lt;Author&gt;Hall&lt;/Author&gt;&lt;Year&gt;1991&lt;/Year&gt;&lt;RecNum&gt;107&lt;/RecNum&gt;&lt;DisplayText&gt;Hall et al. (1991)&lt;/DisplayText&gt;&lt;record&gt;&lt;rec-number&gt;107&lt;/rec-number&gt;&lt;foreign-keys&gt;&lt;key app="EN" db-id="rzwe2tae7rs0abe55xgp55w8xtdf5xp9dwrd"&gt;107&lt;/key&gt;&lt;/foreign-keys&gt;&lt;ref-type name="Journal Article"&gt;17&lt;/ref-type&gt;&lt;contributors&gt;&lt;authors&gt;&lt;author&gt;Hall, S. H.&lt;/author&gt;&lt;author&gt;Luttrell, S. P.&lt;/author&gt;&lt;author&gt;Cronin, W. E.&lt;/author&gt;&lt;/authors&gt;&lt;/contributors&gt;&lt;titles&gt;&lt;title&gt;A method for estimating effective porosity and groundwater velocity&lt;/title&gt;&lt;secondary-title&gt;Ground Water&lt;/secondary-title&gt;&lt;/titles&gt;&lt;periodical&gt;&lt;full-title&gt;Ground Water&lt;/full-title&gt;&lt;abbr-1&gt;Ground Water&lt;/abbr-1&gt;&lt;/periodical&gt;&lt;pages&gt;171-174&lt;/pages&gt;&lt;volume&gt;29&lt;/volume&gt;&lt;number&gt;2&lt;/number&gt;&lt;dates&gt;&lt;year&gt;1991&lt;/year&gt;&lt;pub-dates&gt;&lt;date&gt;Mar-Apr&lt;/date&gt;&lt;/pub-dates&gt;&lt;/dates&gt;&lt;isbn&gt;0017-467X&lt;/isbn&gt;&lt;accession-num&gt;WOS:A1991FA88300002&lt;/accession-num&gt;&lt;urls&gt;&lt;related-urls&gt;&lt;url&gt;&amp;lt;Go to ISI&amp;gt;://WOS:A1991FA88300002&lt;/url&gt;&lt;url&gt;http://onlinelibrary.wiley.com/doi/10.1111/j.1745-6584.1991.tb00506.x/abstract&lt;/url&gt;&lt;/related-urls&gt;&lt;/urls&gt;&lt;electronic-resource-num&gt;10.1111/j.1745-6584.1991.tb00506.x&lt;/electronic-resource-num&gt;&lt;/record&gt;&lt;/Cite&gt;&lt;/EndNote&gt;</w:instrText>
      </w:r>
      <w:r>
        <w:fldChar w:fldCharType="separate"/>
      </w:r>
      <w:hyperlink w:anchor="_ENREF_8" w:tooltip="Hall, 1991 #107" w:history="1">
        <w:r>
          <w:rPr>
            <w:noProof/>
          </w:rPr>
          <w:t>Hall et al. (1991</w:t>
        </w:r>
      </w:hyperlink>
      <w:r>
        <w:rPr>
          <w:noProof/>
        </w:rPr>
        <w:t>)</w:t>
      </w:r>
      <w:r>
        <w:fldChar w:fldCharType="end"/>
      </w:r>
      <w:r>
        <w:t xml:space="preserve"> demonstrated the validity of the truncated analytical solution, developed for a confined aquifer, as applied to an unconfined, heterogeneous, and sandy aquifer</w:t>
      </w:r>
      <w:r w:rsidR="000A5750">
        <w:t xml:space="preserve">. </w:t>
      </w:r>
    </w:p>
    <w:p w14:paraId="3924F181" w14:textId="77777777" w:rsidR="0026229C" w:rsidRDefault="0026229C" w:rsidP="002B790F">
      <w:pPr>
        <w:pStyle w:val="Heading2"/>
      </w:pPr>
      <w:bookmarkStart w:id="149" w:name="_Toc498505056"/>
      <w:r>
        <w:t>3.</w:t>
      </w:r>
      <w:r w:rsidR="002B790F">
        <w:t>6</w:t>
      </w:r>
      <w:r>
        <w:t xml:space="preserve">. </w:t>
      </w:r>
      <w:r w:rsidR="00283D1D">
        <w:tab/>
      </w:r>
      <w:r>
        <w:t>Conclusions</w:t>
      </w:r>
      <w:bookmarkEnd w:id="149"/>
    </w:p>
    <w:p w14:paraId="5951B8DB" w14:textId="023382FA" w:rsidR="00796822" w:rsidRPr="00796822" w:rsidRDefault="00570627" w:rsidP="00570627">
      <w:pPr>
        <w:ind w:firstLine="720"/>
      </w:pPr>
      <w:r>
        <w:t>We conclude that: (1) the analytical solution to describe the displacement of the center of mass of a tracer during a push-pull test can be expanded to account for displacement during the injection phase, (2) the transport of a tracer during the injection phase of a push-pull test may not be truly negligible, (3) the failure to account for displacement during the injection phase may lead to a substantial underestimation of the magnitude of effective porosity, (4) single-well push-pull tests can be readily applied to multiple wells within a study site to assess the spatial variability of effective porosity, and (5) the error-propagated uncertainty in the value of effective porosity can be mitigated to a reasonable level by careful consideration for the precise determination of the aquifer properties and the push-pull test parameters</w:t>
      </w:r>
      <w:r w:rsidR="000A5750">
        <w:t xml:space="preserve">. </w:t>
      </w:r>
      <w:r>
        <w:t>Finally, it must be recognized that there is a need to theoretically develop and experimentally test the expanded solution presented here for the case of an unconfined aquifer</w:t>
      </w:r>
      <w:r w:rsidR="000A5750">
        <w:t xml:space="preserve">. </w:t>
      </w:r>
    </w:p>
    <w:p w14:paraId="2F2D7EFA" w14:textId="77777777" w:rsidR="00632B86" w:rsidRDefault="00632B86" w:rsidP="00424048">
      <w:pPr>
        <w:pStyle w:val="Heading2"/>
      </w:pPr>
    </w:p>
    <w:p w14:paraId="7F6D195A" w14:textId="77777777" w:rsidR="00632B86" w:rsidRDefault="00632B86" w:rsidP="00424048">
      <w:pPr>
        <w:pStyle w:val="Heading2"/>
      </w:pPr>
    </w:p>
    <w:p w14:paraId="17729E6A" w14:textId="77777777" w:rsidR="00632B86" w:rsidRDefault="00632B86" w:rsidP="00424048">
      <w:pPr>
        <w:pStyle w:val="Heading2"/>
      </w:pPr>
    </w:p>
    <w:p w14:paraId="233400C8" w14:textId="77777777" w:rsidR="00632B86" w:rsidRDefault="00632B86" w:rsidP="00424048">
      <w:pPr>
        <w:pStyle w:val="Heading2"/>
      </w:pPr>
    </w:p>
    <w:p w14:paraId="1D0EBBF2" w14:textId="77777777" w:rsidR="00632B86" w:rsidRDefault="00632B86" w:rsidP="00424048">
      <w:pPr>
        <w:pStyle w:val="Heading2"/>
      </w:pPr>
    </w:p>
    <w:p w14:paraId="594CEABC" w14:textId="77777777" w:rsidR="00632B86" w:rsidRDefault="00632B86" w:rsidP="00424048">
      <w:pPr>
        <w:pStyle w:val="Heading2"/>
      </w:pPr>
    </w:p>
    <w:p w14:paraId="76D6147F" w14:textId="77777777" w:rsidR="00632B86" w:rsidRDefault="00632B86" w:rsidP="00424048">
      <w:pPr>
        <w:pStyle w:val="Heading2"/>
      </w:pPr>
    </w:p>
    <w:p w14:paraId="0DDD430D" w14:textId="77777777" w:rsidR="00632B86" w:rsidRDefault="00632B86" w:rsidP="00424048">
      <w:pPr>
        <w:pStyle w:val="Heading2"/>
      </w:pPr>
    </w:p>
    <w:p w14:paraId="7C620763" w14:textId="77777777" w:rsidR="00424048" w:rsidRDefault="0026229C" w:rsidP="00424048">
      <w:pPr>
        <w:pStyle w:val="Heading2"/>
      </w:pPr>
      <w:bookmarkStart w:id="150" w:name="_Toc498505057"/>
      <w:r>
        <w:lastRenderedPageBreak/>
        <w:t>3.</w:t>
      </w:r>
      <w:r w:rsidR="002B790F">
        <w:t>7</w:t>
      </w:r>
      <w:r>
        <w:t xml:space="preserve">. </w:t>
      </w:r>
      <w:r w:rsidR="008B40E1">
        <w:tab/>
      </w:r>
      <w:r>
        <w:t>References</w:t>
      </w:r>
      <w:bookmarkEnd w:id="150"/>
    </w:p>
    <w:p w14:paraId="57C24D9C" w14:textId="77777777" w:rsidR="002C3BCF" w:rsidRDefault="00424048" w:rsidP="00DD3BC8">
      <w:pPr>
        <w:ind w:left="720" w:hanging="720"/>
      </w:pPr>
      <w:r>
        <w:fldChar w:fldCharType="begin"/>
      </w:r>
      <w:r>
        <w:instrText xml:space="preserve"> ADDIN EN.SECTION.REFLIST </w:instrText>
      </w:r>
      <w:r>
        <w:fldChar w:fldCharType="separate"/>
      </w:r>
      <w:r w:rsidR="002C3BCF" w:rsidRPr="002C3BCF">
        <w:t xml:space="preserve"> </w:t>
      </w:r>
      <w:r w:rsidR="002C3BCF">
        <w:t>Aragon-Jose, A. T. &amp; G. A. Robbins, 2011. Low-Flow Hydraulic Conductivity Tests at Wells that Cross the Water Table. Ground Water 49(3):426-431 doi:10.1111/j.1745-6584.2010.</w:t>
      </w:r>
      <w:proofErr w:type="gramStart"/>
      <w:r w:rsidR="002C3BCF">
        <w:t>00742.x.</w:t>
      </w:r>
      <w:proofErr w:type="gramEnd"/>
    </w:p>
    <w:p w14:paraId="54284232" w14:textId="77777777" w:rsidR="002C3BCF" w:rsidRDefault="002C3BCF" w:rsidP="00DD3BC8">
      <w:pPr>
        <w:ind w:left="720" w:hanging="720"/>
      </w:pPr>
      <w:proofErr w:type="spellStart"/>
      <w:r>
        <w:t>Baetsle</w:t>
      </w:r>
      <w:proofErr w:type="spellEnd"/>
      <w:r>
        <w:t>, L. H., 1969. Migration of radionuclides in porous media. In Duhamel, A. M. F. (</w:t>
      </w:r>
      <w:proofErr w:type="spellStart"/>
      <w:r>
        <w:t>ed</w:t>
      </w:r>
      <w:proofErr w:type="spellEnd"/>
      <w:r>
        <w:t xml:space="preserve">) Progress in Nuclear Energy. Health Physics, Series XII </w:t>
      </w:r>
      <w:proofErr w:type="spellStart"/>
      <w:r>
        <w:t>edn</w:t>
      </w:r>
      <w:proofErr w:type="spellEnd"/>
      <w:r>
        <w:t xml:space="preserve">. </w:t>
      </w:r>
      <w:proofErr w:type="spellStart"/>
      <w:r>
        <w:t>Pergamon</w:t>
      </w:r>
      <w:proofErr w:type="spellEnd"/>
      <w:r>
        <w:t xml:space="preserve"> Press, Elmsford, New York, 707-730.</w:t>
      </w:r>
    </w:p>
    <w:p w14:paraId="278060EA" w14:textId="77777777" w:rsidR="002C3BCF" w:rsidRPr="00AF4FA9" w:rsidRDefault="002C3BCF" w:rsidP="00DD3BC8">
      <w:pPr>
        <w:ind w:left="720" w:hanging="720"/>
        <w:rPr>
          <w:lang w:val="de-DE"/>
        </w:rPr>
      </w:pPr>
      <w:r w:rsidRPr="00AF4FA9">
        <w:rPr>
          <w:lang w:val="de-DE"/>
        </w:rPr>
        <w:t>Dachler, R., 1936. Grundwasserstromung (Flow of Ground-water). Julius Springer, Wien (Vienna), Austria.</w:t>
      </w:r>
    </w:p>
    <w:p w14:paraId="0312C84E" w14:textId="77777777" w:rsidR="002C3BCF" w:rsidRDefault="002C3BCF" w:rsidP="00DD3BC8">
      <w:pPr>
        <w:ind w:left="720" w:hanging="720"/>
      </w:pPr>
      <w:r>
        <w:t>Davis, S. N., G. M. Thompson, H. W. Bentley &amp; G. Stiles, 1980. Ground-Water Tracers - A Short Review. Ground Water 18(1):14-23 doi:10.1111/j.1745-</w:t>
      </w:r>
      <w:proofErr w:type="gramStart"/>
      <w:r>
        <w:t>6584.1980.tb</w:t>
      </w:r>
      <w:proofErr w:type="gramEnd"/>
      <w:r>
        <w:t>03366.x.</w:t>
      </w:r>
    </w:p>
    <w:p w14:paraId="029AFCE8" w14:textId="77777777" w:rsidR="002C3BCF" w:rsidRDefault="002C3BCF" w:rsidP="00DD3BC8">
      <w:pPr>
        <w:ind w:left="720" w:hanging="720"/>
      </w:pPr>
      <w:r>
        <w:t xml:space="preserve">Domenico, P. A. &amp; F. W. Schwartz, 1998. Physical and Chemical Hydrogeology, Second </w:t>
      </w:r>
      <w:proofErr w:type="spellStart"/>
      <w:r>
        <w:t>edn</w:t>
      </w:r>
      <w:proofErr w:type="spellEnd"/>
      <w:r>
        <w:t>. John Wiley &amp; Sons, Inc., New York, NY.</w:t>
      </w:r>
    </w:p>
    <w:p w14:paraId="0EE4F5FA" w14:textId="77777777" w:rsidR="002C3BCF" w:rsidRDefault="002C3BCF" w:rsidP="00DD3BC8">
      <w:pPr>
        <w:ind w:left="720" w:hanging="720"/>
      </w:pPr>
      <w:r>
        <w:t xml:space="preserve">Fetter, C. W., 2001. Applied Hydrogeology, Fourth </w:t>
      </w:r>
      <w:proofErr w:type="spellStart"/>
      <w:r>
        <w:t>edn</w:t>
      </w:r>
      <w:proofErr w:type="spellEnd"/>
      <w:r>
        <w:t>. Prentice Hall, Upper Saddle River, New Jersey.</w:t>
      </w:r>
    </w:p>
    <w:p w14:paraId="00BD29F2" w14:textId="77777777" w:rsidR="002C3BCF" w:rsidRDefault="002C3BCF" w:rsidP="00DD3BC8">
      <w:pPr>
        <w:ind w:left="720" w:hanging="720"/>
      </w:pPr>
      <w:r w:rsidRPr="00AF4FA9">
        <w:rPr>
          <w:lang w:val="de-DE"/>
        </w:rPr>
        <w:t xml:space="preserve">Gelhar, L. W., C. Welty &amp; K. R. Rehfeldt, 1992. </w:t>
      </w:r>
      <w:r>
        <w:t>A Critical-Review of Data on Field-Scale Dispersion in Aquifers. Water Resources Research 28(7):1955-1974 doi:10.1029/92wr00607.</w:t>
      </w:r>
    </w:p>
    <w:p w14:paraId="73FEE89E" w14:textId="77777777" w:rsidR="002C3BCF" w:rsidRDefault="002C3BCF" w:rsidP="00DD3BC8">
      <w:pPr>
        <w:ind w:left="720" w:hanging="720"/>
      </w:pPr>
      <w:r>
        <w:t>Hall, S. H., S. P. Luttrell &amp; W. E. Cronin, 1991. A method for estimating effective porosity and groundwater velocity. Ground Water 29(2):171-174 doi:10.1111/j.1745-</w:t>
      </w:r>
      <w:proofErr w:type="gramStart"/>
      <w:r>
        <w:t>6584.1991.tb</w:t>
      </w:r>
      <w:proofErr w:type="gramEnd"/>
      <w:r>
        <w:t>00506.x.</w:t>
      </w:r>
    </w:p>
    <w:p w14:paraId="152EFCE4" w14:textId="77777777" w:rsidR="002C3BCF" w:rsidRDefault="002C3BCF" w:rsidP="00DD3BC8">
      <w:pPr>
        <w:ind w:left="720" w:hanging="720"/>
      </w:pPr>
      <w:proofErr w:type="spellStart"/>
      <w:r>
        <w:t>Houben</w:t>
      </w:r>
      <w:proofErr w:type="spellEnd"/>
      <w:r>
        <w:t>, G. J., 2015a. Review: Hydraulics of water wells-flow laws and influence of geometry. Hydrogeology Journal 23(8):1633-1657 doi:10.1007/s10040-015-1312-8.</w:t>
      </w:r>
    </w:p>
    <w:p w14:paraId="46A87DA3" w14:textId="77777777" w:rsidR="002C3BCF" w:rsidRDefault="002C3BCF" w:rsidP="00DD3BC8">
      <w:pPr>
        <w:ind w:left="720" w:hanging="720"/>
      </w:pPr>
      <w:proofErr w:type="spellStart"/>
      <w:r>
        <w:lastRenderedPageBreak/>
        <w:t>Houben</w:t>
      </w:r>
      <w:proofErr w:type="spellEnd"/>
      <w:r>
        <w:t>, G. J., 2015b. Review: Hydraulics of water wells-head losses of individual components. Hydrogeology Journal 23(8):1659-1675 doi:10.1007/s10040-015-1313-7.</w:t>
      </w:r>
    </w:p>
    <w:p w14:paraId="48E8A2A4" w14:textId="77777777" w:rsidR="002C3BCF" w:rsidRDefault="002C3BCF" w:rsidP="00DD3BC8">
      <w:pPr>
        <w:ind w:left="720" w:hanging="720"/>
      </w:pPr>
      <w:proofErr w:type="spellStart"/>
      <w:r>
        <w:t>Houben</w:t>
      </w:r>
      <w:proofErr w:type="spellEnd"/>
      <w:r>
        <w:t xml:space="preserve">, G. J. &amp; S. </w:t>
      </w:r>
      <w:proofErr w:type="spellStart"/>
      <w:r>
        <w:t>Hauschild</w:t>
      </w:r>
      <w:proofErr w:type="spellEnd"/>
      <w:r>
        <w:t>, 2011. Numerical Modeling of the Near-Field Hydraulics of Water Wells. Ground Water 49(4):570-575 doi:10.1111/j.1745-6584.2010.</w:t>
      </w:r>
      <w:proofErr w:type="gramStart"/>
      <w:r>
        <w:t>00760.x.</w:t>
      </w:r>
      <w:proofErr w:type="gramEnd"/>
    </w:p>
    <w:p w14:paraId="1FB451E9" w14:textId="77777777" w:rsidR="002C3BCF" w:rsidRDefault="002C3BCF" w:rsidP="00DD3BC8">
      <w:pPr>
        <w:ind w:left="720" w:hanging="720"/>
      </w:pPr>
      <w:r>
        <w:t xml:space="preserve">Hu, Q. H. &amp; J. E. Moran, 2005. Simultaneous analyses and applications of multiple </w:t>
      </w:r>
      <w:proofErr w:type="spellStart"/>
      <w:r>
        <w:t>fluorobenzoate</w:t>
      </w:r>
      <w:proofErr w:type="spellEnd"/>
      <w:r>
        <w:t xml:space="preserve"> and halide tracers in hydrologic studies. Hydrological Processes 19(14):2671-2687 doi:10.1002/hyp.5780.</w:t>
      </w:r>
    </w:p>
    <w:p w14:paraId="63B7136F" w14:textId="77777777" w:rsidR="002C3BCF" w:rsidRPr="00AF4FA9" w:rsidRDefault="002C3BCF" w:rsidP="002C3BCF">
      <w:pPr>
        <w:rPr>
          <w:lang w:val="de-DE"/>
        </w:rPr>
      </w:pPr>
      <w:r>
        <w:t xml:space="preserve">Istok, J. D., 2013. Push-Pull Tests for Site Characterization. </w:t>
      </w:r>
      <w:r w:rsidRPr="00AF4FA9">
        <w:rPr>
          <w:lang w:val="de-DE"/>
        </w:rPr>
        <w:t>Springer, Corvaillis, OR, USA.</w:t>
      </w:r>
    </w:p>
    <w:p w14:paraId="01718795" w14:textId="77777777" w:rsidR="002C3BCF" w:rsidRDefault="002C3BCF" w:rsidP="00DD3BC8">
      <w:pPr>
        <w:ind w:left="720" w:hanging="720"/>
      </w:pPr>
      <w:r w:rsidRPr="00AF4FA9">
        <w:rPr>
          <w:lang w:val="de-DE"/>
        </w:rPr>
        <w:t xml:space="preserve">Kirchner, J., 2001. </w:t>
      </w:r>
      <w:r>
        <w:t>Analysis of Environmental Data. In: University of California Berkeley. http://seismo.berkeley.edu/~kirchner/eps_120/EPSToolkits.htm.</w:t>
      </w:r>
    </w:p>
    <w:p w14:paraId="7B6B1513" w14:textId="77777777" w:rsidR="002C3BCF" w:rsidRDefault="002C3BCF" w:rsidP="00DD3BC8">
      <w:pPr>
        <w:ind w:left="720" w:hanging="720"/>
      </w:pPr>
      <w:r w:rsidRPr="00AF4FA9">
        <w:rPr>
          <w:lang w:val="nl-NL"/>
        </w:rPr>
        <w:t xml:space="preserve">Leap, D. I. &amp; P. G. Kaplan, 1988. </w:t>
      </w:r>
      <w:r>
        <w:t>A single-well tracing method for estimating regional advective velocity in a confined aquifer - theory and preliminary laboratory verification Water Resources Research 24(7):993-998 doi:10.1029/WR024i007p00993.</w:t>
      </w:r>
    </w:p>
    <w:p w14:paraId="561471B6" w14:textId="77777777" w:rsidR="002C3BCF" w:rsidRDefault="002C3BCF" w:rsidP="00DD3BC8">
      <w:pPr>
        <w:ind w:left="720" w:hanging="720"/>
      </w:pPr>
      <w:r w:rsidRPr="00AF4FA9">
        <w:rPr>
          <w:lang w:val="nl-NL"/>
        </w:rPr>
        <w:t xml:space="preserve">Lee, R. R., R. H. Ketelle, J. M. Bownds &amp; T. A. Rizk, 1992. </w:t>
      </w:r>
      <w:r>
        <w:t>Aquifer Analysis and Modeling in a Fractured, Heterogeneous Medium. Ground Water 30(4):589-597 doi:10.1111/j.1745-</w:t>
      </w:r>
      <w:proofErr w:type="gramStart"/>
      <w:r>
        <w:t>6584.1992.tb</w:t>
      </w:r>
      <w:proofErr w:type="gramEnd"/>
      <w:r>
        <w:t>01535.x.</w:t>
      </w:r>
    </w:p>
    <w:p w14:paraId="695B4994" w14:textId="77777777" w:rsidR="002C3BCF" w:rsidRDefault="002C3BCF" w:rsidP="00DD3BC8">
      <w:pPr>
        <w:ind w:left="720" w:hanging="720"/>
      </w:pPr>
      <w:r>
        <w:t>Li, H., 1995. Effective porosity and longitudinal dispersivity of sedimentary-rocks determined by laboratory and field tracer tests. Environmental Geology 25(2):71-85.</w:t>
      </w:r>
    </w:p>
    <w:p w14:paraId="6E229345" w14:textId="77777777" w:rsidR="002C3BCF" w:rsidRDefault="002C3BCF" w:rsidP="00DD3BC8">
      <w:pPr>
        <w:ind w:left="720" w:hanging="720"/>
      </w:pPr>
      <w:r>
        <w:t xml:space="preserve">Luo, J., O. A. </w:t>
      </w:r>
      <w:proofErr w:type="spellStart"/>
      <w:r>
        <w:t>Cirpka</w:t>
      </w:r>
      <w:proofErr w:type="spellEnd"/>
      <w:r>
        <w:t xml:space="preserve">, W. M. Wu, M. N. Fienen, P. M. Jardine, T. L. Mehlhorn, D. B. Watson, C. S. </w:t>
      </w:r>
      <w:proofErr w:type="spellStart"/>
      <w:r>
        <w:t>Criddle</w:t>
      </w:r>
      <w:proofErr w:type="spellEnd"/>
      <w:r>
        <w:t xml:space="preserve"> &amp; P. K. </w:t>
      </w:r>
      <w:proofErr w:type="spellStart"/>
      <w:r>
        <w:t>Kitanidis</w:t>
      </w:r>
      <w:proofErr w:type="spellEnd"/>
      <w:r>
        <w:t>, 2005. Mass-transfer limitations for nitrate removal in a uranium-contaminated aquifer. Environmental Science &amp; Technology 39(21):8453-8459 doi:10.1021/es050195g.</w:t>
      </w:r>
    </w:p>
    <w:p w14:paraId="3F78BC79" w14:textId="77777777" w:rsidR="002C3BCF" w:rsidRDefault="002C3BCF" w:rsidP="00DD3BC8">
      <w:pPr>
        <w:ind w:left="720" w:hanging="720"/>
      </w:pPr>
      <w:r>
        <w:lastRenderedPageBreak/>
        <w:t xml:space="preserve">Mayes, M. A., P. M. Jardine, T. L. Mehlhorn, B. N. </w:t>
      </w:r>
      <w:proofErr w:type="spellStart"/>
      <w:r>
        <w:t>Bjornstad</w:t>
      </w:r>
      <w:proofErr w:type="spellEnd"/>
      <w:r>
        <w:t xml:space="preserve">, T. Ladd &amp; J. M. </w:t>
      </w:r>
      <w:proofErr w:type="spellStart"/>
      <w:r>
        <w:t>Zachara</w:t>
      </w:r>
      <w:proofErr w:type="spellEnd"/>
      <w:r>
        <w:t>, 2003. Transport of multiple tracers in variably saturated humid region structured soils and semi-arid region laminated sediments. Journal of Hydrology 275(3-4):141-161 doi:10.1016/s0022-1694(03)00039-8.</w:t>
      </w:r>
    </w:p>
    <w:p w14:paraId="15E331EB" w14:textId="77777777" w:rsidR="002C3BCF" w:rsidRDefault="002C3BCF" w:rsidP="00DD3BC8">
      <w:pPr>
        <w:ind w:left="720" w:hanging="720"/>
      </w:pPr>
      <w:r>
        <w:t xml:space="preserve">McCarthy, J. F., K. M. Howard &amp; L. D. McKay, 2000. Effect of pH on sorption and transport of </w:t>
      </w:r>
      <w:proofErr w:type="spellStart"/>
      <w:r>
        <w:t>fluorobenzoic</w:t>
      </w:r>
      <w:proofErr w:type="spellEnd"/>
      <w:r>
        <w:t xml:space="preserve"> acid ground water tracers. Journal of Environmental Quality 29(6):1806-1813.</w:t>
      </w:r>
    </w:p>
    <w:p w14:paraId="47FED48B" w14:textId="77777777" w:rsidR="002C3BCF" w:rsidRDefault="002C3BCF" w:rsidP="00DD3BC8">
      <w:pPr>
        <w:ind w:left="720" w:hanging="720"/>
      </w:pPr>
      <w:r>
        <w:t>McKay, L. D., W. E. Sanford &amp; J. M. Strong, 2000. Field-scale migration of colloidal tracers in a fractured shale saprolite. Ground Water 38(1):139-147 doi:10.1111/j.1745-</w:t>
      </w:r>
      <w:proofErr w:type="gramStart"/>
      <w:r>
        <w:t>6584.2000.tb</w:t>
      </w:r>
      <w:proofErr w:type="gramEnd"/>
      <w:r>
        <w:t>00211.x.</w:t>
      </w:r>
    </w:p>
    <w:p w14:paraId="162CBFFA" w14:textId="77777777" w:rsidR="002C3BCF" w:rsidRDefault="002C3BCF" w:rsidP="00DD3BC8">
      <w:pPr>
        <w:ind w:left="720" w:hanging="720"/>
      </w:pPr>
      <w:proofErr w:type="spellStart"/>
      <w:r>
        <w:t>Meinzer</w:t>
      </w:r>
      <w:proofErr w:type="spellEnd"/>
      <w:r>
        <w:t>, O. E., 1923a. Outline of Ground-Water Hydrology, with definitions. United States Geological Survey, Washington, D.C.</w:t>
      </w:r>
    </w:p>
    <w:p w14:paraId="4DCD8760" w14:textId="77777777" w:rsidR="002C3BCF" w:rsidRDefault="002C3BCF" w:rsidP="00DD3BC8">
      <w:pPr>
        <w:ind w:left="720" w:hanging="720"/>
      </w:pPr>
      <w:proofErr w:type="spellStart"/>
      <w:r>
        <w:t>Meinzer</w:t>
      </w:r>
      <w:proofErr w:type="spellEnd"/>
      <w:r>
        <w:t>, O. E., 1923b. The Occurrence of Ground Water in the United States, with a discussion of principles. United States Geological Survey, Washington, D.C.</w:t>
      </w:r>
    </w:p>
    <w:p w14:paraId="60CF587F" w14:textId="77777777" w:rsidR="002C3BCF" w:rsidRDefault="002C3BCF" w:rsidP="00DD3BC8">
      <w:pPr>
        <w:ind w:left="720" w:hanging="720"/>
      </w:pPr>
      <w:r>
        <w:t xml:space="preserve">Moon, J. W., Y. </w:t>
      </w:r>
      <w:proofErr w:type="spellStart"/>
      <w:r>
        <w:t>Roh</w:t>
      </w:r>
      <w:proofErr w:type="spellEnd"/>
      <w:r>
        <w:t>, T. J. Phelps, D. H. Phillips, D. B. Watson, Y. J. Kim &amp; S. C. Brooks, 2006. Physicochemical and mineralogical characterization of soil-saprolite cores from a field research site, Tennessee. Journal of Environmental Quality 35(5):1731-1741 doi:10.2134/jeq2005.0123.</w:t>
      </w:r>
    </w:p>
    <w:p w14:paraId="0D82EC30" w14:textId="77777777" w:rsidR="002C3BCF" w:rsidRDefault="002C3BCF" w:rsidP="00DD3BC8">
      <w:pPr>
        <w:ind w:left="720" w:hanging="720"/>
      </w:pPr>
      <w:r>
        <w:t xml:space="preserve">Paradis, C. J., S. Jagadamma, D. B. Watson, L. D. McKay, T. C. Hazen, M. Park &amp; J. D. Istok, 2016. </w:t>
      </w:r>
      <w:r w:rsidR="00466C9C">
        <w:rPr>
          <w:i/>
          <w:iCs/>
        </w:rPr>
        <w:t>I</w:t>
      </w:r>
      <w:r w:rsidR="00AF4FA9">
        <w:rPr>
          <w:i/>
          <w:iCs/>
        </w:rPr>
        <w:t>n situ</w:t>
      </w:r>
      <w:r w:rsidR="00AF4FA9">
        <w:t xml:space="preserve"> </w:t>
      </w:r>
      <w:r>
        <w:t xml:space="preserve">mobility of uranium in the presence of nitrate following sulfate-reducing conditions. Journal of Contaminant Hydrology 187:55-64 </w:t>
      </w:r>
      <w:proofErr w:type="gramStart"/>
      <w:r>
        <w:t>doi:10.1016/j.jconhyd</w:t>
      </w:r>
      <w:proofErr w:type="gramEnd"/>
      <w:r>
        <w:t>.2016.02.002.</w:t>
      </w:r>
    </w:p>
    <w:p w14:paraId="72AB9E10" w14:textId="77777777" w:rsidR="002C3BCF" w:rsidRDefault="002C3BCF" w:rsidP="00DD3BC8">
      <w:pPr>
        <w:ind w:left="720" w:hanging="720"/>
      </w:pPr>
      <w:proofErr w:type="spellStart"/>
      <w:r>
        <w:lastRenderedPageBreak/>
        <w:t>Pedretti</w:t>
      </w:r>
      <w:proofErr w:type="spellEnd"/>
      <w:r>
        <w:t>, D., D. Fernandez-Garcia, D. Bolster &amp; X. Sanchez-Vila, 2013. On the formation of breakthrough curves tailing during convergent flow tracer tests in three-dimensional heterogeneous aquifers. Water Resources Research 49(7):4157-4173 doi:10.1002/wrcr.20330.</w:t>
      </w:r>
    </w:p>
    <w:p w14:paraId="3CDBC798" w14:textId="77777777" w:rsidR="002C3BCF" w:rsidRDefault="002C3BCF" w:rsidP="00DD3BC8">
      <w:pPr>
        <w:ind w:left="720" w:hanging="720"/>
      </w:pPr>
      <w:r>
        <w:t xml:space="preserve">Phillips, D. H., D. B. Watson, S. D. Kelly, B. Ravel &amp; K. M. </w:t>
      </w:r>
      <w:proofErr w:type="spellStart"/>
      <w:r>
        <w:t>Kemner</w:t>
      </w:r>
      <w:proofErr w:type="spellEnd"/>
      <w:r>
        <w:t>, 2008. Deposition of uranium precipitates in dolomitic gravel fill. Environmental Science &amp; Technology 42(19):7104-7110 doi:10.1021/es8001579.</w:t>
      </w:r>
    </w:p>
    <w:p w14:paraId="5684EEC1" w14:textId="77777777" w:rsidR="002C3BCF" w:rsidRDefault="002C3BCF" w:rsidP="00DD3BC8">
      <w:pPr>
        <w:ind w:left="720" w:hanging="720"/>
      </w:pPr>
      <w:r>
        <w:t>Reedy, O. C., P. M. Jardine, G. V. Wilson &amp; H. M. Selim, 1996. Quantifying the diffusive mass transfer of nonreactive solutes in columns of fractured saprolite using flow interruption. Soil Science Society of America Journal 60(5):1376-1384.</w:t>
      </w:r>
    </w:p>
    <w:p w14:paraId="44C84877" w14:textId="77777777" w:rsidR="002C3BCF" w:rsidRDefault="002C3BCF" w:rsidP="00DD3BC8">
      <w:pPr>
        <w:ind w:left="720" w:hanging="720"/>
      </w:pPr>
      <w:r>
        <w:t>Robbins, G. A., A. T. Aragon-Jose &amp; A. Romero, 2009. Determining Hydraulic Conductivity Using Pumping Data from Low-Flow Sampling. Ground Water 47(2):271-276 doi:10.1111/j.1745-6584.2008.</w:t>
      </w:r>
      <w:proofErr w:type="gramStart"/>
      <w:r>
        <w:t>00519.x.</w:t>
      </w:r>
      <w:proofErr w:type="gramEnd"/>
    </w:p>
    <w:p w14:paraId="5290DBB7" w14:textId="77777777" w:rsidR="002C3BCF" w:rsidRDefault="002C3BCF" w:rsidP="00DD3BC8">
      <w:pPr>
        <w:ind w:left="720" w:hanging="720"/>
      </w:pPr>
      <w:r>
        <w:t xml:space="preserve">Stephens, D. B., K. C. Hsu, M. A. </w:t>
      </w:r>
      <w:proofErr w:type="spellStart"/>
      <w:r>
        <w:t>Prieksat</w:t>
      </w:r>
      <w:proofErr w:type="spellEnd"/>
      <w:r>
        <w:t>, M. D. Ankeny, N. Blandford, T. L. Roth, J. A. Kelsey &amp; J. R. Whitworth, 1998. A comparison of estimated and calculated effective porosity. Hydrogeology Journal 6(1):156-165 doi:10.1007/s100400050141.</w:t>
      </w:r>
    </w:p>
    <w:p w14:paraId="1A49D732" w14:textId="77777777" w:rsidR="002C3BCF" w:rsidRDefault="002C3BCF" w:rsidP="00DD3BC8">
      <w:pPr>
        <w:ind w:left="720" w:hanging="720"/>
      </w:pPr>
      <w:r>
        <w:t xml:space="preserve">Thomas Jr., G. B., M. D. Weir, J. Hass &amp; F. R. Giordano, 2008. Numerical Integration Thomas' Calculus. Eleventh </w:t>
      </w:r>
      <w:proofErr w:type="spellStart"/>
      <w:r>
        <w:t>edn</w:t>
      </w:r>
      <w:proofErr w:type="spellEnd"/>
      <w:r>
        <w:t>. Pearson Education, Inc., United States of America, 603-619.</w:t>
      </w:r>
    </w:p>
    <w:p w14:paraId="1DD1593B" w14:textId="77777777" w:rsidR="002C3BCF" w:rsidRPr="00AF4FA9" w:rsidRDefault="002C3BCF" w:rsidP="00DD3BC8">
      <w:pPr>
        <w:ind w:left="720" w:hanging="720"/>
        <w:rPr>
          <w:lang w:val="nl-NL"/>
        </w:rPr>
      </w:pPr>
      <w:proofErr w:type="spellStart"/>
      <w:r>
        <w:t>Turnadge</w:t>
      </w:r>
      <w:proofErr w:type="spellEnd"/>
      <w:r>
        <w:t xml:space="preserve">, C. &amp; B. D. </w:t>
      </w:r>
      <w:proofErr w:type="spellStart"/>
      <w:r>
        <w:t>Smerdon</w:t>
      </w:r>
      <w:proofErr w:type="spellEnd"/>
      <w:r>
        <w:t xml:space="preserve">, 2014. A review of methods for modelling environmental tracers in groundwater: Advantages of tracer concentration simulation. </w:t>
      </w:r>
      <w:r w:rsidRPr="00AF4FA9">
        <w:rPr>
          <w:lang w:val="nl-NL"/>
        </w:rPr>
        <w:t>Journal of Hydrology 519:3674-3689 doi:10.1016/j.jhydrol.2014.10.056.</w:t>
      </w:r>
    </w:p>
    <w:p w14:paraId="0358EB87" w14:textId="77777777" w:rsidR="002C3BCF" w:rsidRDefault="002C3BCF" w:rsidP="00247177">
      <w:pPr>
        <w:ind w:left="720" w:hanging="720"/>
      </w:pPr>
      <w:r w:rsidRPr="00AF4FA9">
        <w:rPr>
          <w:lang w:val="nl-NL"/>
        </w:rPr>
        <w:t xml:space="preserve">van der Kamp, G., D. R. van Stempvoort &amp; L. I. Wassenaar, 1996. </w:t>
      </w:r>
      <w:r>
        <w:t xml:space="preserve">The radial diffusion method .1. Using intact cores to determine isotopic composition, chemistry, and effective </w:t>
      </w:r>
      <w:r>
        <w:lastRenderedPageBreak/>
        <w:t>porosities for groundwater in aquitards. Water Resources Research 32(6):1815-1822 doi:10.1029/95wr03719.</w:t>
      </w:r>
    </w:p>
    <w:p w14:paraId="05504B46" w14:textId="77777777" w:rsidR="002C3BCF" w:rsidRDefault="002C3BCF" w:rsidP="00247177">
      <w:pPr>
        <w:ind w:left="720" w:hanging="720"/>
      </w:pPr>
      <w:r>
        <w:t xml:space="preserve">Watson, D. B., J. E. </w:t>
      </w:r>
      <w:proofErr w:type="spellStart"/>
      <w:r>
        <w:t>Kostka</w:t>
      </w:r>
      <w:proofErr w:type="spellEnd"/>
      <w:r>
        <w:t>, M. W. Fields &amp; P. M. Jardine 2004. The Oak Ridge Field Research Center Conceptual Model. United States Department of Energy, Oak Ridge, TN, USA.</w:t>
      </w:r>
    </w:p>
    <w:p w14:paraId="74647CDD" w14:textId="77777777" w:rsidR="006E1592" w:rsidRPr="006E1592" w:rsidRDefault="002C3BCF" w:rsidP="00247177">
      <w:pPr>
        <w:ind w:left="720" w:hanging="720"/>
        <w:rPr>
          <w:rFonts w:cs="Times New Roman"/>
          <w:noProof/>
        </w:rPr>
      </w:pPr>
      <w:r>
        <w:t xml:space="preserve">Watson, D. B., W. M. Wu, T. Mehlhorn, G. P. Tang, J. </w:t>
      </w:r>
      <w:proofErr w:type="spellStart"/>
      <w:r>
        <w:t>Earles</w:t>
      </w:r>
      <w:proofErr w:type="spellEnd"/>
      <w:r>
        <w:t xml:space="preserve">, K. Lowe, T. M. </w:t>
      </w:r>
      <w:proofErr w:type="spellStart"/>
      <w:r>
        <w:t>Gihring</w:t>
      </w:r>
      <w:proofErr w:type="spellEnd"/>
      <w:r>
        <w:t xml:space="preserve">, G. X. Zhang, J. Phillips, M. I. </w:t>
      </w:r>
      <w:proofErr w:type="spellStart"/>
      <w:r>
        <w:t>Boyanov</w:t>
      </w:r>
      <w:proofErr w:type="spellEnd"/>
      <w:r>
        <w:t xml:space="preserve">, B. P. Spalding, C. </w:t>
      </w:r>
      <w:proofErr w:type="spellStart"/>
      <w:r>
        <w:t>Schadt</w:t>
      </w:r>
      <w:proofErr w:type="spellEnd"/>
      <w:r>
        <w:t xml:space="preserve">, K. M. </w:t>
      </w:r>
      <w:proofErr w:type="spellStart"/>
      <w:r>
        <w:t>Kemner</w:t>
      </w:r>
      <w:proofErr w:type="spellEnd"/>
      <w:r>
        <w:t xml:space="preserve">, C. S. </w:t>
      </w:r>
      <w:proofErr w:type="spellStart"/>
      <w:r>
        <w:t>Criddle</w:t>
      </w:r>
      <w:proofErr w:type="spellEnd"/>
      <w:r>
        <w:t xml:space="preserve">, P. M. Jardine &amp; S. C. Brooks, 2013. </w:t>
      </w:r>
      <w:r w:rsidR="00466C9C">
        <w:rPr>
          <w:i/>
          <w:iCs/>
        </w:rPr>
        <w:t>In situ</w:t>
      </w:r>
      <w:r w:rsidR="00466C9C">
        <w:t xml:space="preserve"> </w:t>
      </w:r>
      <w:r>
        <w:t>Bioremediation of Uranium with Emulsified Vegetable Oil as the Electron Donor. Environmental Science &amp; Technology 47(12):6440-6448 doi:10.1021/es3033555.</w:t>
      </w:r>
    </w:p>
    <w:p w14:paraId="4E173294" w14:textId="77777777" w:rsidR="006E1592" w:rsidRDefault="006E1592" w:rsidP="006E1592">
      <w:pPr>
        <w:rPr>
          <w:rFonts w:cs="Times New Roman"/>
          <w:noProof/>
        </w:rPr>
      </w:pPr>
    </w:p>
    <w:p w14:paraId="6AFC4130" w14:textId="77777777" w:rsidR="00424048" w:rsidRDefault="00424048" w:rsidP="00424048">
      <w:r>
        <w:fldChar w:fldCharType="end"/>
      </w:r>
    </w:p>
    <w:p w14:paraId="6A5DBE14" w14:textId="77777777" w:rsidR="00B76A59" w:rsidRDefault="00B76A59" w:rsidP="00B93721">
      <w:pPr>
        <w:ind w:left="720" w:hanging="720"/>
        <w:rPr>
          <w:rFonts w:cs="Times New Roman"/>
          <w:noProof/>
          <w:szCs w:val="24"/>
        </w:rPr>
      </w:pPr>
    </w:p>
    <w:p w14:paraId="2951F7FC" w14:textId="77777777" w:rsidR="00A94F2E" w:rsidRPr="00B93721" w:rsidRDefault="00A94F2E" w:rsidP="00CD3D35">
      <w:pPr>
        <w:rPr>
          <w:rFonts w:cs="Times New Roman"/>
          <w:noProof/>
          <w:szCs w:val="24"/>
        </w:rPr>
      </w:pPr>
    </w:p>
    <w:p w14:paraId="48A3358B" w14:textId="77777777" w:rsidR="00441D7D" w:rsidRDefault="00441D7D" w:rsidP="00441D7D"/>
    <w:p w14:paraId="3849FBC6" w14:textId="77777777" w:rsidR="007E6E59" w:rsidRDefault="007E6E59" w:rsidP="00441D7D"/>
    <w:p w14:paraId="094CB273" w14:textId="77777777" w:rsidR="007E6E59" w:rsidRDefault="007E6E59" w:rsidP="00441D7D"/>
    <w:p w14:paraId="5E669F3F" w14:textId="77777777" w:rsidR="007E6E59" w:rsidRDefault="007E6E59" w:rsidP="00441D7D"/>
    <w:p w14:paraId="21F819F1" w14:textId="77777777" w:rsidR="007E6E59" w:rsidRDefault="007E6E59" w:rsidP="00441D7D"/>
    <w:p w14:paraId="4607F529" w14:textId="77777777" w:rsidR="007E6E59" w:rsidRDefault="007E6E59" w:rsidP="00441D7D"/>
    <w:p w14:paraId="3A551217" w14:textId="77777777" w:rsidR="007E6E59" w:rsidRDefault="007E6E59" w:rsidP="00441D7D"/>
    <w:p w14:paraId="6CA3E148" w14:textId="77777777" w:rsidR="00167C2C" w:rsidRDefault="00167C2C" w:rsidP="00441D7D"/>
    <w:p w14:paraId="66067AB2" w14:textId="77777777" w:rsidR="00B76A59" w:rsidRDefault="00B76A59" w:rsidP="00441D7D"/>
    <w:p w14:paraId="219DDC1A" w14:textId="77777777" w:rsidR="002C3BCF" w:rsidRDefault="002C3BCF" w:rsidP="00441D7D"/>
    <w:p w14:paraId="40119854" w14:textId="77777777" w:rsidR="00AD65DD" w:rsidRDefault="00E052B0" w:rsidP="00AD65DD">
      <w:pPr>
        <w:pStyle w:val="Heading1"/>
      </w:pPr>
      <w:bookmarkStart w:id="151" w:name="_Toc498505058"/>
      <w:r>
        <w:lastRenderedPageBreak/>
        <w:t>Stepwise mixing model for quantifying solute mass transfer and transformation during push-pull tests</w:t>
      </w:r>
      <w:bookmarkEnd w:id="151"/>
      <w:r w:rsidR="00AD65DD" w:rsidRPr="000F2E70">
        <w:t xml:space="preserve"> </w:t>
      </w:r>
    </w:p>
    <w:p w14:paraId="7E0DA1E8" w14:textId="77777777" w:rsidR="00DE20E5" w:rsidRDefault="00DE20E5" w:rsidP="00B930BD"/>
    <w:p w14:paraId="6C0947DA" w14:textId="77777777" w:rsidR="00A21D2B" w:rsidRDefault="00A21D2B" w:rsidP="00A21D2B"/>
    <w:p w14:paraId="3B1658BA" w14:textId="77777777" w:rsidR="00A21D2B" w:rsidRDefault="00A21D2B" w:rsidP="00A21D2B"/>
    <w:p w14:paraId="6356AC03" w14:textId="77777777" w:rsidR="00A21D2B" w:rsidRDefault="00A21D2B" w:rsidP="00A21D2B"/>
    <w:p w14:paraId="0F11E422" w14:textId="77777777" w:rsidR="00A21D2B" w:rsidRDefault="00A21D2B" w:rsidP="00A21D2B"/>
    <w:p w14:paraId="3C699530" w14:textId="77777777" w:rsidR="00A21D2B" w:rsidRDefault="00A21D2B" w:rsidP="00A21D2B"/>
    <w:p w14:paraId="398D2C0D" w14:textId="77777777" w:rsidR="00A21D2B" w:rsidRDefault="00A21D2B" w:rsidP="00A21D2B"/>
    <w:p w14:paraId="77DFD1DA" w14:textId="77777777" w:rsidR="00A21D2B" w:rsidRDefault="00A21D2B" w:rsidP="00A21D2B"/>
    <w:p w14:paraId="60827DF2" w14:textId="77777777" w:rsidR="00A21D2B" w:rsidRDefault="00A21D2B" w:rsidP="00A21D2B"/>
    <w:p w14:paraId="0926A088" w14:textId="77777777" w:rsidR="00A21D2B" w:rsidRDefault="00A21D2B" w:rsidP="00A21D2B"/>
    <w:p w14:paraId="29E93F4C" w14:textId="77777777" w:rsidR="00A21D2B" w:rsidRDefault="00A21D2B" w:rsidP="00A21D2B"/>
    <w:p w14:paraId="742E21CB" w14:textId="77777777" w:rsidR="00A21D2B" w:rsidRDefault="00A21D2B" w:rsidP="00A21D2B"/>
    <w:p w14:paraId="28D36B20" w14:textId="77777777" w:rsidR="00A21D2B" w:rsidRDefault="00A21D2B" w:rsidP="00A21D2B"/>
    <w:p w14:paraId="51C16033" w14:textId="77777777" w:rsidR="00A21D2B" w:rsidRDefault="00A21D2B" w:rsidP="00A21D2B"/>
    <w:p w14:paraId="02945980" w14:textId="77777777" w:rsidR="00A21D2B" w:rsidRDefault="00A21D2B" w:rsidP="00A21D2B"/>
    <w:p w14:paraId="103A363B" w14:textId="77777777" w:rsidR="00A21D2B" w:rsidRDefault="00A21D2B" w:rsidP="00A21D2B"/>
    <w:p w14:paraId="243F27CA" w14:textId="77777777" w:rsidR="00A21D2B" w:rsidRDefault="00A21D2B" w:rsidP="00A21D2B"/>
    <w:p w14:paraId="25E63D43" w14:textId="77777777" w:rsidR="00A21D2B" w:rsidRDefault="00A21D2B" w:rsidP="00A21D2B"/>
    <w:p w14:paraId="0CC8F4C1" w14:textId="77777777" w:rsidR="00A21D2B" w:rsidRDefault="00A21D2B" w:rsidP="00A21D2B"/>
    <w:p w14:paraId="1462598C" w14:textId="77777777" w:rsidR="00A21D2B" w:rsidRDefault="00A21D2B" w:rsidP="00A21D2B"/>
    <w:p w14:paraId="1C1203A3" w14:textId="77777777" w:rsidR="00A21D2B" w:rsidRDefault="00A21D2B" w:rsidP="00A21D2B"/>
    <w:p w14:paraId="7A224B65" w14:textId="77777777" w:rsidR="00A37D27" w:rsidRDefault="00A37D27" w:rsidP="00A37D27">
      <w:r>
        <w:lastRenderedPageBreak/>
        <w:t xml:space="preserve">Chapter 4 is slated for </w:t>
      </w:r>
      <w:r w:rsidR="004C6C1B">
        <w:t>submission</w:t>
      </w:r>
      <w:r>
        <w:t xml:space="preserve"> </w:t>
      </w:r>
      <w:r w:rsidR="0084567C">
        <w:t>for publication in</w:t>
      </w:r>
      <w:r>
        <w:t xml:space="preserve"> Water Resources Research.</w:t>
      </w:r>
    </w:p>
    <w:p w14:paraId="10B350F7" w14:textId="77777777" w:rsidR="00A37D27" w:rsidRDefault="00A37D27" w:rsidP="00A37D27">
      <w:r>
        <w:t xml:space="preserve"> </w:t>
      </w:r>
    </w:p>
    <w:p w14:paraId="4A35BD2A" w14:textId="77777777" w:rsidR="00A37D27" w:rsidRDefault="00A37D27" w:rsidP="00A37D27">
      <w:pPr>
        <w:ind w:left="720" w:hanging="720"/>
      </w:pPr>
      <w:r w:rsidRPr="00951E62">
        <w:t xml:space="preserve">Paradis, C. J., </w:t>
      </w:r>
      <w:r w:rsidR="00E052B0">
        <w:t xml:space="preserve">E.R. Dixon, </w:t>
      </w:r>
      <w:r w:rsidR="00192779">
        <w:t xml:space="preserve">L.M. </w:t>
      </w:r>
      <w:proofErr w:type="spellStart"/>
      <w:r w:rsidR="00192779">
        <w:t>Lui</w:t>
      </w:r>
      <w:proofErr w:type="spellEnd"/>
      <w:r w:rsidR="00192779">
        <w:t>, A.P. Arkin, E. Perfect, J.D. Istok, L. D. McKay</w:t>
      </w:r>
      <w:r w:rsidRPr="00951E62">
        <w:t xml:space="preserve">, &amp; T. C. Hazen, 2017. </w:t>
      </w:r>
      <w:r w:rsidR="00E052B0" w:rsidRPr="00E052B0">
        <w:t>Stepwise mixing model for quantifying solute mass transfer and transformation during push-pull tests</w:t>
      </w:r>
      <w:r w:rsidR="006C6105">
        <w:t xml:space="preserve"> (slated for submission</w:t>
      </w:r>
      <w:r w:rsidRPr="00951E62">
        <w:t>).</w:t>
      </w:r>
    </w:p>
    <w:p w14:paraId="0AA6DF42" w14:textId="77777777" w:rsidR="00A37D27" w:rsidRDefault="00A37D27" w:rsidP="00A21D2B"/>
    <w:p w14:paraId="3ECFA923" w14:textId="77777777" w:rsidR="00A37D27" w:rsidRDefault="00A37D27" w:rsidP="00A21D2B"/>
    <w:p w14:paraId="3F988C77" w14:textId="77777777" w:rsidR="00A37D27" w:rsidRDefault="00A37D27" w:rsidP="00A21D2B"/>
    <w:p w14:paraId="5A518885" w14:textId="77777777" w:rsidR="00A37D27" w:rsidRDefault="00A37D27" w:rsidP="00A21D2B"/>
    <w:p w14:paraId="04EF479D" w14:textId="77777777" w:rsidR="00A37D27" w:rsidRDefault="00A37D27" w:rsidP="00A21D2B"/>
    <w:p w14:paraId="6A9AF7B9" w14:textId="77777777" w:rsidR="00A37D27" w:rsidRDefault="00A37D27" w:rsidP="00A21D2B"/>
    <w:p w14:paraId="561E5C0E" w14:textId="77777777" w:rsidR="00A37D27" w:rsidRDefault="00A37D27" w:rsidP="00A21D2B"/>
    <w:p w14:paraId="65BE7BD8" w14:textId="77777777" w:rsidR="00A37D27" w:rsidRDefault="00A37D27" w:rsidP="00A21D2B"/>
    <w:p w14:paraId="57A209D9" w14:textId="77777777" w:rsidR="00A37D27" w:rsidRDefault="00A37D27" w:rsidP="00A21D2B"/>
    <w:p w14:paraId="7E60B7C0" w14:textId="77777777" w:rsidR="00A37D27" w:rsidRDefault="00A37D27" w:rsidP="00A21D2B"/>
    <w:p w14:paraId="5F762C7F" w14:textId="77777777" w:rsidR="00A37D27" w:rsidRDefault="00A37D27" w:rsidP="00A21D2B"/>
    <w:p w14:paraId="5395E5C4" w14:textId="77777777" w:rsidR="00A37D27" w:rsidRDefault="00A37D27" w:rsidP="00A21D2B"/>
    <w:p w14:paraId="389C840B" w14:textId="77777777" w:rsidR="00A37D27" w:rsidRDefault="00A37D27" w:rsidP="00A21D2B"/>
    <w:p w14:paraId="67826CCA" w14:textId="77777777" w:rsidR="00A37D27" w:rsidRDefault="00A37D27" w:rsidP="00A21D2B"/>
    <w:p w14:paraId="11947693" w14:textId="77777777" w:rsidR="00A37D27" w:rsidRDefault="00A37D27" w:rsidP="00A21D2B"/>
    <w:p w14:paraId="07959C2E" w14:textId="77777777" w:rsidR="00A37D27" w:rsidRDefault="00A37D27" w:rsidP="00A21D2B"/>
    <w:p w14:paraId="11953BB9" w14:textId="77777777" w:rsidR="00A37D27" w:rsidRDefault="00A37D27" w:rsidP="00A21D2B"/>
    <w:p w14:paraId="2520E5BA" w14:textId="77777777" w:rsidR="00A37D27" w:rsidRPr="00A21D2B" w:rsidRDefault="00A37D27" w:rsidP="00A21D2B"/>
    <w:p w14:paraId="7A19C8EA" w14:textId="77777777" w:rsidR="009E6A3A" w:rsidRDefault="00A63544" w:rsidP="009E6A3A">
      <w:pPr>
        <w:pStyle w:val="Heading2"/>
      </w:pPr>
      <w:bookmarkStart w:id="152" w:name="_Toc498505059"/>
      <w:r>
        <w:lastRenderedPageBreak/>
        <w:t>4</w:t>
      </w:r>
      <w:r w:rsidR="00B93721">
        <w:t>.1.</w:t>
      </w:r>
      <w:r w:rsidR="00B93721">
        <w:tab/>
      </w:r>
      <w:r w:rsidR="00DE20E5">
        <w:t>Abstract</w:t>
      </w:r>
      <w:bookmarkEnd w:id="152"/>
    </w:p>
    <w:p w14:paraId="4A3DA9A0" w14:textId="2F635A9A" w:rsidR="009E6A3A" w:rsidRDefault="00E954B9" w:rsidP="009E6A3A">
      <w:pPr>
        <w:ind w:firstLine="720"/>
      </w:pPr>
      <w:r w:rsidRPr="00E954B9">
        <w:t>The dilution-adjusted breakthrough curve obtained from a single-well push-pull test can be analyzed to quantify the rate and extent of mass transfer and transformation of a solute within an aquifer. The dilution-adjusted model assumes that the ratio of the concentrations of the non-reactive and potentially reactive solutes in the injection fluid versus the aquifer fluid are equal. If this assumption is not valid, the dilution-adjusted model may predict breakthrough curves which suggest solute mass transfer and transformation occurred when in fact only non-reactive mixing occurred. In this study, an analytical solution which predicts the breakthrough curve of a potentially reactive solute due to non-reactive mixing was theoretically developed to account for any possible combination of non-reactive and potentially reactive solute concentrations within the injection and aquifer fluids. The analytical solution was demonstrated to be valid for a synthetic data set by correctly predicting the rate and extent of solute mass transfer and transformation by accurately accounting for non-reactive mixing. The analytical solution was further demonstrated to be applicable to a measured data set from a previously published study which utilized the push-pull test method. The stepwise mixing model (SWiMM) presented here makes no assumptions regarding the concentrations of the non-reactive and potentially reactive solutes in the injection and aquifer fluids and allows for a direct comparison of the predicted versus measured breakthrough curves</w:t>
      </w:r>
      <w:r w:rsidR="000A5750">
        <w:t xml:space="preserve">. </w:t>
      </w:r>
    </w:p>
    <w:p w14:paraId="3AA13944" w14:textId="77777777" w:rsidR="009E6A3A" w:rsidRDefault="009E6A3A" w:rsidP="009E6A3A"/>
    <w:p w14:paraId="561EACE2" w14:textId="77777777" w:rsidR="009E6A3A" w:rsidRDefault="009E6A3A" w:rsidP="009E6A3A"/>
    <w:p w14:paraId="71DB495E" w14:textId="77777777" w:rsidR="009E6A3A" w:rsidRDefault="009E6A3A" w:rsidP="009E6A3A"/>
    <w:p w14:paraId="049A913D" w14:textId="77777777" w:rsidR="00E954B9" w:rsidRDefault="00E954B9" w:rsidP="009E6A3A"/>
    <w:p w14:paraId="38C28ED4" w14:textId="77777777" w:rsidR="009E6A3A" w:rsidRPr="009E6A3A" w:rsidRDefault="009E6A3A" w:rsidP="009E6A3A"/>
    <w:p w14:paraId="1AEE214D" w14:textId="77777777" w:rsidR="00DE20E5" w:rsidRDefault="00A63544" w:rsidP="00DE20E5">
      <w:pPr>
        <w:pStyle w:val="Heading2"/>
      </w:pPr>
      <w:bookmarkStart w:id="153" w:name="_Toc498505060"/>
      <w:r>
        <w:lastRenderedPageBreak/>
        <w:t>4</w:t>
      </w:r>
      <w:r w:rsidR="00B93721">
        <w:t>.2.</w:t>
      </w:r>
      <w:r w:rsidR="00B93721">
        <w:tab/>
      </w:r>
      <w:r w:rsidR="00DE20E5">
        <w:t>Introduction</w:t>
      </w:r>
      <w:bookmarkEnd w:id="153"/>
    </w:p>
    <w:p w14:paraId="3C8048FC" w14:textId="77777777" w:rsidR="00E954B9" w:rsidRDefault="00E954B9" w:rsidP="00E954B9">
      <w:pPr>
        <w:ind w:firstLine="720"/>
      </w:pPr>
      <w:r w:rsidRPr="00E954B9">
        <w:t>The push-pull test is a powerful site characterization method and has been applied in a wide range of hydrological settings including saturated and unsaturated soils and sediments and surface water bodies (Istok 2013). In a groundwater setting, a push-pull test is conducted by injecting (push phase) a volume of water containing one or more non-reactive and potentially reactive solutes into a single well, followed by a non-pumping period (drift phase), and subsequent extraction (pull phase) of groundwater from the same well. The extracted groundwater is comprised of a mixture between the injection and aquifer fluids. The concentration of the potentially reactive solute in the mixture of the injection and aquifer fluids can be adjusted for dilution to generate a concentration versus time profile (breakthrough curve) as given by Istok (2013):</w:t>
      </w:r>
    </w:p>
    <w:p w14:paraId="207CC65D" w14:textId="77777777" w:rsidR="00E954B9" w:rsidRDefault="00CA2C3C" w:rsidP="00E954B9">
      <w:pPr>
        <w:ind w:firstLine="720"/>
      </w:pPr>
      <m:oMathPara>
        <m:oMath>
          <m:eqArr>
            <m:eqArrPr>
              <m:maxDist m:val="1"/>
              <m:ctrlPr>
                <w:rPr>
                  <w:rFonts w:ascii="Cambria Math" w:hAnsi="Cambria Math"/>
                  <w:i/>
                </w:rPr>
              </m:ctrlPr>
            </m:eqArrPr>
            <m:e>
              <m:sSubSup>
                <m:sSubSupPr>
                  <m:ctrlPr>
                    <w:rPr>
                      <w:rFonts w:ascii="Cambria Math" w:hAnsi="Cambria Math"/>
                      <w:i/>
                    </w:rPr>
                  </m:ctrlPr>
                </m:sSubSupPr>
                <m:e>
                  <m:r>
                    <w:rPr>
                      <w:rFonts w:ascii="Cambria Math" w:hAnsi="Cambria Math"/>
                    </w:rPr>
                    <m:t>C</m:t>
                  </m:r>
                </m:e>
                <m:sub>
                  <m:r>
                    <w:rPr>
                      <w:rFonts w:ascii="Cambria Math" w:hAnsi="Cambria Math"/>
                    </w:rPr>
                    <m:t>m</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m</m:t>
                  </m:r>
                </m:sub>
                <m:sup>
                  <m:r>
                    <w:rPr>
                      <w:rFonts w:ascii="Cambria Math" w:hAnsi="Cambria Math"/>
                    </w:rPr>
                    <m:t>2</m:t>
                  </m:r>
                </m:sup>
              </m:sSubSup>
              <m:d>
                <m:dPr>
                  <m:begChr m:val="["/>
                  <m:endChr m:val="]"/>
                  <m:ctrlPr>
                    <w:rPr>
                      <w:rFonts w:ascii="Cambria Math" w:hAnsi="Cambria Math"/>
                      <w:i/>
                    </w:rPr>
                  </m:ctrlPr>
                </m:dPr>
                <m:e>
                  <m:f>
                    <m:fPr>
                      <m:ctrlPr>
                        <w:rPr>
                          <w:rFonts w:ascii="Cambria Math" w:hAnsi="Cambria Math"/>
                          <w:i/>
                        </w:rPr>
                      </m:ctrlPr>
                    </m:fPr>
                    <m:num>
                      <m:sSubSup>
                        <m:sSubSupPr>
                          <m:ctrlPr>
                            <w:rPr>
                              <w:rFonts w:ascii="Cambria Math" w:hAnsi="Cambria Math"/>
                              <w:i/>
                            </w:rPr>
                          </m:ctrlPr>
                        </m:sSubSupPr>
                        <m:e>
                          <m:r>
                            <w:rPr>
                              <w:rFonts w:ascii="Cambria Math" w:hAnsi="Cambria Math"/>
                            </w:rPr>
                            <m:t>C</m:t>
                          </m:r>
                        </m:e>
                        <m:sub>
                          <m:r>
                            <w:rPr>
                              <w:rFonts w:ascii="Cambria Math" w:hAnsi="Cambria Math"/>
                            </w:rPr>
                            <m:t>i</m:t>
                          </m:r>
                        </m:sub>
                        <m:sup>
                          <m:r>
                            <w:rPr>
                              <w:rFonts w:ascii="Cambria Math" w:hAnsi="Cambria Math"/>
                            </w:rPr>
                            <m:t>1</m:t>
                          </m:r>
                        </m:sup>
                      </m:sSubSup>
                    </m:num>
                    <m:den>
                      <m:sSubSup>
                        <m:sSubSupPr>
                          <m:ctrlPr>
                            <w:rPr>
                              <w:rFonts w:ascii="Cambria Math" w:hAnsi="Cambria Math"/>
                              <w:i/>
                            </w:rPr>
                          </m:ctrlPr>
                        </m:sSubSupPr>
                        <m:e>
                          <m:r>
                            <w:rPr>
                              <w:rFonts w:ascii="Cambria Math" w:hAnsi="Cambria Math"/>
                            </w:rPr>
                            <m:t>C</m:t>
                          </m:r>
                        </m:e>
                        <m:sub>
                          <m:r>
                            <w:rPr>
                              <w:rFonts w:ascii="Cambria Math" w:hAnsi="Cambria Math"/>
                            </w:rPr>
                            <m:t>m</m:t>
                          </m:r>
                        </m:sub>
                        <m:sup>
                          <m:r>
                            <w:rPr>
                              <w:rFonts w:ascii="Cambria Math" w:hAnsi="Cambria Math"/>
                            </w:rPr>
                            <m:t>1</m:t>
                          </m:r>
                        </m:sup>
                      </m:sSubSup>
                    </m:den>
                  </m:f>
                </m:e>
              </m:d>
              <m:r>
                <w:rPr>
                  <w:rFonts w:ascii="Cambria Math" w:hAnsi="Cambria Math"/>
                </w:rPr>
                <m:t>#(1)</m:t>
              </m:r>
            </m:e>
          </m:eqArr>
        </m:oMath>
      </m:oMathPara>
    </w:p>
    <w:p w14:paraId="6DD296F4" w14:textId="77777777" w:rsidR="00E954B9" w:rsidRDefault="00E954B9" w:rsidP="00E954B9">
      <w:r>
        <w:t>where:</w:t>
      </w:r>
    </w:p>
    <w:p w14:paraId="42F5FF2F" w14:textId="77777777" w:rsidR="00E954B9" w:rsidRDefault="00E954B9" w:rsidP="00E954B9">
      <w:r>
        <w:t>C</w:t>
      </w:r>
      <w:r w:rsidRPr="00C24959">
        <w:rPr>
          <w:vertAlign w:val="subscript"/>
        </w:rPr>
        <w:t>i</w:t>
      </w:r>
      <w:r w:rsidRPr="00C24959">
        <w:rPr>
          <w:vertAlign w:val="superscript"/>
        </w:rPr>
        <w:t>1</w:t>
      </w:r>
      <w:r>
        <w:t xml:space="preserve"> = concentration of the non-reactive solute in the injection fluid [M/</w:t>
      </w:r>
      <w:r w:rsidR="00C24959">
        <w:t>L</w:t>
      </w:r>
      <w:r w:rsidR="00C24959" w:rsidRPr="00C24959">
        <w:rPr>
          <w:vertAlign w:val="superscript"/>
        </w:rPr>
        <w:t>3</w:t>
      </w:r>
      <w:r>
        <w:t>]</w:t>
      </w:r>
    </w:p>
    <w:p w14:paraId="724B8151" w14:textId="77777777" w:rsidR="00E954B9" w:rsidRDefault="00E954B9" w:rsidP="00E954B9">
      <w:r>
        <w:t>C</w:t>
      </w:r>
      <w:r w:rsidRPr="00C24959">
        <w:rPr>
          <w:vertAlign w:val="subscript"/>
        </w:rPr>
        <w:t>m</w:t>
      </w:r>
      <w:r w:rsidRPr="00C24959">
        <w:rPr>
          <w:vertAlign w:val="superscript"/>
        </w:rPr>
        <w:t>1</w:t>
      </w:r>
      <w:r>
        <w:t xml:space="preserve"> = concentration of the non-reactive solute in the mixture of the injection and aquifer fluids [M/L</w:t>
      </w:r>
      <w:r w:rsidRPr="00C24959">
        <w:rPr>
          <w:vertAlign w:val="superscript"/>
        </w:rPr>
        <w:t>3</w:t>
      </w:r>
      <w:r>
        <w:t>]</w:t>
      </w:r>
    </w:p>
    <w:p w14:paraId="55ACF90F" w14:textId="77777777" w:rsidR="00E954B9" w:rsidRDefault="00E954B9" w:rsidP="00E954B9">
      <w:r>
        <w:t>C</w:t>
      </w:r>
      <w:r w:rsidRPr="00C24959">
        <w:rPr>
          <w:vertAlign w:val="subscript"/>
        </w:rPr>
        <w:t>m</w:t>
      </w:r>
      <w:r w:rsidRPr="00C24959">
        <w:rPr>
          <w:vertAlign w:val="superscript"/>
        </w:rPr>
        <w:t>2</w:t>
      </w:r>
      <w:r>
        <w:t xml:space="preserve"> = concentration of the potentially reactive solute in the mixture of the injection and aquifer fluids [M/</w:t>
      </w:r>
      <w:r w:rsidR="00C24959">
        <w:t>L</w:t>
      </w:r>
      <w:r w:rsidR="00C24959" w:rsidRPr="00C24959">
        <w:rPr>
          <w:vertAlign w:val="superscript"/>
        </w:rPr>
        <w:t>3</w:t>
      </w:r>
      <w:r>
        <w:t>]</w:t>
      </w:r>
    </w:p>
    <w:p w14:paraId="67DB9F5F" w14:textId="77777777" w:rsidR="00E954B9" w:rsidRDefault="00E954B9" w:rsidP="00E954B9">
      <w:r>
        <w:t>C</w:t>
      </w:r>
      <w:r w:rsidRPr="00C24959">
        <w:rPr>
          <w:vertAlign w:val="subscript"/>
        </w:rPr>
        <w:t>m</w:t>
      </w:r>
      <w:r w:rsidRPr="00C24959">
        <w:rPr>
          <w:vertAlign w:val="superscript"/>
        </w:rPr>
        <w:t>2*</w:t>
      </w:r>
      <w:r>
        <w:t xml:space="preserve"> = dilution-adjusted concentration of the potentially reactive solute in the mixture of the injection and aquifer fluids [M/</w:t>
      </w:r>
      <w:r w:rsidR="00C24959">
        <w:t>L</w:t>
      </w:r>
      <w:r w:rsidR="00C24959" w:rsidRPr="00C24959">
        <w:rPr>
          <w:vertAlign w:val="superscript"/>
        </w:rPr>
        <w:t>3</w:t>
      </w:r>
      <w:r>
        <w:t xml:space="preserve">] </w:t>
      </w:r>
    </w:p>
    <w:p w14:paraId="6F7DE111" w14:textId="77777777" w:rsidR="00E954B9" w:rsidRDefault="00E954B9" w:rsidP="000843B3">
      <w:pPr>
        <w:ind w:firstLine="720"/>
      </w:pPr>
      <w:r>
        <w:t>Analysis of the dilution-adjusted breakthrough curve from equation (1) can be utilized to quantify the net rate and mass of removal, or production, of a potentially reactive solute.</w:t>
      </w:r>
    </w:p>
    <w:p w14:paraId="4B30360C" w14:textId="77777777" w:rsidR="00C24959" w:rsidRDefault="00C24959" w:rsidP="00C24959">
      <w:pPr>
        <w:ind w:firstLine="720"/>
      </w:pPr>
      <w:r>
        <w:lastRenderedPageBreak/>
        <w:t xml:space="preserve">Equation (1) assumes that the ratio of the concentrations of the non-reactive and potentially reactive solutes in the injection fluid versus the aquifer fluid are equal as given by:  </w:t>
      </w:r>
    </w:p>
    <w:p w14:paraId="1396415B" w14:textId="77777777" w:rsidR="00C24959" w:rsidRDefault="00CA2C3C" w:rsidP="00C24959">
      <w:pPr>
        <w:ind w:firstLine="720"/>
      </w:pPr>
      <m:oMathPara>
        <m:oMath>
          <m:eqArr>
            <m:eqArrPr>
              <m:maxDist m:val="1"/>
              <m:ctrlPr>
                <w:rPr>
                  <w:rFonts w:ascii="Cambria Math" w:hAnsi="Cambria Math"/>
                  <w:i/>
                </w:rPr>
              </m:ctrlPr>
            </m:eqArrPr>
            <m:e>
              <m:f>
                <m:fPr>
                  <m:ctrlPr>
                    <w:rPr>
                      <w:rFonts w:ascii="Cambria Math" w:hAnsi="Cambria Math"/>
                      <w:i/>
                    </w:rPr>
                  </m:ctrlPr>
                </m:fPr>
                <m:num>
                  <m:sSubSup>
                    <m:sSubSupPr>
                      <m:ctrlPr>
                        <w:rPr>
                          <w:rFonts w:ascii="Cambria Math" w:hAnsi="Cambria Math"/>
                          <w:i/>
                        </w:rPr>
                      </m:ctrlPr>
                    </m:sSubSupPr>
                    <m:e>
                      <m:r>
                        <w:rPr>
                          <w:rFonts w:ascii="Cambria Math" w:hAnsi="Cambria Math"/>
                        </w:rPr>
                        <m:t>C</m:t>
                      </m:r>
                    </m:e>
                    <m:sub>
                      <m:r>
                        <w:rPr>
                          <w:rFonts w:ascii="Cambria Math" w:hAnsi="Cambria Math"/>
                        </w:rPr>
                        <m:t>i</m:t>
                      </m:r>
                    </m:sub>
                    <m:sup>
                      <m:r>
                        <w:rPr>
                          <w:rFonts w:ascii="Cambria Math" w:hAnsi="Cambria Math"/>
                        </w:rPr>
                        <m:t>1</m:t>
                      </m:r>
                    </m:sup>
                  </m:sSubSup>
                </m:num>
                <m:den>
                  <m:sSubSup>
                    <m:sSubSupPr>
                      <m:ctrlPr>
                        <w:rPr>
                          <w:rFonts w:ascii="Cambria Math" w:hAnsi="Cambria Math"/>
                          <w:i/>
                        </w:rPr>
                      </m:ctrlPr>
                    </m:sSubSupPr>
                    <m:e>
                      <m:r>
                        <w:rPr>
                          <w:rFonts w:ascii="Cambria Math" w:hAnsi="Cambria Math"/>
                        </w:rPr>
                        <m:t>C</m:t>
                      </m:r>
                    </m:e>
                    <m:sub>
                      <m:r>
                        <w:rPr>
                          <w:rFonts w:ascii="Cambria Math" w:hAnsi="Cambria Math"/>
                        </w:rPr>
                        <m:t>a</m:t>
                      </m:r>
                    </m:sub>
                    <m:sup>
                      <m:r>
                        <w:rPr>
                          <w:rFonts w:ascii="Cambria Math" w:hAnsi="Cambria Math"/>
                        </w:rPr>
                        <m:t>1</m:t>
                      </m:r>
                    </m:sup>
                  </m:sSubSup>
                </m:den>
              </m:f>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C</m:t>
                      </m:r>
                    </m:e>
                    <m:sub>
                      <m:r>
                        <w:rPr>
                          <w:rFonts w:ascii="Cambria Math" w:hAnsi="Cambria Math"/>
                        </w:rPr>
                        <m:t>i</m:t>
                      </m:r>
                    </m:sub>
                    <m:sup>
                      <m:r>
                        <w:rPr>
                          <w:rFonts w:ascii="Cambria Math" w:hAnsi="Cambria Math"/>
                        </w:rPr>
                        <m:t>2</m:t>
                      </m:r>
                    </m:sup>
                  </m:sSubSup>
                </m:num>
                <m:den>
                  <m:sSubSup>
                    <m:sSubSupPr>
                      <m:ctrlPr>
                        <w:rPr>
                          <w:rFonts w:ascii="Cambria Math" w:hAnsi="Cambria Math"/>
                          <w:i/>
                        </w:rPr>
                      </m:ctrlPr>
                    </m:sSubSupPr>
                    <m:e>
                      <m:r>
                        <w:rPr>
                          <w:rFonts w:ascii="Cambria Math" w:hAnsi="Cambria Math"/>
                        </w:rPr>
                        <m:t>C</m:t>
                      </m:r>
                    </m:e>
                    <m:sub>
                      <m:r>
                        <w:rPr>
                          <w:rFonts w:ascii="Cambria Math" w:hAnsi="Cambria Math"/>
                        </w:rPr>
                        <m:t>a</m:t>
                      </m:r>
                    </m:sub>
                    <m:sup>
                      <m:r>
                        <w:rPr>
                          <w:rFonts w:ascii="Cambria Math" w:hAnsi="Cambria Math"/>
                        </w:rPr>
                        <m:t>2</m:t>
                      </m:r>
                    </m:sup>
                  </m:sSubSup>
                </m:den>
              </m:f>
              <m:r>
                <w:rPr>
                  <w:rFonts w:ascii="Cambria Math" w:hAnsi="Cambria Math"/>
                </w:rPr>
                <m:t>#(2)</m:t>
              </m:r>
            </m:e>
          </m:eqArr>
        </m:oMath>
      </m:oMathPara>
    </w:p>
    <w:p w14:paraId="0655EF1E" w14:textId="77777777" w:rsidR="00C24959" w:rsidRDefault="00C24959" w:rsidP="00C24959">
      <w:r>
        <w:t>where:</w:t>
      </w:r>
    </w:p>
    <w:p w14:paraId="29C30813" w14:textId="77777777" w:rsidR="00C24959" w:rsidRDefault="00C24959" w:rsidP="00C24959">
      <w:r>
        <w:t>C</w:t>
      </w:r>
      <w:r w:rsidRPr="00D81AD9">
        <w:rPr>
          <w:vertAlign w:val="subscript"/>
        </w:rPr>
        <w:t>a</w:t>
      </w:r>
      <w:r w:rsidRPr="00D81AD9">
        <w:rPr>
          <w:vertAlign w:val="superscript"/>
        </w:rPr>
        <w:t>1</w:t>
      </w:r>
      <w:r>
        <w:t xml:space="preserve"> = concentration of the non-reactive solute in the aquifer fluid [M/L3]</w:t>
      </w:r>
    </w:p>
    <w:p w14:paraId="3A1980E4" w14:textId="77777777" w:rsidR="00C24959" w:rsidRDefault="00C24959" w:rsidP="00C24959">
      <w:r>
        <w:t>C</w:t>
      </w:r>
      <w:r w:rsidRPr="00D81AD9">
        <w:rPr>
          <w:vertAlign w:val="subscript"/>
        </w:rPr>
        <w:t>i</w:t>
      </w:r>
      <w:r w:rsidRPr="00D81AD9">
        <w:rPr>
          <w:vertAlign w:val="superscript"/>
        </w:rPr>
        <w:t>2</w:t>
      </w:r>
      <w:r>
        <w:t xml:space="preserve"> = concentration of the potentially reactive solute in the injection fluid [M/L3]</w:t>
      </w:r>
    </w:p>
    <w:p w14:paraId="7F72894F" w14:textId="77777777" w:rsidR="00C24959" w:rsidRDefault="00C24959" w:rsidP="00C24959">
      <w:r>
        <w:t>C</w:t>
      </w:r>
      <w:r w:rsidRPr="00D81AD9">
        <w:rPr>
          <w:vertAlign w:val="subscript"/>
        </w:rPr>
        <w:t>a</w:t>
      </w:r>
      <w:r w:rsidRPr="00D81AD9">
        <w:rPr>
          <w:vertAlign w:val="superscript"/>
        </w:rPr>
        <w:t>2</w:t>
      </w:r>
      <w:r>
        <w:t xml:space="preserve"> = concentration of the potentially reactive solute in the aquifer fluid [M/L3]</w:t>
      </w:r>
    </w:p>
    <w:p w14:paraId="680A9DC6" w14:textId="77777777" w:rsidR="00C24959" w:rsidRDefault="00C24959" w:rsidP="00C24959">
      <w:r>
        <w:t>Equation (2) can be rearranged as given by:</w:t>
      </w:r>
    </w:p>
    <w:p w14:paraId="7A539B5A" w14:textId="77777777" w:rsidR="00C24959" w:rsidRDefault="00CA2C3C" w:rsidP="00C24959">
      <w:pPr>
        <w:ind w:firstLine="720"/>
      </w:pPr>
      <m:oMathPara>
        <m:oMath>
          <m:eqArr>
            <m:eqArrPr>
              <m:maxDist m:val="1"/>
              <m:ctrlPr>
                <w:rPr>
                  <w:rFonts w:ascii="Cambria Math" w:hAnsi="Cambria Math"/>
                  <w:i/>
                </w:rPr>
              </m:ctrlPr>
            </m:eqArrPr>
            <m:e>
              <m:d>
                <m:dPr>
                  <m:begChr m:val="["/>
                  <m:endChr m:val="]"/>
                  <m:ctrlPr>
                    <w:rPr>
                      <w:rFonts w:ascii="Cambria Math" w:hAnsi="Cambria Math"/>
                      <w:i/>
                    </w:rPr>
                  </m:ctrlPr>
                </m:dPr>
                <m:e>
                  <m:f>
                    <m:fPr>
                      <m:ctrlPr>
                        <w:rPr>
                          <w:rFonts w:ascii="Cambria Math" w:hAnsi="Cambria Math"/>
                          <w:i/>
                        </w:rPr>
                      </m:ctrlPr>
                    </m:fPr>
                    <m:num>
                      <m:sSubSup>
                        <m:sSubSupPr>
                          <m:ctrlPr>
                            <w:rPr>
                              <w:rFonts w:ascii="Cambria Math" w:hAnsi="Cambria Math"/>
                              <w:i/>
                            </w:rPr>
                          </m:ctrlPr>
                        </m:sSubSupPr>
                        <m:e>
                          <m:r>
                            <w:rPr>
                              <w:rFonts w:ascii="Cambria Math" w:hAnsi="Cambria Math"/>
                            </w:rPr>
                            <m:t>C</m:t>
                          </m:r>
                        </m:e>
                        <m:sub>
                          <m:r>
                            <w:rPr>
                              <w:rFonts w:ascii="Cambria Math" w:hAnsi="Cambria Math"/>
                            </w:rPr>
                            <m:t>i</m:t>
                          </m:r>
                        </m:sub>
                        <m:sup>
                          <m:r>
                            <w:rPr>
                              <w:rFonts w:ascii="Cambria Math" w:hAnsi="Cambria Math"/>
                            </w:rPr>
                            <m:t>1</m:t>
                          </m:r>
                        </m:sup>
                      </m:sSubSup>
                    </m:num>
                    <m:den>
                      <m:sSubSup>
                        <m:sSubSupPr>
                          <m:ctrlPr>
                            <w:rPr>
                              <w:rFonts w:ascii="Cambria Math" w:hAnsi="Cambria Math"/>
                              <w:i/>
                            </w:rPr>
                          </m:ctrlPr>
                        </m:sSubSupPr>
                        <m:e>
                          <m:r>
                            <w:rPr>
                              <w:rFonts w:ascii="Cambria Math" w:hAnsi="Cambria Math"/>
                            </w:rPr>
                            <m:t>C</m:t>
                          </m:r>
                        </m:e>
                        <m:sub>
                          <m:r>
                            <w:rPr>
                              <w:rFonts w:ascii="Cambria Math" w:hAnsi="Cambria Math"/>
                            </w:rPr>
                            <m:t>a</m:t>
                          </m:r>
                        </m:sub>
                        <m:sup>
                          <m:r>
                            <w:rPr>
                              <w:rFonts w:ascii="Cambria Math" w:hAnsi="Cambria Math"/>
                            </w:rPr>
                            <m:t>1</m:t>
                          </m:r>
                        </m:sup>
                      </m:sSubSup>
                    </m:den>
                  </m:f>
                </m:e>
              </m:d>
              <m:d>
                <m:dPr>
                  <m:begChr m:val="["/>
                  <m:endChr m:val="]"/>
                  <m:ctrlPr>
                    <w:rPr>
                      <w:rFonts w:ascii="Cambria Math" w:hAnsi="Cambria Math"/>
                      <w:i/>
                    </w:rPr>
                  </m:ctrlPr>
                </m:dPr>
                <m:e>
                  <m:f>
                    <m:fPr>
                      <m:ctrlPr>
                        <w:rPr>
                          <w:rFonts w:ascii="Cambria Math" w:hAnsi="Cambria Math"/>
                          <w:i/>
                        </w:rPr>
                      </m:ctrlPr>
                    </m:fPr>
                    <m:num>
                      <m:sSubSup>
                        <m:sSubSupPr>
                          <m:ctrlPr>
                            <w:rPr>
                              <w:rFonts w:ascii="Cambria Math" w:hAnsi="Cambria Math"/>
                              <w:i/>
                            </w:rPr>
                          </m:ctrlPr>
                        </m:sSubSupPr>
                        <m:e>
                          <m:r>
                            <w:rPr>
                              <w:rFonts w:ascii="Cambria Math" w:hAnsi="Cambria Math"/>
                            </w:rPr>
                            <m:t>C</m:t>
                          </m:r>
                        </m:e>
                        <m:sub>
                          <m:r>
                            <w:rPr>
                              <w:rFonts w:ascii="Cambria Math" w:hAnsi="Cambria Math"/>
                            </w:rPr>
                            <m:t>a</m:t>
                          </m:r>
                        </m:sub>
                        <m:sup>
                          <m:r>
                            <w:rPr>
                              <w:rFonts w:ascii="Cambria Math" w:hAnsi="Cambria Math"/>
                            </w:rPr>
                            <m:t>2</m:t>
                          </m:r>
                        </m:sup>
                      </m:sSubSup>
                    </m:num>
                    <m:den>
                      <m:sSubSup>
                        <m:sSubSupPr>
                          <m:ctrlPr>
                            <w:rPr>
                              <w:rFonts w:ascii="Cambria Math" w:hAnsi="Cambria Math"/>
                              <w:i/>
                            </w:rPr>
                          </m:ctrlPr>
                        </m:sSubSupPr>
                        <m:e>
                          <m:r>
                            <w:rPr>
                              <w:rFonts w:ascii="Cambria Math" w:hAnsi="Cambria Math"/>
                            </w:rPr>
                            <m:t>C</m:t>
                          </m:r>
                        </m:e>
                        <m:sub>
                          <m:r>
                            <w:rPr>
                              <w:rFonts w:ascii="Cambria Math" w:hAnsi="Cambria Math"/>
                            </w:rPr>
                            <m:t>i</m:t>
                          </m:r>
                        </m:sub>
                        <m:sup>
                          <m:r>
                            <w:rPr>
                              <w:rFonts w:ascii="Cambria Math" w:hAnsi="Cambria Math"/>
                            </w:rPr>
                            <m:t>2</m:t>
                          </m:r>
                        </m:sup>
                      </m:sSubSup>
                    </m:den>
                  </m:f>
                </m:e>
              </m:d>
              <m:r>
                <w:rPr>
                  <w:rFonts w:ascii="Cambria Math" w:hAnsi="Cambria Math"/>
                </w:rPr>
                <m:t>=1#(3)</m:t>
              </m:r>
            </m:e>
          </m:eqArr>
        </m:oMath>
      </m:oMathPara>
    </w:p>
    <w:p w14:paraId="747BD782" w14:textId="77777777" w:rsidR="00C24959" w:rsidRDefault="00C24959" w:rsidP="00C24959">
      <w:pPr>
        <w:ind w:firstLine="720"/>
      </w:pPr>
      <w:r>
        <w:t>Equation (3) demonstrates that the product of the ratio of the concentrations of the non-reactive solute in the injection fluid versus the aquifer fluid and the ratio of the concentration of the potentially reactive solute in the aquifer fluid versus the injection fluid is equal to one. Therefore, the validity of equation (1) is dependent on equation (3) being equal to one. For example, bromide is often added to the injection fluid as a non-reactive solute at a concentration ten times greater than within the aquifer fluid. If a potentially reactive tracer, such as ethanol, is also added to the injection fluid at a concentration ten times greater than within the aquifer fluid, and does not react, then equation (1) will yield a dilution-adjusted breakthrough curve of ethanol equal to the injection concentration, because the assumptions in equation (3) are valid (</w:t>
      </w:r>
      <w:r w:rsidR="00070BBD">
        <w:fldChar w:fldCharType="begin"/>
      </w:r>
      <w:r w:rsidR="00070BBD">
        <w:instrText xml:space="preserve"> REF _Ref497484412 \h </w:instrText>
      </w:r>
      <w:r w:rsidR="00070BBD">
        <w:fldChar w:fldCharType="separate"/>
      </w:r>
      <w:r w:rsidR="00070BBD">
        <w:t xml:space="preserve">Figure </w:t>
      </w:r>
      <w:r w:rsidR="00070BBD">
        <w:rPr>
          <w:noProof/>
        </w:rPr>
        <w:t>4</w:t>
      </w:r>
      <w:r w:rsidR="00070BBD">
        <w:t>.</w:t>
      </w:r>
      <w:r w:rsidR="00070BBD">
        <w:rPr>
          <w:noProof/>
        </w:rPr>
        <w:t>1</w:t>
      </w:r>
      <w:r w:rsidR="00070BBD">
        <w:fldChar w:fldCharType="end"/>
      </w:r>
      <w:r>
        <w:t>). However, if the assumptions in equation (3) are not valid, then equation (1) will yield a dilution-adjusted breakthrough curve of ethanol not equal to the injection concentration (</w:t>
      </w:r>
      <w:r w:rsidR="00070BBD">
        <w:fldChar w:fldCharType="begin"/>
      </w:r>
      <w:r w:rsidR="00070BBD">
        <w:instrText xml:space="preserve"> REF _Ref497484412 \h </w:instrText>
      </w:r>
      <w:r w:rsidR="00070BBD">
        <w:fldChar w:fldCharType="separate"/>
      </w:r>
      <w:r w:rsidR="00070BBD">
        <w:t xml:space="preserve">Figure </w:t>
      </w:r>
      <w:r w:rsidR="00070BBD">
        <w:rPr>
          <w:noProof/>
        </w:rPr>
        <w:t>4</w:t>
      </w:r>
      <w:r w:rsidR="00070BBD">
        <w:t>.</w:t>
      </w:r>
      <w:r w:rsidR="00070BBD">
        <w:rPr>
          <w:noProof/>
        </w:rPr>
        <w:t>1</w:t>
      </w:r>
      <w:r w:rsidR="00070BBD">
        <w:fldChar w:fldCharType="end"/>
      </w:r>
      <w:r>
        <w:t xml:space="preserve">). This can result in dilution-adjusted breakthrough curves of potentially reactive tracers which suggest either net removal or net production occurred when in fact only non-reactive </w:t>
      </w:r>
      <w:r>
        <w:lastRenderedPageBreak/>
        <w:t>mixing occurred (</w:t>
      </w:r>
      <w:r w:rsidR="00070BBD">
        <w:fldChar w:fldCharType="begin"/>
      </w:r>
      <w:r w:rsidR="00070BBD">
        <w:instrText xml:space="preserve"> REF _Ref497484412 \h </w:instrText>
      </w:r>
      <w:r w:rsidR="00070BBD">
        <w:fldChar w:fldCharType="separate"/>
      </w:r>
      <w:r w:rsidR="00070BBD">
        <w:t xml:space="preserve">Figure </w:t>
      </w:r>
      <w:r w:rsidR="00070BBD">
        <w:rPr>
          <w:noProof/>
        </w:rPr>
        <w:t>4</w:t>
      </w:r>
      <w:r w:rsidR="00070BBD">
        <w:t>.</w:t>
      </w:r>
      <w:r w:rsidR="00070BBD">
        <w:rPr>
          <w:noProof/>
        </w:rPr>
        <w:t>1</w:t>
      </w:r>
      <w:r w:rsidR="00070BBD">
        <w:fldChar w:fldCharType="end"/>
      </w:r>
      <w:r>
        <w:t>). These effects can be compounded with time and can lead to erroneous conclusions regarding the reactivity of a potentially reactive solute (</w:t>
      </w:r>
      <w:r w:rsidR="00070BBD">
        <w:fldChar w:fldCharType="begin"/>
      </w:r>
      <w:r w:rsidR="00070BBD">
        <w:instrText xml:space="preserve"> REF _Ref497484412 \h </w:instrText>
      </w:r>
      <w:r w:rsidR="00070BBD">
        <w:fldChar w:fldCharType="separate"/>
      </w:r>
      <w:r w:rsidR="00070BBD">
        <w:t xml:space="preserve">Figure </w:t>
      </w:r>
      <w:r w:rsidR="00070BBD">
        <w:rPr>
          <w:noProof/>
        </w:rPr>
        <w:t>4</w:t>
      </w:r>
      <w:r w:rsidR="00070BBD">
        <w:t>.</w:t>
      </w:r>
      <w:r w:rsidR="00070BBD">
        <w:rPr>
          <w:noProof/>
        </w:rPr>
        <w:t>1</w:t>
      </w:r>
      <w:r w:rsidR="00070BBD">
        <w:fldChar w:fldCharType="end"/>
      </w:r>
      <w:r>
        <w:t xml:space="preserve">). Presumably, the assumptions associated with equation (1), as shown in equation (3), were either valid, or </w:t>
      </w:r>
      <w:r w:rsidR="00893FD9">
        <w:t>computational adjustments</w:t>
      </w:r>
      <w:r>
        <w:t xml:space="preserve"> were made to achieve a reasonable level of validity, in the many previously published studies which have utilized the push-pull test method (Istok 2013). However, no study to date has clearly established an analytical solution to account for dilution of any potentially reactive solute when the ratio of the concentrations of the non-reactive and potentially reactive solutes in the injection fluid versus the aquifer fluid are not equal. </w:t>
      </w:r>
    </w:p>
    <w:p w14:paraId="4E079455" w14:textId="77777777" w:rsidR="0008728D" w:rsidRPr="009E6A3A" w:rsidRDefault="0008728D" w:rsidP="0008728D">
      <w:pPr>
        <w:ind w:firstLine="720"/>
      </w:pPr>
      <w:r>
        <w:t>The objectives of this study were the following: (1) theoretically develop an analytical solution which predicts the breakthrough curve of any potentially reactive solute when the ratio of the concentrations of the non-reactive and potentially reactive solutes in the injection fluid versus the aquifer fluid are not equal and (2) apply, compare, and contrast the newly developed analytical solution with the existing dilution-adjusted solution using a data set from a previously published study which utilized the push-pull test method.</w:t>
      </w:r>
    </w:p>
    <w:p w14:paraId="13D24F55" w14:textId="77777777" w:rsidR="0008728D" w:rsidRDefault="0008728D" w:rsidP="00C24959">
      <w:pPr>
        <w:ind w:firstLine="720"/>
      </w:pPr>
    </w:p>
    <w:p w14:paraId="063A2A2D" w14:textId="77777777" w:rsidR="0008728D" w:rsidRDefault="0008728D" w:rsidP="00C24959">
      <w:pPr>
        <w:ind w:firstLine="720"/>
      </w:pPr>
    </w:p>
    <w:p w14:paraId="0070BFF7" w14:textId="77777777" w:rsidR="0008728D" w:rsidRDefault="0008728D" w:rsidP="00C24959">
      <w:pPr>
        <w:ind w:firstLine="720"/>
      </w:pPr>
    </w:p>
    <w:p w14:paraId="00812261" w14:textId="77777777" w:rsidR="0008728D" w:rsidRDefault="0008728D" w:rsidP="00C24959">
      <w:pPr>
        <w:ind w:firstLine="720"/>
      </w:pPr>
    </w:p>
    <w:p w14:paraId="751086D4" w14:textId="77777777" w:rsidR="0008728D" w:rsidRDefault="0008728D" w:rsidP="00C24959">
      <w:pPr>
        <w:ind w:firstLine="720"/>
      </w:pPr>
    </w:p>
    <w:p w14:paraId="16116312" w14:textId="77777777" w:rsidR="0008728D" w:rsidRDefault="0008728D" w:rsidP="00C24959">
      <w:pPr>
        <w:ind w:firstLine="720"/>
      </w:pPr>
    </w:p>
    <w:p w14:paraId="341271FF" w14:textId="77777777" w:rsidR="0008728D" w:rsidRDefault="0008728D" w:rsidP="00C24959">
      <w:pPr>
        <w:ind w:firstLine="720"/>
      </w:pPr>
    </w:p>
    <w:p w14:paraId="42AC0FEA" w14:textId="77777777" w:rsidR="0008728D" w:rsidRDefault="0008728D" w:rsidP="00C24959">
      <w:pPr>
        <w:ind w:firstLine="720"/>
      </w:pPr>
    </w:p>
    <w:p w14:paraId="5DEB5A66" w14:textId="77777777" w:rsidR="00C24959" w:rsidRDefault="006E3273" w:rsidP="006E3273">
      <w:r>
        <w:rPr>
          <w:noProof/>
          <w:lang w:eastAsia="zh-CN" w:bidi="ar-SA"/>
        </w:rPr>
        <w:lastRenderedPageBreak/>
        <w:drawing>
          <wp:inline distT="0" distB="0" distL="0" distR="0" wp14:anchorId="5A3B9469" wp14:editId="3AB9624D">
            <wp:extent cx="5943600" cy="3200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3200400"/>
                    </a:xfrm>
                    <a:prstGeom prst="rect">
                      <a:avLst/>
                    </a:prstGeom>
                    <a:noFill/>
                  </pic:spPr>
                </pic:pic>
              </a:graphicData>
            </a:graphic>
          </wp:inline>
        </w:drawing>
      </w:r>
    </w:p>
    <w:p w14:paraId="28F7E574" w14:textId="77777777" w:rsidR="00C24959" w:rsidRDefault="005D3709" w:rsidP="005D3709">
      <w:pPr>
        <w:pStyle w:val="Caption"/>
      </w:pPr>
      <w:bookmarkStart w:id="154" w:name="_Ref497484412"/>
      <w:bookmarkStart w:id="155" w:name="_Toc498504900"/>
      <w:r>
        <w:t xml:space="preserve">Figure </w:t>
      </w:r>
      <w:r w:rsidR="00CA2C3C">
        <w:fldChar w:fldCharType="begin"/>
      </w:r>
      <w:r w:rsidR="00CA2C3C">
        <w:instrText xml:space="preserve"> STYLEREF 1 \s </w:instrText>
      </w:r>
      <w:r w:rsidR="00CA2C3C">
        <w:fldChar w:fldCharType="separate"/>
      </w:r>
      <w:r w:rsidR="00E70E91">
        <w:rPr>
          <w:noProof/>
        </w:rPr>
        <w:t>4</w:t>
      </w:r>
      <w:r w:rsidR="00CA2C3C">
        <w:rPr>
          <w:noProof/>
        </w:rPr>
        <w:fldChar w:fldCharType="end"/>
      </w:r>
      <w:r w:rsidR="00E70E91">
        <w:t>.</w:t>
      </w:r>
      <w:r w:rsidR="00CA2C3C">
        <w:fldChar w:fldCharType="begin"/>
      </w:r>
      <w:r w:rsidR="00CA2C3C">
        <w:instrText xml:space="preserve"> SEQ Figure \* ARABIC \s 1 </w:instrText>
      </w:r>
      <w:r w:rsidR="00CA2C3C">
        <w:fldChar w:fldCharType="separate"/>
      </w:r>
      <w:r w:rsidR="00E70E91">
        <w:rPr>
          <w:noProof/>
        </w:rPr>
        <w:t>1</w:t>
      </w:r>
      <w:r w:rsidR="00CA2C3C">
        <w:rPr>
          <w:noProof/>
        </w:rPr>
        <w:fldChar w:fldCharType="end"/>
      </w:r>
      <w:bookmarkEnd w:id="154"/>
      <w:r>
        <w:t xml:space="preserve"> </w:t>
      </w:r>
      <w:r w:rsidR="00C24959" w:rsidRPr="005D3709">
        <w:rPr>
          <w:b w:val="0"/>
        </w:rPr>
        <w:t>Dilution-adjusted breakthrough curves of synthetic data from equation (1) of a potentially reactive tracer at values of equation (3) ranging from 0.5 to 10, equation (1) is valid when equation (3) is equal to 1, equation (1) is invalid when equation (3) is not equal to one, the injection concentration of the potentially reactive solute is 100 mg/L and does not react.</w:t>
      </w:r>
      <w:bookmarkEnd w:id="155"/>
      <w:r w:rsidR="00C24959">
        <w:t xml:space="preserve"> </w:t>
      </w:r>
    </w:p>
    <w:p w14:paraId="492A6A48" w14:textId="77777777" w:rsidR="006E3273" w:rsidRDefault="006E3273" w:rsidP="006E3273"/>
    <w:p w14:paraId="7B3C2F82" w14:textId="77777777" w:rsidR="0008728D" w:rsidRDefault="0008728D" w:rsidP="006E3273"/>
    <w:p w14:paraId="4EF788E2" w14:textId="77777777" w:rsidR="0008728D" w:rsidRDefault="0008728D" w:rsidP="006E3273"/>
    <w:p w14:paraId="094B2D48" w14:textId="77777777" w:rsidR="0008728D" w:rsidRDefault="0008728D" w:rsidP="006E3273"/>
    <w:p w14:paraId="2414DB34" w14:textId="77777777" w:rsidR="0008728D" w:rsidRDefault="0008728D" w:rsidP="006E3273"/>
    <w:p w14:paraId="4F2A2EA2" w14:textId="77777777" w:rsidR="0008728D" w:rsidRDefault="0008728D" w:rsidP="006E3273"/>
    <w:p w14:paraId="204BE767" w14:textId="77777777" w:rsidR="0008728D" w:rsidRDefault="0008728D" w:rsidP="006E3273"/>
    <w:p w14:paraId="1AF91923" w14:textId="77777777" w:rsidR="0008728D" w:rsidRDefault="0008728D" w:rsidP="006E3273"/>
    <w:p w14:paraId="61460876" w14:textId="77777777" w:rsidR="0008728D" w:rsidRDefault="0008728D" w:rsidP="006E3273"/>
    <w:p w14:paraId="56BF9246" w14:textId="77777777" w:rsidR="0008728D" w:rsidRDefault="0008728D" w:rsidP="006E3273"/>
    <w:p w14:paraId="0E5B677E" w14:textId="77777777" w:rsidR="00891106" w:rsidRDefault="00A63544" w:rsidP="00891106">
      <w:pPr>
        <w:pStyle w:val="Heading2"/>
      </w:pPr>
      <w:bookmarkStart w:id="156" w:name="_Toc498505061"/>
      <w:r>
        <w:lastRenderedPageBreak/>
        <w:t>4</w:t>
      </w:r>
      <w:r w:rsidR="00B93721">
        <w:t>.3.</w:t>
      </w:r>
      <w:r w:rsidR="00B93721">
        <w:tab/>
      </w:r>
      <w:r w:rsidR="00D3638F">
        <w:t xml:space="preserve">Theoretical </w:t>
      </w:r>
      <w:r w:rsidR="007868A9">
        <w:t>d</w:t>
      </w:r>
      <w:r w:rsidR="00D3638F">
        <w:t>evelopment</w:t>
      </w:r>
      <w:bookmarkEnd w:id="156"/>
    </w:p>
    <w:p w14:paraId="639DFB01" w14:textId="77777777" w:rsidR="00D3638F" w:rsidRDefault="00D3638F" w:rsidP="00853B48">
      <w:pPr>
        <w:ind w:firstLine="720"/>
      </w:pPr>
      <w:r w:rsidRPr="00D3638F">
        <w:t>During the push phase of a push-pull test, a finite volume of fluid (Vi) which contains a known mass of a non-reactive solute (Mi) is injected into an aquifer. The aquifer consists of an infinite volume of fluid which contains a known concentration of the non-reactive solute (Ca). During the pull phase, the concentration of the mixture of both fluids (Cm) is periodically sampled over time (t) as given by:</w:t>
      </w:r>
    </w:p>
    <w:p w14:paraId="3EB331FA" w14:textId="77777777" w:rsidR="00853B48" w:rsidRPr="00327AC4" w:rsidRDefault="00CA2C3C" w:rsidP="00D3638F">
      <m:oMath>
        <m:eqArr>
          <m:eqArrPr>
            <m:maxDist m:val="1"/>
            <m:ctrlPr>
              <w:rPr>
                <w:rFonts w:ascii="Cambria Math" w:hAnsi="Cambria Math"/>
              </w:rPr>
            </m:ctrlPr>
          </m:eqArrPr>
          <m:e>
            <m:sSub>
              <m:sSubPr>
                <m:ctrlPr>
                  <w:rPr>
                    <w:rFonts w:ascii="Cambria Math" w:hAnsi="Cambria Math"/>
                  </w:rPr>
                </m:ctrlPr>
              </m:sSubPr>
              <m:e>
                <m:r>
                  <w:rPr>
                    <w:rFonts w:ascii="Cambria Math" w:hAnsi="Cambria Math"/>
                  </w:rPr>
                  <m:t>C</m:t>
                </m:r>
              </m:e>
              <m:sub>
                <m:r>
                  <w:rPr>
                    <w:rFonts w:ascii="Cambria Math" w:hAnsi="Cambria Math"/>
                  </w:rPr>
                  <m:t>m</m:t>
                </m:r>
              </m:sub>
            </m:sSub>
            <m:r>
              <m:rPr>
                <m:sty m:val="p"/>
              </m:rPr>
              <w:rPr>
                <w:rFonts w:ascii="Cambria Math" w:hAnsi="Cambria Math"/>
              </w:rPr>
              <m:t>=</m:t>
            </m:r>
            <m:r>
              <w:rPr>
                <w:rFonts w:ascii="Cambria Math" w:hAnsi="Cambria Math"/>
              </w:rPr>
              <m:t>f</m:t>
            </m:r>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a</m:t>
                    </m:r>
                  </m:sub>
                </m:sSub>
                <m:r>
                  <m:rPr>
                    <m:sty m:val="p"/>
                  </m:rPr>
                  <w:rPr>
                    <w:rFonts w:ascii="Cambria Math" w:hAnsi="Cambria Math"/>
                  </w:rPr>
                  <m:t xml:space="preserve">, </m:t>
                </m:r>
                <m:r>
                  <w:rPr>
                    <w:rFonts w:ascii="Cambria Math" w:hAnsi="Cambria Math"/>
                  </w:rPr>
                  <m:t>t</m:t>
                </m:r>
              </m:e>
            </m:d>
            <m:r>
              <m:rPr>
                <m:sty m:val="p"/>
              </m:rPr>
              <w:rPr>
                <w:rFonts w:ascii="Cambria Math" w:hAnsi="Cambria Math"/>
              </w:rPr>
              <m:t xml:space="preserve"> #(4)</m:t>
            </m:r>
          </m:e>
        </m:eqArr>
      </m:oMath>
      <w:r w:rsidR="00853B48">
        <w:t xml:space="preserve">  </w:t>
      </w:r>
    </w:p>
    <w:p w14:paraId="7B910AC6" w14:textId="77777777" w:rsidR="00D3638F" w:rsidRDefault="00D3638F" w:rsidP="00D3638F">
      <w:r>
        <w:t xml:space="preserve">where: </w:t>
      </w:r>
    </w:p>
    <w:p w14:paraId="06574EA9" w14:textId="77777777" w:rsidR="00D3638F" w:rsidRDefault="00D3638F" w:rsidP="00D3638F">
      <w:r w:rsidRPr="00507703">
        <w:rPr>
          <w:i/>
        </w:rPr>
        <w:t>V</w:t>
      </w:r>
      <w:r w:rsidRPr="00507703">
        <w:rPr>
          <w:i/>
          <w:vertAlign w:val="subscript"/>
        </w:rPr>
        <w:t>i</w:t>
      </w:r>
      <w:r>
        <w:t xml:space="preserve"> = volume of the injection fluid [L</w:t>
      </w:r>
      <w:r w:rsidRPr="00507703">
        <w:rPr>
          <w:vertAlign w:val="superscript"/>
        </w:rPr>
        <w:t>3</w:t>
      </w:r>
      <w:r>
        <w:t>]</w:t>
      </w:r>
    </w:p>
    <w:p w14:paraId="5E715F44" w14:textId="77777777" w:rsidR="00D3638F" w:rsidRDefault="00D3638F" w:rsidP="00D3638F">
      <w:r w:rsidRPr="00507703">
        <w:rPr>
          <w:i/>
        </w:rPr>
        <w:t>M</w:t>
      </w:r>
      <w:r w:rsidRPr="00507703">
        <w:rPr>
          <w:i/>
          <w:vertAlign w:val="subscript"/>
        </w:rPr>
        <w:t>i</w:t>
      </w:r>
      <w:r>
        <w:t xml:space="preserve"> = mass of the non-reactive solute in the injection fluid [M]</w:t>
      </w:r>
    </w:p>
    <w:p w14:paraId="3E60A48C" w14:textId="77777777" w:rsidR="00D3638F" w:rsidRPr="00442324" w:rsidRDefault="00D3638F" w:rsidP="00D3638F">
      <w:r w:rsidRPr="00507703">
        <w:rPr>
          <w:i/>
        </w:rPr>
        <w:t>C</w:t>
      </w:r>
      <w:r w:rsidRPr="00507703">
        <w:rPr>
          <w:i/>
          <w:vertAlign w:val="subscript"/>
        </w:rPr>
        <w:t>a</w:t>
      </w:r>
      <w:r>
        <w:t xml:space="preserve"> = concentration of the non-reactive solute in the aquifer fluid [M/L</w:t>
      </w:r>
      <w:r w:rsidRPr="00E47C09">
        <w:rPr>
          <w:vertAlign w:val="superscript"/>
        </w:rPr>
        <w:t>3</w:t>
      </w:r>
      <w:r>
        <w:t>]</w:t>
      </w:r>
    </w:p>
    <w:p w14:paraId="1C955778" w14:textId="77777777" w:rsidR="00D3638F" w:rsidRPr="00507703" w:rsidRDefault="00D3638F" w:rsidP="00D3638F">
      <w:r w:rsidRPr="00507703">
        <w:rPr>
          <w:i/>
        </w:rPr>
        <w:t>C</w:t>
      </w:r>
      <w:r w:rsidRPr="00507703">
        <w:rPr>
          <w:i/>
          <w:vertAlign w:val="subscript"/>
        </w:rPr>
        <w:t>m</w:t>
      </w:r>
      <w:r>
        <w:t xml:space="preserve"> = concentration of the non-reactive solute in the mixture of the injection and aquifer fluids [M/L</w:t>
      </w:r>
      <w:r w:rsidRPr="00507703">
        <w:rPr>
          <w:vertAlign w:val="superscript"/>
        </w:rPr>
        <w:t>3</w:t>
      </w:r>
      <w:r>
        <w:t>]</w:t>
      </w:r>
    </w:p>
    <w:p w14:paraId="28494A72" w14:textId="77777777" w:rsidR="00D3638F" w:rsidRDefault="00D3638F" w:rsidP="00D3638F">
      <w:r w:rsidRPr="00507703">
        <w:rPr>
          <w:i/>
        </w:rPr>
        <w:t>t</w:t>
      </w:r>
      <w:r>
        <w:t xml:space="preserve"> = time elapsed from the beginning of pull phase [T]</w:t>
      </w:r>
    </w:p>
    <w:p w14:paraId="1EB9C591" w14:textId="77777777" w:rsidR="00D3638F" w:rsidRDefault="00D3638F" w:rsidP="00D3638F">
      <w:pPr>
        <w:ind w:firstLine="720"/>
      </w:pPr>
      <w:r>
        <w:t>Equation (4) can be simplified as given by:</w:t>
      </w:r>
    </w:p>
    <w:p w14:paraId="57DD1075" w14:textId="77777777" w:rsidR="00D3638F" w:rsidRDefault="00CA2C3C" w:rsidP="00D3638F">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C</m:t>
                  </m:r>
                </m:e>
                <m:sub>
                  <m:r>
                    <w:rPr>
                      <w:rFonts w:ascii="Cambria Math" w:hAnsi="Cambria Math"/>
                    </w:rPr>
                    <m:t>m</m:t>
                  </m:r>
                </m:sub>
              </m:sSub>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a</m:t>
                      </m:r>
                    </m:sub>
                  </m:sSub>
                  <m:r>
                    <w:rPr>
                      <w:rFonts w:ascii="Cambria Math" w:hAnsi="Cambria Math"/>
                    </w:rPr>
                    <m:t>, t</m:t>
                  </m:r>
                </m:e>
              </m:d>
              <m:r>
                <w:rPr>
                  <w:rFonts w:ascii="Cambria Math" w:hAnsi="Cambria Math"/>
                </w:rPr>
                <m:t xml:space="preserve"> #(5)</m:t>
              </m:r>
            </m:e>
          </m:eqArr>
        </m:oMath>
      </m:oMathPara>
    </w:p>
    <w:p w14:paraId="56CD4EF7" w14:textId="77777777" w:rsidR="00D3638F" w:rsidRDefault="00D3638F" w:rsidP="00D3638F">
      <w:r>
        <w:t xml:space="preserve">where: </w:t>
      </w:r>
    </w:p>
    <w:p w14:paraId="1D5B3A3E" w14:textId="77777777" w:rsidR="00D3638F" w:rsidRDefault="00D3638F" w:rsidP="00D3638F">
      <w:r>
        <w:rPr>
          <w:i/>
        </w:rPr>
        <w:t>C</w:t>
      </w:r>
      <w:r w:rsidRPr="00507703">
        <w:rPr>
          <w:i/>
          <w:vertAlign w:val="subscript"/>
        </w:rPr>
        <w:t>i</w:t>
      </w:r>
      <w:r>
        <w:t xml:space="preserve"> = concentration of the injection fluid or </w:t>
      </w:r>
      <w:r>
        <w:rPr>
          <w:i/>
        </w:rPr>
        <w:t>M</w:t>
      </w:r>
      <w:r w:rsidRPr="00507703">
        <w:rPr>
          <w:i/>
          <w:vertAlign w:val="subscript"/>
        </w:rPr>
        <w:t>i</w:t>
      </w:r>
      <w:r>
        <w:rPr>
          <w:i/>
        </w:rPr>
        <w:t xml:space="preserve"> </w:t>
      </w:r>
      <w:r w:rsidRPr="00615F04">
        <w:t>divided by</w:t>
      </w:r>
      <w:r w:rsidRPr="002E24E9">
        <w:rPr>
          <w:i/>
        </w:rPr>
        <w:t xml:space="preserve"> </w:t>
      </w:r>
      <w:r>
        <w:rPr>
          <w:i/>
        </w:rPr>
        <w:t>V</w:t>
      </w:r>
      <w:r w:rsidRPr="00507703">
        <w:rPr>
          <w:i/>
          <w:vertAlign w:val="subscript"/>
        </w:rPr>
        <w:t>i</w:t>
      </w:r>
      <w:r>
        <w:t xml:space="preserve"> [M/L</w:t>
      </w:r>
      <w:r w:rsidRPr="00507703">
        <w:rPr>
          <w:vertAlign w:val="superscript"/>
        </w:rPr>
        <w:t>3</w:t>
      </w:r>
      <w:r>
        <w:t>]</w:t>
      </w:r>
    </w:p>
    <w:p w14:paraId="4FD60E33" w14:textId="77777777" w:rsidR="00D3638F" w:rsidRDefault="00D3638F" w:rsidP="00D3638F">
      <w:pPr>
        <w:ind w:firstLine="567"/>
      </w:pPr>
      <w:r>
        <w:t>The concentration of the non-reactive solute in the mixture of both fluids (</w:t>
      </w:r>
      <w:r w:rsidRPr="008A0C22">
        <w:rPr>
          <w:i/>
        </w:rPr>
        <w:t>C</w:t>
      </w:r>
      <w:r w:rsidRPr="008A0C22">
        <w:rPr>
          <w:i/>
          <w:vertAlign w:val="subscript"/>
        </w:rPr>
        <w:t>m</w:t>
      </w:r>
      <w:r>
        <w:t>) will approach that of the aquifer (</w:t>
      </w:r>
      <w:r w:rsidRPr="00E47C09">
        <w:rPr>
          <w:i/>
        </w:rPr>
        <w:t>C</w:t>
      </w:r>
      <w:r w:rsidRPr="00E47C09">
        <w:rPr>
          <w:i/>
          <w:vertAlign w:val="subscript"/>
        </w:rPr>
        <w:t>a</w:t>
      </w:r>
      <w:r>
        <w:t>) as time (</w:t>
      </w:r>
      <w:r w:rsidRPr="00C872BD">
        <w:rPr>
          <w:i/>
        </w:rPr>
        <w:t>t</w:t>
      </w:r>
      <w:r>
        <w:t xml:space="preserve">) approaches infinity as given by:   </w:t>
      </w:r>
    </w:p>
    <w:p w14:paraId="61EBA4C6" w14:textId="77777777" w:rsidR="00D3638F" w:rsidRDefault="00CA2C3C" w:rsidP="00D3638F">
      <m:oMathPara>
        <m:oMath>
          <m:eqArr>
            <m:eqArrPr>
              <m:maxDist m:val="1"/>
              <m:ctrlPr>
                <w:rPr>
                  <w:rFonts w:ascii="Cambria Math" w:hAnsi="Cambria Math"/>
                  <w:i/>
                </w:rPr>
              </m:ctrlPr>
            </m:eqArrPr>
            <m:e>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t→∞</m:t>
                      </m:r>
                    </m:lim>
                  </m:limLow>
                </m:fName>
                <m:e>
                  <m:sSub>
                    <m:sSubPr>
                      <m:ctrlPr>
                        <w:rPr>
                          <w:rFonts w:ascii="Cambria Math" w:hAnsi="Cambria Math"/>
                          <w:i/>
                        </w:rPr>
                      </m:ctrlPr>
                    </m:sSubPr>
                    <m:e>
                      <m:r>
                        <w:rPr>
                          <w:rFonts w:ascii="Cambria Math" w:hAnsi="Cambria Math"/>
                        </w:rPr>
                        <m:t>C</m:t>
                      </m:r>
                    </m:e>
                    <m:sub>
                      <m:r>
                        <w:rPr>
                          <w:rFonts w:ascii="Cambria Math" w:hAnsi="Cambria Math"/>
                        </w:rPr>
                        <m:t>m</m:t>
                      </m:r>
                    </m:sub>
                  </m:sSub>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a</m:t>
                          </m:r>
                        </m:sub>
                      </m:sSub>
                      <m:r>
                        <w:rPr>
                          <w:rFonts w:ascii="Cambria Math" w:hAnsi="Cambria Math"/>
                        </w:rPr>
                        <m:t>, t</m:t>
                      </m:r>
                    </m:e>
                  </m:d>
                </m:e>
              </m:func>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a</m:t>
                  </m:r>
                </m:sub>
              </m:sSub>
              <m:r>
                <w:rPr>
                  <w:rFonts w:ascii="Cambria Math" w:hAnsi="Cambria Math"/>
                </w:rPr>
                <m:t xml:space="preserve"> #(6)</m:t>
              </m:r>
            </m:e>
          </m:eqArr>
        </m:oMath>
      </m:oMathPara>
    </w:p>
    <w:p w14:paraId="281D2F80" w14:textId="77777777" w:rsidR="00D3638F" w:rsidRDefault="00D3638F" w:rsidP="00D3638F">
      <w:pPr>
        <w:ind w:firstLine="567"/>
      </w:pPr>
      <w:r>
        <w:t xml:space="preserve">Equation (6) assumes that </w:t>
      </w:r>
      <w:r>
        <w:rPr>
          <w:i/>
        </w:rPr>
        <w:t>C</w:t>
      </w:r>
      <w:r w:rsidRPr="000A428F">
        <w:rPr>
          <w:i/>
          <w:vertAlign w:val="subscript"/>
        </w:rPr>
        <w:t>i</w:t>
      </w:r>
      <w:r>
        <w:t xml:space="preserve"> and </w:t>
      </w:r>
      <w:r w:rsidRPr="000A428F">
        <w:rPr>
          <w:i/>
        </w:rPr>
        <w:t>C</w:t>
      </w:r>
      <w:r w:rsidRPr="000A428F">
        <w:rPr>
          <w:i/>
          <w:vertAlign w:val="subscript"/>
        </w:rPr>
        <w:t>a</w:t>
      </w:r>
      <w:r>
        <w:t xml:space="preserve"> are constant and that only </w:t>
      </w:r>
      <w:r w:rsidRPr="000A428F">
        <w:rPr>
          <w:i/>
        </w:rPr>
        <w:t>C</w:t>
      </w:r>
      <w:r w:rsidRPr="000A428F">
        <w:rPr>
          <w:i/>
          <w:vertAlign w:val="subscript"/>
        </w:rPr>
        <w:t>m</w:t>
      </w:r>
      <w:r>
        <w:t xml:space="preserve"> and </w:t>
      </w:r>
      <w:r w:rsidRPr="000A428F">
        <w:rPr>
          <w:i/>
        </w:rPr>
        <w:t>t</w:t>
      </w:r>
      <w:r>
        <w:t xml:space="preserve"> are variable. If the concentration of the non-reactive solute in the injection fluid (</w:t>
      </w:r>
      <w:r w:rsidRPr="00551D39">
        <w:rPr>
          <w:i/>
        </w:rPr>
        <w:t>C</w:t>
      </w:r>
      <w:r w:rsidRPr="00551D39">
        <w:rPr>
          <w:i/>
          <w:vertAlign w:val="subscript"/>
        </w:rPr>
        <w:t>i</w:t>
      </w:r>
      <w:r>
        <w:t xml:space="preserve">) is either greater than or less </w:t>
      </w:r>
      <w:r>
        <w:lastRenderedPageBreak/>
        <w:t>than the concentration of the non-reactive solute in the aquifer fluid (</w:t>
      </w:r>
      <w:r w:rsidRPr="00C97423">
        <w:rPr>
          <w:i/>
        </w:rPr>
        <w:t>C</w:t>
      </w:r>
      <w:r w:rsidRPr="00C97423">
        <w:rPr>
          <w:i/>
          <w:vertAlign w:val="subscript"/>
        </w:rPr>
        <w:t>a</w:t>
      </w:r>
      <w:r>
        <w:t>), equation (6) can be depicted graphically as either a decreasing or increasing function, respectively (Fig. 2).</w:t>
      </w:r>
    </w:p>
    <w:p w14:paraId="02B406BD" w14:textId="77777777" w:rsidR="0068168B" w:rsidRDefault="0068168B" w:rsidP="0068168B">
      <w:pPr>
        <w:ind w:firstLine="567"/>
      </w:pPr>
      <w:r>
        <w:t xml:space="preserve">The initial condition at time equal to zero for </w:t>
      </w:r>
      <w:r w:rsidRPr="00615F04">
        <w:rPr>
          <w:i/>
        </w:rPr>
        <w:t>C</w:t>
      </w:r>
      <w:r w:rsidRPr="00615F04">
        <w:rPr>
          <w:i/>
          <w:vertAlign w:val="subscript"/>
        </w:rPr>
        <w:t>m</w:t>
      </w:r>
      <w:r>
        <w:t xml:space="preserve"> (Fig. 2) is given by: </w:t>
      </w:r>
    </w:p>
    <w:p w14:paraId="4F732DD7" w14:textId="77777777" w:rsidR="0068168B" w:rsidRDefault="00CA2C3C" w:rsidP="000F59BD">
      <w:pPr>
        <w:ind w:firstLine="567"/>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C</m:t>
                  </m:r>
                </m:e>
                <m:sub>
                  <m:r>
                    <w:rPr>
                      <w:rFonts w:ascii="Cambria Math" w:hAnsi="Cambria Math"/>
                    </w:rPr>
                    <m:t>m</m:t>
                  </m:r>
                </m:sub>
              </m:sSub>
              <m:d>
                <m:dPr>
                  <m:ctrlPr>
                    <w:rPr>
                      <w:rFonts w:ascii="Cambria Math" w:hAnsi="Cambria Math"/>
                      <w:i/>
                    </w:rPr>
                  </m:ctrlPr>
                </m:dPr>
                <m:e>
                  <m:r>
                    <w:rPr>
                      <w:rFonts w:ascii="Cambria Math" w:hAnsi="Cambria Math"/>
                    </w:rPr>
                    <m:t>t=0</m:t>
                  </m:r>
                </m:e>
              </m:d>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 xml:space="preserve"> #(7)</m:t>
              </m:r>
            </m:e>
          </m:eqArr>
        </m:oMath>
      </m:oMathPara>
    </w:p>
    <w:p w14:paraId="10B27F41" w14:textId="77777777" w:rsidR="0068168B" w:rsidRDefault="0068168B" w:rsidP="0068168B">
      <w:r>
        <w:t xml:space="preserve">The final condition as time approaches infinity for </w:t>
      </w:r>
      <w:r w:rsidRPr="00615F04">
        <w:rPr>
          <w:i/>
        </w:rPr>
        <w:t>C</w:t>
      </w:r>
      <w:r w:rsidRPr="00615F04">
        <w:rPr>
          <w:i/>
          <w:vertAlign w:val="subscript"/>
        </w:rPr>
        <w:t>m</w:t>
      </w:r>
      <w:r>
        <w:t xml:space="preserve"> (Fig. 2) is given by: </w:t>
      </w:r>
    </w:p>
    <w:p w14:paraId="2AC8AB8B" w14:textId="77777777" w:rsidR="0068168B" w:rsidRDefault="00CA2C3C" w:rsidP="0068168B">
      <w:pPr>
        <w:ind w:firstLine="567"/>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C</m:t>
                  </m:r>
                </m:e>
                <m:sub>
                  <m:r>
                    <w:rPr>
                      <w:rFonts w:ascii="Cambria Math" w:hAnsi="Cambria Math"/>
                    </w:rPr>
                    <m:t>m</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a</m:t>
                  </m:r>
                </m:sub>
              </m:sSub>
              <m:r>
                <w:rPr>
                  <w:rFonts w:ascii="Cambria Math" w:hAnsi="Cambria Math"/>
                </w:rPr>
                <m:t xml:space="preserve"> #(8)</m:t>
              </m:r>
            </m:e>
          </m:eqArr>
        </m:oMath>
      </m:oMathPara>
    </w:p>
    <w:p w14:paraId="6F69BF8C" w14:textId="77777777" w:rsidR="0068168B" w:rsidRDefault="0068168B" w:rsidP="0068168B">
      <w:r>
        <w:t xml:space="preserve">Equation (6) can be solved by using a modified first-order decay equation to satisfy the initial and final conditions in (7) and (8), respectively, as given by: </w:t>
      </w:r>
    </w:p>
    <w:p w14:paraId="46E645B6" w14:textId="77777777" w:rsidR="0068168B" w:rsidRDefault="00CA2C3C" w:rsidP="0068168B">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C</m:t>
                  </m:r>
                </m:e>
                <m:sub>
                  <m:r>
                    <w:rPr>
                      <w:rFonts w:ascii="Cambria Math" w:hAnsi="Cambria Math"/>
                    </w:rPr>
                    <m:t>m</m:t>
                  </m:r>
                </m:sub>
              </m:sSub>
              <m:d>
                <m:dPr>
                  <m:ctrlPr>
                    <w:rPr>
                      <w:rFonts w:ascii="Cambria Math" w:hAnsi="Cambria Math"/>
                      <w:i/>
                    </w:rPr>
                  </m:ctrlPr>
                </m:dPr>
                <m:e>
                  <m:r>
                    <w:rPr>
                      <w:rFonts w:ascii="Cambria Math" w:hAnsi="Cambria Math"/>
                    </w:rPr>
                    <m:t>t</m:t>
                  </m:r>
                </m:e>
              </m:d>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a</m:t>
                      </m:r>
                    </m:sub>
                  </m:sSub>
                </m:e>
              </m:d>
              <m:sSup>
                <m:sSupPr>
                  <m:ctrlPr>
                    <w:rPr>
                      <w:rFonts w:ascii="Cambria Math" w:hAnsi="Cambria Math"/>
                      <w:i/>
                    </w:rPr>
                  </m:ctrlPr>
                </m:sSupPr>
                <m:e>
                  <m:r>
                    <w:rPr>
                      <w:rFonts w:ascii="Cambria Math" w:hAnsi="Cambria Math"/>
                    </w:rPr>
                    <m:t>e</m:t>
                  </m:r>
                </m:e>
                <m:sup>
                  <m:r>
                    <w:rPr>
                      <w:rFonts w:ascii="Cambria Math" w:hAnsi="Cambria Math"/>
                    </w:rPr>
                    <m:t>-kt</m:t>
                  </m:r>
                </m:sup>
              </m:sSup>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a</m:t>
                  </m:r>
                </m:sub>
              </m:sSub>
              <m:r>
                <w:rPr>
                  <w:rFonts w:ascii="Cambria Math" w:hAnsi="Cambria Math"/>
                </w:rPr>
                <m:t xml:space="preserve"> #(9)</m:t>
              </m:r>
            </m:e>
          </m:eqArr>
        </m:oMath>
      </m:oMathPara>
    </w:p>
    <w:p w14:paraId="0B0D27AB" w14:textId="77777777" w:rsidR="0068168B" w:rsidRDefault="0068168B" w:rsidP="0068168B">
      <w:r>
        <w:t xml:space="preserve">where: </w:t>
      </w:r>
    </w:p>
    <w:p w14:paraId="12B788B7" w14:textId="77777777" w:rsidR="0068168B" w:rsidRDefault="0068168B" w:rsidP="0068168B">
      <w:r>
        <w:rPr>
          <w:i/>
        </w:rPr>
        <w:t>k</w:t>
      </w:r>
      <w:r>
        <w:t xml:space="preserve"> = decay constant 1/[T]</w:t>
      </w:r>
    </w:p>
    <w:p w14:paraId="260493CC" w14:textId="77777777" w:rsidR="0068168B" w:rsidRDefault="0068168B" w:rsidP="0068168B">
      <w:r>
        <w:tab/>
        <w:t xml:space="preserve">An inspection of equation (9) at time equal to zero yields </w:t>
      </w:r>
      <w:r w:rsidRPr="00615F04">
        <w:rPr>
          <w:i/>
        </w:rPr>
        <w:t>C</w:t>
      </w:r>
      <w:r w:rsidRPr="00615F04">
        <w:rPr>
          <w:i/>
          <w:vertAlign w:val="subscript"/>
        </w:rPr>
        <w:t>m</w:t>
      </w:r>
      <w:r>
        <w:t xml:space="preserve"> equal to </w:t>
      </w:r>
      <w:r w:rsidRPr="00615F04">
        <w:rPr>
          <w:i/>
        </w:rPr>
        <w:t>C</w:t>
      </w:r>
      <w:r w:rsidRPr="00615F04">
        <w:rPr>
          <w:i/>
          <w:vertAlign w:val="subscript"/>
        </w:rPr>
        <w:t>i</w:t>
      </w:r>
      <w:r>
        <w:t xml:space="preserve"> and as time approaches infinity yields </w:t>
      </w:r>
      <w:r w:rsidRPr="00615F04">
        <w:rPr>
          <w:i/>
        </w:rPr>
        <w:t>C</w:t>
      </w:r>
      <w:r w:rsidRPr="00615F04">
        <w:rPr>
          <w:i/>
          <w:vertAlign w:val="subscript"/>
        </w:rPr>
        <w:t>m</w:t>
      </w:r>
      <w:r>
        <w:t xml:space="preserve"> equal to </w:t>
      </w:r>
      <w:r w:rsidRPr="00615F04">
        <w:rPr>
          <w:i/>
        </w:rPr>
        <w:t>C</w:t>
      </w:r>
      <w:r w:rsidRPr="00615F04">
        <w:rPr>
          <w:i/>
          <w:vertAlign w:val="subscript"/>
        </w:rPr>
        <w:t>a</w:t>
      </w:r>
      <w:r>
        <w:t xml:space="preserve">. If </w:t>
      </w:r>
      <w:r w:rsidRPr="00615F04">
        <w:rPr>
          <w:i/>
        </w:rPr>
        <w:t>C</w:t>
      </w:r>
      <w:r w:rsidRPr="00615F04">
        <w:rPr>
          <w:i/>
          <w:vertAlign w:val="subscript"/>
        </w:rPr>
        <w:t>i</w:t>
      </w:r>
      <w:r>
        <w:t xml:space="preserve"> is greater than </w:t>
      </w:r>
      <w:r w:rsidRPr="00615F04">
        <w:rPr>
          <w:i/>
        </w:rPr>
        <w:t>C</w:t>
      </w:r>
      <w:r w:rsidRPr="00615F04">
        <w:rPr>
          <w:i/>
          <w:vertAlign w:val="subscript"/>
        </w:rPr>
        <w:t>a</w:t>
      </w:r>
      <w:r>
        <w:t xml:space="preserve">, equation (9) yields </w:t>
      </w:r>
      <w:r w:rsidRPr="00615F04">
        <w:rPr>
          <w:i/>
        </w:rPr>
        <w:t>C</w:t>
      </w:r>
      <w:r w:rsidRPr="00615F04">
        <w:rPr>
          <w:i/>
          <w:vertAlign w:val="subscript"/>
        </w:rPr>
        <w:t>m</w:t>
      </w:r>
      <w:r>
        <w:t xml:space="preserve"> as a decreasing variable. If </w:t>
      </w:r>
      <w:r w:rsidRPr="00524183">
        <w:rPr>
          <w:i/>
        </w:rPr>
        <w:t>C</w:t>
      </w:r>
      <w:r>
        <w:rPr>
          <w:i/>
          <w:vertAlign w:val="subscript"/>
        </w:rPr>
        <w:t>a</w:t>
      </w:r>
      <w:r>
        <w:t xml:space="preserve"> is greater than </w:t>
      </w:r>
      <w:r w:rsidRPr="00524183">
        <w:rPr>
          <w:i/>
        </w:rPr>
        <w:t>C</w:t>
      </w:r>
      <w:r>
        <w:rPr>
          <w:i/>
          <w:vertAlign w:val="subscript"/>
        </w:rPr>
        <w:t>i</w:t>
      </w:r>
      <w:r>
        <w:t xml:space="preserve">, equation (9) yields </w:t>
      </w:r>
      <w:r w:rsidRPr="00524183">
        <w:rPr>
          <w:i/>
        </w:rPr>
        <w:t>C</w:t>
      </w:r>
      <w:r w:rsidRPr="00524183">
        <w:rPr>
          <w:i/>
          <w:vertAlign w:val="subscript"/>
        </w:rPr>
        <w:t>m</w:t>
      </w:r>
      <w:r>
        <w:t xml:space="preserve"> as an increasing variable. Therefore, equation (9) can describe the breakthrough curve of a non-reactive solute in the mixture of the injection and aquifer fluids. Equation (9) can be rearranged as given by:</w:t>
      </w:r>
    </w:p>
    <w:p w14:paraId="18A6BF3F" w14:textId="77777777" w:rsidR="0068168B" w:rsidRDefault="00CA2C3C" w:rsidP="0068168B">
      <m:oMathPara>
        <m:oMath>
          <m:eqArr>
            <m:eqArrPr>
              <m:maxDist m:val="1"/>
              <m:ctrlPr>
                <w:rPr>
                  <w:rFonts w:ascii="Cambria Math" w:hAnsi="Cambria Math"/>
                  <w:i/>
                </w:rPr>
              </m:ctrlPr>
            </m:eqArrPr>
            <m:e>
              <m:f>
                <m:fPr>
                  <m:ctrlPr>
                    <w:rPr>
                      <w:rFonts w:ascii="Cambria Math" w:hAnsi="Cambria Math"/>
                      <w:i/>
                    </w:rPr>
                  </m:ctrlPr>
                </m:fPr>
                <m:num>
                  <m:d>
                    <m:dPr>
                      <m:begChr m:val="["/>
                      <m:endChr m:val="]"/>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m</m:t>
                          </m:r>
                        </m:sub>
                      </m:sSub>
                      <m:d>
                        <m:dPr>
                          <m:ctrlPr>
                            <w:rPr>
                              <w:rFonts w:ascii="Cambria Math" w:hAnsi="Cambria Math"/>
                              <w:i/>
                            </w:rPr>
                          </m:ctrlPr>
                        </m:dPr>
                        <m:e>
                          <m:r>
                            <w:rPr>
                              <w:rFonts w:ascii="Cambria Math" w:hAnsi="Cambria Math"/>
                            </w:rPr>
                            <m:t>t</m:t>
                          </m:r>
                        </m:e>
                      </m:d>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a</m:t>
                          </m:r>
                        </m:sub>
                      </m:sSub>
                    </m:e>
                  </m:d>
                </m:num>
                <m:den>
                  <m:d>
                    <m:dPr>
                      <m:begChr m:val="["/>
                      <m:endChr m:val="]"/>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a</m:t>
                          </m:r>
                        </m:sub>
                      </m:sSub>
                    </m:e>
                  </m:d>
                </m:den>
              </m:f>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-kt</m:t>
                  </m:r>
                </m:sup>
              </m:sSup>
              <m:r>
                <w:rPr>
                  <w:rFonts w:ascii="Cambria Math" w:hAnsi="Cambria Math"/>
                </w:rPr>
                <m:t xml:space="preserve"> #(10)</m:t>
              </m:r>
            </m:e>
          </m:eqArr>
        </m:oMath>
      </m:oMathPara>
    </w:p>
    <w:p w14:paraId="500387F6" w14:textId="77777777" w:rsidR="0068168B" w:rsidRDefault="0068168B" w:rsidP="0068168B">
      <w:r>
        <w:t xml:space="preserve">Equation (10) describes the ratio of non-reactive mixing between the injection fluid (numerator) and the aquifer fluid (denominator) as a function of the rate at which the two fluids mix. If the rate at which the non-reactive tracer mixes with the aquifer is equal to the rate at which the potentially reactive tracer mixes with the aquifer then equation (10) can be written as:   </w:t>
      </w:r>
    </w:p>
    <w:p w14:paraId="3283CB6C" w14:textId="77777777" w:rsidR="00D3638F" w:rsidRDefault="00D3638F" w:rsidP="00D3638F">
      <w:pPr>
        <w:ind w:firstLine="567"/>
      </w:pPr>
    </w:p>
    <w:p w14:paraId="051FCD06" w14:textId="77777777" w:rsidR="00D3638F" w:rsidRDefault="00150AE0" w:rsidP="00150AE0">
      <w:r>
        <w:rPr>
          <w:noProof/>
          <w:lang w:eastAsia="zh-CN" w:bidi="ar-SA"/>
        </w:rPr>
        <w:lastRenderedPageBreak/>
        <w:drawing>
          <wp:inline distT="0" distB="0" distL="0" distR="0" wp14:anchorId="74FCFBDC" wp14:editId="28572999">
            <wp:extent cx="5943600" cy="32004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3200400"/>
                    </a:xfrm>
                    <a:prstGeom prst="rect">
                      <a:avLst/>
                    </a:prstGeom>
                    <a:noFill/>
                  </pic:spPr>
                </pic:pic>
              </a:graphicData>
            </a:graphic>
          </wp:inline>
        </w:drawing>
      </w:r>
    </w:p>
    <w:p w14:paraId="6970A95A" w14:textId="49E3486A" w:rsidR="00573AB2" w:rsidRDefault="00E56797" w:rsidP="004A71D1">
      <w:pPr>
        <w:pStyle w:val="Caption"/>
      </w:pPr>
      <w:bookmarkStart w:id="157" w:name="_Toc498504901"/>
      <w:r>
        <w:t xml:space="preserve">Figure </w:t>
      </w:r>
      <w:r w:rsidR="00CA2C3C">
        <w:fldChar w:fldCharType="begin"/>
      </w:r>
      <w:r w:rsidR="00CA2C3C">
        <w:instrText xml:space="preserve"> STYLEREF 1 \s </w:instrText>
      </w:r>
      <w:r w:rsidR="00CA2C3C">
        <w:fldChar w:fldCharType="separate"/>
      </w:r>
      <w:r w:rsidR="00E70E91">
        <w:rPr>
          <w:noProof/>
        </w:rPr>
        <w:t>4</w:t>
      </w:r>
      <w:r w:rsidR="00CA2C3C">
        <w:rPr>
          <w:noProof/>
        </w:rPr>
        <w:fldChar w:fldCharType="end"/>
      </w:r>
      <w:r w:rsidR="00E70E91">
        <w:t>.</w:t>
      </w:r>
      <w:r w:rsidR="00CA2C3C">
        <w:fldChar w:fldCharType="begin"/>
      </w:r>
      <w:r w:rsidR="00CA2C3C">
        <w:instrText xml:space="preserve"> SEQ Figure \* ARABIC \s 1 </w:instrText>
      </w:r>
      <w:r w:rsidR="00CA2C3C">
        <w:fldChar w:fldCharType="separate"/>
      </w:r>
      <w:r w:rsidR="00E70E91">
        <w:rPr>
          <w:noProof/>
        </w:rPr>
        <w:t>2</w:t>
      </w:r>
      <w:r w:rsidR="00CA2C3C">
        <w:rPr>
          <w:noProof/>
        </w:rPr>
        <w:fldChar w:fldCharType="end"/>
      </w:r>
      <w:r>
        <w:t xml:space="preserve"> </w:t>
      </w:r>
      <w:r w:rsidR="00BC28C7" w:rsidRPr="00E56797">
        <w:rPr>
          <w:b w:val="0"/>
        </w:rPr>
        <w:t>Graphical depictions of the concentration of a non-reactive solute in the mixture of injection and aquifer fluids (</w:t>
      </w:r>
      <w:r w:rsidR="00BC28C7" w:rsidRPr="00E56797">
        <w:rPr>
          <w:b w:val="0"/>
          <w:i/>
        </w:rPr>
        <w:t>C</w:t>
      </w:r>
      <w:r w:rsidR="00BC28C7" w:rsidRPr="00E56797">
        <w:rPr>
          <w:b w:val="0"/>
          <w:i/>
          <w:vertAlign w:val="subscript"/>
        </w:rPr>
        <w:t>m</w:t>
      </w:r>
      <w:r w:rsidR="00BC28C7" w:rsidRPr="00E56797">
        <w:rPr>
          <w:b w:val="0"/>
        </w:rPr>
        <w:t>) versus the elapsed time (</w:t>
      </w:r>
      <w:r w:rsidR="00BC28C7" w:rsidRPr="00E56797">
        <w:rPr>
          <w:b w:val="0"/>
          <w:i/>
        </w:rPr>
        <w:t>t</w:t>
      </w:r>
      <w:r w:rsidR="00BC28C7" w:rsidRPr="00E56797">
        <w:rPr>
          <w:b w:val="0"/>
        </w:rPr>
        <w:t xml:space="preserve">); </w:t>
      </w:r>
      <w:r w:rsidR="00BC28C7" w:rsidRPr="00E56797">
        <w:rPr>
          <w:b w:val="0"/>
          <w:i/>
        </w:rPr>
        <w:t>C</w:t>
      </w:r>
      <w:r w:rsidR="00BC28C7" w:rsidRPr="00E56797">
        <w:rPr>
          <w:b w:val="0"/>
          <w:i/>
          <w:vertAlign w:val="subscript"/>
        </w:rPr>
        <w:t>i</w:t>
      </w:r>
      <w:r w:rsidR="00BC28C7" w:rsidRPr="00E56797">
        <w:rPr>
          <w:b w:val="0"/>
        </w:rPr>
        <w:t xml:space="preserve"> is the concentration of the non-reactive solute in the injection fluid, </w:t>
      </w:r>
      <w:r w:rsidR="00BC28C7" w:rsidRPr="00E56797">
        <w:rPr>
          <w:b w:val="0"/>
          <w:i/>
        </w:rPr>
        <w:t>C</w:t>
      </w:r>
      <w:r w:rsidR="00BC28C7" w:rsidRPr="00E56797">
        <w:rPr>
          <w:b w:val="0"/>
          <w:i/>
          <w:vertAlign w:val="subscript"/>
        </w:rPr>
        <w:t xml:space="preserve">a </w:t>
      </w:r>
      <w:r w:rsidR="00BC28C7" w:rsidRPr="00E56797">
        <w:rPr>
          <w:b w:val="0"/>
        </w:rPr>
        <w:t xml:space="preserve">is the concentration of the non-reactive solute in the aquifer, </w:t>
      </w:r>
      <w:r w:rsidR="00BC28C7" w:rsidRPr="00E56797">
        <w:rPr>
          <w:b w:val="0"/>
          <w:i/>
        </w:rPr>
        <w:t>C</w:t>
      </w:r>
      <w:r w:rsidR="00BC28C7" w:rsidRPr="00E56797">
        <w:rPr>
          <w:b w:val="0"/>
          <w:i/>
          <w:vertAlign w:val="subscript"/>
        </w:rPr>
        <w:t>i</w:t>
      </w:r>
      <w:r w:rsidR="00BC28C7" w:rsidRPr="00E56797">
        <w:rPr>
          <w:b w:val="0"/>
        </w:rPr>
        <w:t xml:space="preserve"> is greater than </w:t>
      </w:r>
      <w:r w:rsidR="00BC28C7" w:rsidRPr="00E56797">
        <w:rPr>
          <w:b w:val="0"/>
          <w:i/>
        </w:rPr>
        <w:t>C</w:t>
      </w:r>
      <w:r w:rsidR="00BC28C7" w:rsidRPr="00E56797">
        <w:rPr>
          <w:b w:val="0"/>
          <w:i/>
          <w:vertAlign w:val="subscript"/>
        </w:rPr>
        <w:t>a</w:t>
      </w:r>
      <w:r w:rsidR="00BC28C7" w:rsidRPr="00E56797">
        <w:rPr>
          <w:b w:val="0"/>
        </w:rPr>
        <w:t xml:space="preserve"> in (a), </w:t>
      </w:r>
      <w:r w:rsidR="00BC28C7" w:rsidRPr="00E56797">
        <w:rPr>
          <w:b w:val="0"/>
          <w:i/>
        </w:rPr>
        <w:t>C</w:t>
      </w:r>
      <w:r w:rsidR="00BC28C7" w:rsidRPr="00E56797">
        <w:rPr>
          <w:b w:val="0"/>
          <w:i/>
          <w:vertAlign w:val="subscript"/>
        </w:rPr>
        <w:t>i</w:t>
      </w:r>
      <w:r w:rsidR="00BC28C7" w:rsidRPr="00E56797">
        <w:rPr>
          <w:b w:val="0"/>
        </w:rPr>
        <w:t xml:space="preserve"> is less than </w:t>
      </w:r>
      <w:r w:rsidR="00BC28C7" w:rsidRPr="00E56797">
        <w:rPr>
          <w:b w:val="0"/>
          <w:i/>
        </w:rPr>
        <w:t>C</w:t>
      </w:r>
      <w:r w:rsidR="00BC28C7" w:rsidRPr="00E56797">
        <w:rPr>
          <w:b w:val="0"/>
          <w:i/>
          <w:vertAlign w:val="subscript"/>
        </w:rPr>
        <w:t>a</w:t>
      </w:r>
      <w:r w:rsidR="00BC28C7" w:rsidRPr="00E56797">
        <w:rPr>
          <w:b w:val="0"/>
        </w:rPr>
        <w:t xml:space="preserve"> in (b).</w:t>
      </w:r>
      <w:bookmarkEnd w:id="157"/>
      <w:r w:rsidR="00BC28C7">
        <w:t xml:space="preserve"> </w:t>
      </w:r>
    </w:p>
    <w:p w14:paraId="2F5DF1C3" w14:textId="574271EF" w:rsidR="004A71D1" w:rsidRDefault="004A71D1" w:rsidP="004A71D1"/>
    <w:p w14:paraId="2B19C873" w14:textId="5378BFF5" w:rsidR="004A71D1" w:rsidRDefault="004A71D1" w:rsidP="004A71D1"/>
    <w:p w14:paraId="5A690886" w14:textId="72BAE349" w:rsidR="004A71D1" w:rsidRDefault="004A71D1" w:rsidP="004A71D1"/>
    <w:p w14:paraId="06AE4F39" w14:textId="248FB0F5" w:rsidR="004A71D1" w:rsidRDefault="004A71D1" w:rsidP="004A71D1"/>
    <w:p w14:paraId="37846113" w14:textId="49D53C0B" w:rsidR="004A71D1" w:rsidRDefault="004A71D1" w:rsidP="004A71D1"/>
    <w:p w14:paraId="146D440C" w14:textId="220F3889" w:rsidR="004A71D1" w:rsidRDefault="004A71D1" w:rsidP="004A71D1"/>
    <w:p w14:paraId="3CF8B124" w14:textId="4C7911FA" w:rsidR="004A71D1" w:rsidRDefault="004A71D1" w:rsidP="004A71D1"/>
    <w:p w14:paraId="5BB38381" w14:textId="7918AB81" w:rsidR="004A71D1" w:rsidRDefault="004A71D1" w:rsidP="004A71D1"/>
    <w:p w14:paraId="42787B55" w14:textId="77777777" w:rsidR="004A71D1" w:rsidRPr="004A71D1" w:rsidRDefault="004A71D1" w:rsidP="004A71D1"/>
    <w:p w14:paraId="221DD191" w14:textId="77777777" w:rsidR="00573AB2" w:rsidRDefault="00CA2C3C" w:rsidP="00573AB2">
      <m:oMathPara>
        <m:oMath>
          <m:eqArr>
            <m:eqArrPr>
              <m:maxDist m:val="1"/>
              <m:ctrlPr>
                <w:rPr>
                  <w:rFonts w:ascii="Cambria Math" w:hAnsi="Cambria Math"/>
                  <w:i/>
                </w:rPr>
              </m:ctrlPr>
            </m:eqArrPr>
            <m:e>
              <m:f>
                <m:fPr>
                  <m:ctrlPr>
                    <w:rPr>
                      <w:rFonts w:ascii="Cambria Math" w:hAnsi="Cambria Math"/>
                      <w:i/>
                    </w:rPr>
                  </m:ctrlPr>
                </m:fPr>
                <m:num>
                  <m:d>
                    <m:dPr>
                      <m:begChr m:val="["/>
                      <m:endChr m:val="]"/>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m</m:t>
                          </m:r>
                        </m:sub>
                      </m:sSub>
                      <m:d>
                        <m:dPr>
                          <m:ctrlPr>
                            <w:rPr>
                              <w:rFonts w:ascii="Cambria Math" w:hAnsi="Cambria Math"/>
                              <w:i/>
                            </w:rPr>
                          </m:ctrlPr>
                        </m:dPr>
                        <m:e>
                          <m:r>
                            <w:rPr>
                              <w:rFonts w:ascii="Cambria Math" w:hAnsi="Cambria Math"/>
                            </w:rPr>
                            <m:t>t</m:t>
                          </m:r>
                        </m:e>
                      </m:d>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a</m:t>
                          </m:r>
                        </m:sub>
                      </m:sSub>
                    </m:e>
                  </m:d>
                </m:num>
                <m:den>
                  <m:d>
                    <m:dPr>
                      <m:begChr m:val="["/>
                      <m:endChr m:val="]"/>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a</m:t>
                          </m:r>
                        </m:sub>
                      </m:sSub>
                    </m:e>
                  </m:d>
                </m:den>
              </m:f>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-kt</m:t>
                  </m:r>
                </m:sup>
              </m:sSup>
              <m:r>
                <w:rPr>
                  <w:rFonts w:ascii="Cambria Math" w:hAnsi="Cambria Math"/>
                </w:rPr>
                <m:t xml:space="preserve"> #(10)</m:t>
              </m:r>
            </m:e>
          </m:eqArr>
        </m:oMath>
      </m:oMathPara>
    </w:p>
    <w:p w14:paraId="6CFD626B" w14:textId="77777777" w:rsidR="00573AB2" w:rsidRDefault="00573AB2" w:rsidP="00573AB2">
      <w:r>
        <w:t xml:space="preserve">Equation (10) describes the ratio of non-reactive mixing between the injection fluid (numerator) and the aquifer fluid (denominator) as a function of the rate at which the two fluids mix. If the rate at which the non-reactive tracer mixes with the aquifer is equal to the rate at which the potentially reactive tracer mixes with the aquifer then equation (10) can be written as:   </w:t>
      </w:r>
    </w:p>
    <w:p w14:paraId="4FB58C4B" w14:textId="77777777" w:rsidR="00573AB2" w:rsidRDefault="00CA2C3C" w:rsidP="00573AB2">
      <m:oMathPara>
        <m:oMath>
          <m:eqArr>
            <m:eqArrPr>
              <m:maxDist m:val="1"/>
              <m:ctrlPr>
                <w:rPr>
                  <w:rFonts w:ascii="Cambria Math" w:hAnsi="Cambria Math"/>
                  <w:i/>
                </w:rPr>
              </m:ctrlPr>
            </m:eqArrPr>
            <m:e>
              <m:func>
                <m:funcPr>
                  <m:ctrlPr>
                    <w:rPr>
                      <w:rFonts w:ascii="Cambria Math" w:hAnsi="Cambria Math"/>
                      <w:i/>
                    </w:rPr>
                  </m:ctrlPr>
                </m:funcPr>
                <m:fName>
                  <m:f>
                    <m:fPr>
                      <m:ctrlPr>
                        <w:rPr>
                          <w:rFonts w:ascii="Cambria Math" w:hAnsi="Cambria Math"/>
                          <w:i/>
                        </w:rPr>
                      </m:ctrlPr>
                    </m:fPr>
                    <m:num>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C</m:t>
                              </m:r>
                            </m:e>
                            <m:sub>
                              <m:r>
                                <w:rPr>
                                  <w:rFonts w:ascii="Cambria Math" w:hAnsi="Cambria Math"/>
                                </w:rPr>
                                <m:t>m</m:t>
                              </m:r>
                            </m:sub>
                            <m:sup>
                              <m:r>
                                <w:rPr>
                                  <w:rFonts w:ascii="Cambria Math" w:hAnsi="Cambria Math"/>
                                </w:rPr>
                                <m:t>1</m:t>
                              </m:r>
                            </m:sup>
                          </m:sSubSup>
                          <m: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a</m:t>
                              </m:r>
                            </m:sub>
                            <m:sup>
                              <m:r>
                                <w:rPr>
                                  <w:rFonts w:ascii="Cambria Math" w:hAnsi="Cambria Math"/>
                                </w:rPr>
                                <m:t>1</m:t>
                              </m:r>
                            </m:sup>
                          </m:sSubSup>
                        </m:e>
                      </m:d>
                    </m:num>
                    <m:den>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C</m:t>
                              </m:r>
                            </m:e>
                            <m:sub>
                              <m:r>
                                <w:rPr>
                                  <w:rFonts w:ascii="Cambria Math" w:hAnsi="Cambria Math"/>
                                </w:rPr>
                                <m:t>i</m:t>
                              </m:r>
                            </m:sub>
                            <m:sup>
                              <m:r>
                                <w:rPr>
                                  <w:rFonts w:ascii="Cambria Math" w:hAnsi="Cambria Math"/>
                                </w:rPr>
                                <m:t>1</m:t>
                              </m:r>
                            </m:sup>
                          </m:sSubSup>
                          <m:r>
                            <w:rPr>
                              <w:rFonts w:ascii="Cambria Math" w:hAnsi="Cambria Math"/>
                            </w:rPr>
                            <m:t xml:space="preserve">- </m:t>
                          </m:r>
                          <m:sSubSup>
                            <m:sSubSupPr>
                              <m:ctrlPr>
                                <w:rPr>
                                  <w:rFonts w:ascii="Cambria Math" w:hAnsi="Cambria Math"/>
                                  <w:i/>
                                </w:rPr>
                              </m:ctrlPr>
                            </m:sSubSupPr>
                            <m:e>
                              <m:r>
                                <w:rPr>
                                  <w:rFonts w:ascii="Cambria Math" w:hAnsi="Cambria Math"/>
                                </w:rPr>
                                <m:t>C</m:t>
                              </m:r>
                            </m:e>
                            <m:sub>
                              <m:r>
                                <w:rPr>
                                  <w:rFonts w:ascii="Cambria Math" w:hAnsi="Cambria Math"/>
                                </w:rPr>
                                <m:t>a</m:t>
                              </m:r>
                            </m:sub>
                            <m:sup>
                              <m:r>
                                <w:rPr>
                                  <w:rFonts w:ascii="Cambria Math" w:hAnsi="Cambria Math"/>
                                </w:rPr>
                                <m:t>1</m:t>
                              </m:r>
                            </m:sup>
                          </m:sSubSup>
                        </m:e>
                      </m:d>
                    </m:den>
                  </m:f>
                </m:fName>
                <m:e>
                  <m:r>
                    <w:rPr>
                      <w:rFonts w:ascii="Cambria Math" w:hAnsi="Cambria Math"/>
                    </w:rPr>
                    <m:t xml:space="preserve">= </m:t>
                  </m:r>
                  <m:f>
                    <m:fPr>
                      <m:ctrlPr>
                        <w:rPr>
                          <w:rFonts w:ascii="Cambria Math" w:hAnsi="Cambria Math"/>
                          <w:i/>
                        </w:rPr>
                      </m:ctrlPr>
                    </m:fPr>
                    <m:num>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C</m:t>
                              </m:r>
                            </m:e>
                            <m:sub>
                              <m:r>
                                <w:rPr>
                                  <w:rFonts w:ascii="Cambria Math" w:hAnsi="Cambria Math"/>
                                </w:rPr>
                                <m:t>m</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a</m:t>
                              </m:r>
                            </m:sub>
                            <m:sup>
                              <m:r>
                                <w:rPr>
                                  <w:rFonts w:ascii="Cambria Math" w:hAnsi="Cambria Math"/>
                                </w:rPr>
                                <m:t>2</m:t>
                              </m:r>
                            </m:sup>
                          </m:sSubSup>
                        </m:e>
                      </m:d>
                    </m:num>
                    <m:den>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C</m:t>
                              </m:r>
                            </m:e>
                            <m:sub>
                              <m:r>
                                <w:rPr>
                                  <w:rFonts w:ascii="Cambria Math" w:hAnsi="Cambria Math"/>
                                </w:rPr>
                                <m:t>i</m:t>
                              </m:r>
                            </m:sub>
                            <m:sup>
                              <m:r>
                                <w:rPr>
                                  <w:rFonts w:ascii="Cambria Math" w:hAnsi="Cambria Math"/>
                                </w:rPr>
                                <m:t>2</m:t>
                              </m:r>
                            </m:sup>
                          </m:sSubSup>
                          <m:r>
                            <w:rPr>
                              <w:rFonts w:ascii="Cambria Math" w:hAnsi="Cambria Math"/>
                            </w:rPr>
                            <m:t xml:space="preserve">- </m:t>
                          </m:r>
                          <m:sSubSup>
                            <m:sSubSupPr>
                              <m:ctrlPr>
                                <w:rPr>
                                  <w:rFonts w:ascii="Cambria Math" w:hAnsi="Cambria Math"/>
                                  <w:i/>
                                </w:rPr>
                              </m:ctrlPr>
                            </m:sSubSupPr>
                            <m:e>
                              <m:r>
                                <w:rPr>
                                  <w:rFonts w:ascii="Cambria Math" w:hAnsi="Cambria Math"/>
                                </w:rPr>
                                <m:t>C</m:t>
                              </m:r>
                            </m:e>
                            <m:sub>
                              <m:r>
                                <w:rPr>
                                  <w:rFonts w:ascii="Cambria Math" w:hAnsi="Cambria Math"/>
                                </w:rPr>
                                <m:t>a</m:t>
                              </m:r>
                            </m:sub>
                            <m:sup>
                              <m:r>
                                <w:rPr>
                                  <w:rFonts w:ascii="Cambria Math" w:hAnsi="Cambria Math"/>
                                </w:rPr>
                                <m:t>2</m:t>
                              </m:r>
                            </m:sup>
                          </m:sSubSup>
                        </m:e>
                      </m:d>
                    </m:den>
                  </m:f>
                </m:e>
              </m:func>
              <m:r>
                <w:rPr>
                  <w:rFonts w:ascii="Cambria Math" w:hAnsi="Cambria Math"/>
                </w:rPr>
                <m:t xml:space="preserve"> #(11)</m:t>
              </m:r>
            </m:e>
          </m:eqArr>
        </m:oMath>
      </m:oMathPara>
    </w:p>
    <w:p w14:paraId="02D408F8" w14:textId="77777777" w:rsidR="00573AB2" w:rsidRDefault="00573AB2" w:rsidP="00573AB2">
      <w:pPr>
        <w:ind w:firstLine="567"/>
      </w:pPr>
      <w:r>
        <w:t>Equation (11) can be rearranged to solve for the concentration of a potentially reactive solute in the mixture of the injection and aquifer fluids as given by:</w:t>
      </w:r>
    </w:p>
    <w:p w14:paraId="1B68BEE7" w14:textId="77777777" w:rsidR="00573AB2" w:rsidRDefault="00CA2C3C" w:rsidP="00573AB2">
      <m:oMathPara>
        <m:oMath>
          <m:eqArr>
            <m:eqArrPr>
              <m:maxDist m:val="1"/>
              <m:ctrlPr>
                <w:rPr>
                  <w:rFonts w:ascii="Cambria Math" w:hAnsi="Cambria Math"/>
                  <w:i/>
                </w:rPr>
              </m:ctrlPr>
            </m:eqArrPr>
            <m:e>
              <m:sSubSup>
                <m:sSubSupPr>
                  <m:ctrlPr>
                    <w:rPr>
                      <w:rFonts w:ascii="Cambria Math" w:hAnsi="Cambria Math"/>
                      <w:i/>
                    </w:rPr>
                  </m:ctrlPr>
                </m:sSubSupPr>
                <m:e>
                  <m:r>
                    <w:rPr>
                      <w:rFonts w:ascii="Cambria Math" w:hAnsi="Cambria Math"/>
                    </w:rPr>
                    <m:t>C</m:t>
                  </m:r>
                </m:e>
                <m:sub>
                  <m:r>
                    <w:rPr>
                      <w:rFonts w:ascii="Cambria Math" w:hAnsi="Cambria Math"/>
                    </w:rPr>
                    <m:t>m</m:t>
                  </m:r>
                </m:sub>
                <m:sup>
                  <m:r>
                    <w:rPr>
                      <w:rFonts w:ascii="Cambria Math" w:hAnsi="Cambria Math"/>
                    </w:rPr>
                    <m:t>2</m:t>
                  </m:r>
                </m:sup>
              </m:sSubSup>
              <m:r>
                <w:rPr>
                  <w:rFonts w:ascii="Cambria Math" w:hAnsi="Cambria Math"/>
                </w:rPr>
                <m:t>=</m:t>
              </m:r>
              <m:func>
                <m:funcPr>
                  <m:ctrlPr>
                    <w:rPr>
                      <w:rFonts w:ascii="Cambria Math" w:hAnsi="Cambria Math"/>
                      <w:i/>
                    </w:rPr>
                  </m:ctrlPr>
                </m:funcPr>
                <m:fName>
                  <m:d>
                    <m:dPr>
                      <m:ctrlPr>
                        <w:rPr>
                          <w:rFonts w:ascii="Cambria Math" w:hAnsi="Cambria Math"/>
                          <w:i/>
                        </w:rPr>
                      </m:ctrlPr>
                    </m:dPr>
                    <m:e>
                      <m:f>
                        <m:fPr>
                          <m:ctrlPr>
                            <w:rPr>
                              <w:rFonts w:ascii="Cambria Math" w:hAnsi="Cambria Math"/>
                              <w:i/>
                            </w:rPr>
                          </m:ctrlPr>
                        </m:fPr>
                        <m:num>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C</m:t>
                                  </m:r>
                                </m:e>
                                <m:sub>
                                  <m:r>
                                    <w:rPr>
                                      <w:rFonts w:ascii="Cambria Math" w:hAnsi="Cambria Math"/>
                                    </w:rPr>
                                    <m:t>m</m:t>
                                  </m:r>
                                </m:sub>
                                <m:sup>
                                  <m:r>
                                    <w:rPr>
                                      <w:rFonts w:ascii="Cambria Math" w:hAnsi="Cambria Math"/>
                                    </w:rPr>
                                    <m:t>1</m:t>
                                  </m:r>
                                </m:sup>
                              </m:sSubSup>
                              <m: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a</m:t>
                                  </m:r>
                                </m:sub>
                                <m:sup>
                                  <m:r>
                                    <w:rPr>
                                      <w:rFonts w:ascii="Cambria Math" w:hAnsi="Cambria Math"/>
                                    </w:rPr>
                                    <m:t>1</m:t>
                                  </m:r>
                                </m:sup>
                              </m:sSubSup>
                            </m:e>
                          </m:d>
                        </m:num>
                        <m:den>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C</m:t>
                                  </m:r>
                                </m:e>
                                <m:sub>
                                  <m:r>
                                    <w:rPr>
                                      <w:rFonts w:ascii="Cambria Math" w:hAnsi="Cambria Math"/>
                                    </w:rPr>
                                    <m:t>i</m:t>
                                  </m:r>
                                </m:sub>
                                <m:sup>
                                  <m:r>
                                    <w:rPr>
                                      <w:rFonts w:ascii="Cambria Math" w:hAnsi="Cambria Math"/>
                                    </w:rPr>
                                    <m:t>1</m:t>
                                  </m:r>
                                </m:sup>
                              </m:sSubSup>
                              <m:r>
                                <w:rPr>
                                  <w:rFonts w:ascii="Cambria Math" w:hAnsi="Cambria Math"/>
                                </w:rPr>
                                <m:t xml:space="preserve">- </m:t>
                              </m:r>
                              <m:sSubSup>
                                <m:sSubSupPr>
                                  <m:ctrlPr>
                                    <w:rPr>
                                      <w:rFonts w:ascii="Cambria Math" w:hAnsi="Cambria Math"/>
                                      <w:i/>
                                    </w:rPr>
                                  </m:ctrlPr>
                                </m:sSubSupPr>
                                <m:e>
                                  <m:r>
                                    <w:rPr>
                                      <w:rFonts w:ascii="Cambria Math" w:hAnsi="Cambria Math"/>
                                    </w:rPr>
                                    <m:t>C</m:t>
                                  </m:r>
                                </m:e>
                                <m:sub>
                                  <m:r>
                                    <w:rPr>
                                      <w:rFonts w:ascii="Cambria Math" w:hAnsi="Cambria Math"/>
                                    </w:rPr>
                                    <m:t>a</m:t>
                                  </m:r>
                                </m:sub>
                                <m:sup>
                                  <m:r>
                                    <w:rPr>
                                      <w:rFonts w:ascii="Cambria Math" w:hAnsi="Cambria Math"/>
                                    </w:rPr>
                                    <m:t>1</m:t>
                                  </m:r>
                                </m:sup>
                              </m:sSubSup>
                            </m:e>
                          </m:d>
                        </m:den>
                      </m:f>
                    </m:e>
                  </m:d>
                </m:fName>
                <m:e>
                  <m:d>
                    <m:dPr>
                      <m:begChr m:val=""/>
                      <m:endChr m:val=""/>
                      <m:ctrlPr>
                        <w:rPr>
                          <w:rFonts w:ascii="Cambria Math" w:hAnsi="Cambria Math"/>
                          <w:i/>
                        </w:rPr>
                      </m:ctrlPr>
                    </m:dPr>
                    <m:e>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C</m:t>
                              </m:r>
                            </m:e>
                            <m:sub>
                              <m:r>
                                <w:rPr>
                                  <w:rFonts w:ascii="Cambria Math" w:hAnsi="Cambria Math"/>
                                </w:rPr>
                                <m:t>i</m:t>
                              </m:r>
                            </m:sub>
                            <m:sup>
                              <m:r>
                                <w:rPr>
                                  <w:rFonts w:ascii="Cambria Math" w:hAnsi="Cambria Math"/>
                                </w:rPr>
                                <m:t>2</m:t>
                              </m:r>
                            </m:sup>
                          </m:sSubSup>
                          <m:r>
                            <w:rPr>
                              <w:rFonts w:ascii="Cambria Math" w:hAnsi="Cambria Math"/>
                            </w:rPr>
                            <m:t xml:space="preserve">- </m:t>
                          </m:r>
                          <m:sSubSup>
                            <m:sSubSupPr>
                              <m:ctrlPr>
                                <w:rPr>
                                  <w:rFonts w:ascii="Cambria Math" w:hAnsi="Cambria Math"/>
                                  <w:i/>
                                </w:rPr>
                              </m:ctrlPr>
                            </m:sSubSupPr>
                            <m:e>
                              <m:r>
                                <w:rPr>
                                  <w:rFonts w:ascii="Cambria Math" w:hAnsi="Cambria Math"/>
                                </w:rPr>
                                <m:t>C</m:t>
                              </m:r>
                            </m:e>
                            <m:sub>
                              <m:r>
                                <w:rPr>
                                  <w:rFonts w:ascii="Cambria Math" w:hAnsi="Cambria Math"/>
                                </w:rPr>
                                <m:t>a</m:t>
                              </m:r>
                            </m:sub>
                            <m:sup>
                              <m:r>
                                <w:rPr>
                                  <w:rFonts w:ascii="Cambria Math" w:hAnsi="Cambria Math"/>
                                </w:rPr>
                                <m:t>2</m:t>
                              </m:r>
                            </m:sup>
                          </m:sSubSup>
                        </m:e>
                      </m:d>
                    </m:e>
                  </m:d>
                  <m:r>
                    <w:rPr>
                      <w:rFonts w:ascii="Cambria Math" w:hAnsi="Cambria Math"/>
                    </w:rPr>
                    <m:t xml:space="preserve"> + </m:t>
                  </m:r>
                  <m:sSubSup>
                    <m:sSubSupPr>
                      <m:ctrlPr>
                        <w:rPr>
                          <w:rFonts w:ascii="Cambria Math" w:hAnsi="Cambria Math"/>
                          <w:i/>
                        </w:rPr>
                      </m:ctrlPr>
                    </m:sSubSupPr>
                    <m:e>
                      <m:r>
                        <w:rPr>
                          <w:rFonts w:ascii="Cambria Math" w:hAnsi="Cambria Math"/>
                        </w:rPr>
                        <m:t>C</m:t>
                      </m:r>
                    </m:e>
                    <m:sub>
                      <m:r>
                        <w:rPr>
                          <w:rFonts w:ascii="Cambria Math" w:hAnsi="Cambria Math"/>
                        </w:rPr>
                        <m:t>a</m:t>
                      </m:r>
                    </m:sub>
                    <m:sup>
                      <m:r>
                        <w:rPr>
                          <w:rFonts w:ascii="Cambria Math" w:hAnsi="Cambria Math"/>
                        </w:rPr>
                        <m:t>2</m:t>
                      </m:r>
                    </m:sup>
                  </m:sSubSup>
                </m:e>
              </m:func>
              <m:r>
                <w:rPr>
                  <w:rFonts w:ascii="Cambria Math" w:hAnsi="Cambria Math"/>
                </w:rPr>
                <m:t xml:space="preserve"> #(12)</m:t>
              </m:r>
            </m:e>
          </m:eqArr>
        </m:oMath>
      </m:oMathPara>
    </w:p>
    <w:p w14:paraId="1C706F3A" w14:textId="77777777" w:rsidR="00573AB2" w:rsidRDefault="00573AB2" w:rsidP="00573AB2">
      <w:pPr>
        <w:ind w:firstLine="562"/>
      </w:pPr>
      <w:r>
        <w:t xml:space="preserve">Equation (12) predicts the concentration of a potentially reactive solute in the mixture of the injection and aquifer fluids. Equation (12) assumes the following: (1) the concentrations of both solutes are equal to their injection concentrations at time equal to zero, (2) the concentrations of both solutes are equal to their aquifer concentrations as time approaches infinity, and (3) the mass transport mechanisms of both solutes, e.g., advection, mechanical dispersion, molecular diffusion, sorption, solubility, etc. are no different. It is important to note that equation (12) does not necessarily assume first-order decay. Rather, equation (12) assumes that equation (6) is valid and bounded by the initial condition in equation (7) and final condition in equation (8) and that both solutes are non-reactive and have identical transport properties. Therefore, any number of solutions are possible for equation (6) and all of which arrive at equation (12). </w:t>
      </w:r>
    </w:p>
    <w:p w14:paraId="2067BD3E" w14:textId="77777777" w:rsidR="00573AB2" w:rsidRDefault="00573AB2" w:rsidP="00573AB2">
      <w:pPr>
        <w:ind w:firstLine="562"/>
      </w:pPr>
      <w:r>
        <w:lastRenderedPageBreak/>
        <w:t xml:space="preserve">During a push-pull test each variable in equation (12) is measured. Therefore, equation (12) can be used to compare the predicted concentration of a potentially reactive solute to the measured concentration of a potentially reactive solute. Any difference between the two concentrations can be attributed to mass transport and/or mass transformation processes other than non-reactive mixing, e.g., advection, mechanical dispersion, molecular diffusion, sorption, solubility, degradation, etc. Equation (12), unlike equation (1), makes no assumptions about the ratio of the concentrations of the non-reactive and potentially reactive solutes in the injection fluid versus the aquifer fluid. Rather, equation (12) accounts for such differences and allows for a direct comparison of the predicted versus measured breakthrough curves. </w:t>
      </w:r>
    </w:p>
    <w:p w14:paraId="46D3BDB4" w14:textId="77777777" w:rsidR="00891106" w:rsidRDefault="00A63544" w:rsidP="004D322C">
      <w:pPr>
        <w:pStyle w:val="Heading2"/>
      </w:pPr>
      <w:bookmarkStart w:id="158" w:name="_Toc498505062"/>
      <w:r>
        <w:t>4</w:t>
      </w:r>
      <w:r w:rsidR="00B93721">
        <w:t>.4.</w:t>
      </w:r>
      <w:r w:rsidR="00B93721">
        <w:tab/>
      </w:r>
      <w:r w:rsidR="004C05A7">
        <w:t>Model validation</w:t>
      </w:r>
      <w:bookmarkEnd w:id="158"/>
    </w:p>
    <w:p w14:paraId="4421757C" w14:textId="77777777" w:rsidR="00EA52F1" w:rsidRDefault="00EA52F1" w:rsidP="000F10EF">
      <w:pPr>
        <w:ind w:firstLine="720"/>
      </w:pPr>
      <w:r w:rsidRPr="00801C4B">
        <w:t xml:space="preserve">To </w:t>
      </w:r>
      <w:r>
        <w:t>validate</w:t>
      </w:r>
      <w:r w:rsidRPr="00801C4B">
        <w:t xml:space="preserve"> equation (1</w:t>
      </w:r>
      <w:r>
        <w:t>2</w:t>
      </w:r>
      <w:r w:rsidRPr="00801C4B">
        <w:t>), a synthetic data se</w:t>
      </w:r>
      <w:r>
        <w:t xml:space="preserve">t </w:t>
      </w:r>
      <w:r w:rsidRPr="00801C4B">
        <w:t>was</w:t>
      </w:r>
      <w:r>
        <w:t xml:space="preserve"> generated for two scenarios. Scenario one assumed that the potentially reactive solute underwent non-reactive mixing between the injection and aquifer fluids whereas scenario two assumed that the potentially reactive solute underwent non-reactive mixing plus removal from the aqueous phase. For both scenarios, the modified first-order decay solution, shown in equation (9), was used to generate the synthetic data. For scenario one, the decay constant (</w:t>
      </w:r>
      <w:r w:rsidRPr="00927DAF">
        <w:rPr>
          <w:i/>
        </w:rPr>
        <w:t>k</w:t>
      </w:r>
      <w:r>
        <w:t xml:space="preserve">) was equal to 0.25 for both the non-reactive and the potentially reactive solute. For scenario two, </w:t>
      </w:r>
      <w:r w:rsidRPr="00927DAF">
        <w:rPr>
          <w:i/>
        </w:rPr>
        <w:t>k</w:t>
      </w:r>
      <w:r>
        <w:t xml:space="preserve"> was equal to 0.25 for the non-reactive solute and 0.5 for the potentially reactive solute. For both scenarios, </w:t>
      </w:r>
      <w:r w:rsidRPr="00D536D6">
        <w:rPr>
          <w:i/>
        </w:rPr>
        <w:t>C</w:t>
      </w:r>
      <w:r w:rsidRPr="00D536D6">
        <w:rPr>
          <w:i/>
          <w:vertAlign w:val="subscript"/>
        </w:rPr>
        <w:t>i</w:t>
      </w:r>
      <w:r>
        <w:t xml:space="preserve"> and </w:t>
      </w:r>
      <w:r w:rsidRPr="00D536D6">
        <w:rPr>
          <w:i/>
        </w:rPr>
        <w:t>C</w:t>
      </w:r>
      <w:r w:rsidRPr="00D536D6">
        <w:rPr>
          <w:i/>
          <w:vertAlign w:val="subscript"/>
        </w:rPr>
        <w:t>a</w:t>
      </w:r>
      <w:r>
        <w:t xml:space="preserve"> of the non-reactive solute were 100 and 10 mg/L, respectively, and </w:t>
      </w:r>
      <w:r w:rsidRPr="00D536D6">
        <w:rPr>
          <w:i/>
        </w:rPr>
        <w:t>C</w:t>
      </w:r>
      <w:r w:rsidRPr="00D536D6">
        <w:rPr>
          <w:i/>
          <w:vertAlign w:val="subscript"/>
        </w:rPr>
        <w:t>i</w:t>
      </w:r>
      <w:r>
        <w:t xml:space="preserve"> and </w:t>
      </w:r>
      <w:r w:rsidRPr="00D536D6">
        <w:rPr>
          <w:i/>
        </w:rPr>
        <w:t>C</w:t>
      </w:r>
      <w:r w:rsidRPr="00D536D6">
        <w:rPr>
          <w:i/>
          <w:vertAlign w:val="subscript"/>
        </w:rPr>
        <w:t>a</w:t>
      </w:r>
      <w:r>
        <w:t xml:space="preserve"> of the potentially reactive solute were 50 and 5 mg/L, respectively. Equation (12) was used to predict the concentration of the potentially reactive solute in the mixture of the injection and aquifer fluids. For scenario one, both the synthetic and predicted data for the potentially reactive solute were identical (</w:t>
      </w:r>
      <w:r w:rsidR="00270E2B">
        <w:fldChar w:fldCharType="begin"/>
      </w:r>
      <w:r w:rsidR="00270E2B">
        <w:instrText xml:space="preserve"> REF _Ref497553857 \h </w:instrText>
      </w:r>
      <w:r w:rsidR="00270E2B">
        <w:fldChar w:fldCharType="separate"/>
      </w:r>
      <w:r w:rsidR="00270E2B">
        <w:t xml:space="preserve">Figure </w:t>
      </w:r>
      <w:r w:rsidR="00270E2B">
        <w:rPr>
          <w:noProof/>
        </w:rPr>
        <w:t>4</w:t>
      </w:r>
      <w:r w:rsidR="00270E2B">
        <w:t>.</w:t>
      </w:r>
      <w:r w:rsidR="00270E2B">
        <w:rPr>
          <w:noProof/>
        </w:rPr>
        <w:t>3</w:t>
      </w:r>
      <w:r w:rsidR="00270E2B">
        <w:fldChar w:fldCharType="end"/>
      </w:r>
      <w:r>
        <w:t xml:space="preserve">). These results were expected because </w:t>
      </w:r>
      <w:r w:rsidRPr="00B84EA3">
        <w:rPr>
          <w:i/>
        </w:rPr>
        <w:t>k</w:t>
      </w:r>
      <w:r>
        <w:rPr>
          <w:i/>
        </w:rPr>
        <w:t xml:space="preserve"> </w:t>
      </w:r>
      <w:r>
        <w:t xml:space="preserve">was equal to 0.25 for both the non-reactive and the potentially </w:t>
      </w:r>
    </w:p>
    <w:p w14:paraId="52A500BE" w14:textId="77777777" w:rsidR="00EA52F1" w:rsidRDefault="00EA52F1" w:rsidP="00EA52F1">
      <w:r>
        <w:rPr>
          <w:noProof/>
          <w:lang w:eastAsia="zh-CN" w:bidi="ar-SA"/>
        </w:rPr>
        <w:lastRenderedPageBreak/>
        <w:drawing>
          <wp:inline distT="0" distB="0" distL="0" distR="0" wp14:anchorId="32E3A408" wp14:editId="62188B64">
            <wp:extent cx="5943600" cy="3406140"/>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3406140"/>
                    </a:xfrm>
                    <a:prstGeom prst="rect">
                      <a:avLst/>
                    </a:prstGeom>
                    <a:noFill/>
                  </pic:spPr>
                </pic:pic>
              </a:graphicData>
            </a:graphic>
          </wp:inline>
        </w:drawing>
      </w:r>
    </w:p>
    <w:p w14:paraId="1F1A6C0A" w14:textId="77777777" w:rsidR="00EA52F1" w:rsidRDefault="00CB6A14" w:rsidP="00CB6A14">
      <w:pPr>
        <w:pStyle w:val="Caption"/>
      </w:pPr>
      <w:bookmarkStart w:id="159" w:name="_Ref497553857"/>
      <w:bookmarkStart w:id="160" w:name="_Toc498504902"/>
      <w:r>
        <w:t xml:space="preserve">Figure </w:t>
      </w:r>
      <w:r w:rsidR="00CA2C3C">
        <w:fldChar w:fldCharType="begin"/>
      </w:r>
      <w:r w:rsidR="00CA2C3C">
        <w:instrText xml:space="preserve"> STYLEREF 1 \s </w:instrText>
      </w:r>
      <w:r w:rsidR="00CA2C3C">
        <w:fldChar w:fldCharType="separate"/>
      </w:r>
      <w:r w:rsidR="00E70E91">
        <w:rPr>
          <w:noProof/>
        </w:rPr>
        <w:t>4</w:t>
      </w:r>
      <w:r w:rsidR="00CA2C3C">
        <w:rPr>
          <w:noProof/>
        </w:rPr>
        <w:fldChar w:fldCharType="end"/>
      </w:r>
      <w:r w:rsidR="00E70E91">
        <w:t>.</w:t>
      </w:r>
      <w:r w:rsidR="00CA2C3C">
        <w:fldChar w:fldCharType="begin"/>
      </w:r>
      <w:r w:rsidR="00CA2C3C">
        <w:instrText xml:space="preserve"> SEQ Figure \* ARABIC \s 1 </w:instrText>
      </w:r>
      <w:r w:rsidR="00CA2C3C">
        <w:fldChar w:fldCharType="separate"/>
      </w:r>
      <w:r w:rsidR="00E70E91">
        <w:rPr>
          <w:noProof/>
        </w:rPr>
        <w:t>3</w:t>
      </w:r>
      <w:r w:rsidR="00CA2C3C">
        <w:rPr>
          <w:noProof/>
        </w:rPr>
        <w:fldChar w:fldCharType="end"/>
      </w:r>
      <w:bookmarkEnd w:id="159"/>
      <w:r>
        <w:t xml:space="preserve"> </w:t>
      </w:r>
      <w:r w:rsidR="00EA52F1" w:rsidRPr="00CB6A14">
        <w:rPr>
          <w:b w:val="0"/>
        </w:rPr>
        <w:t>Synthetic and predicted data for a potentially reactive solute, scenario one (a) shows synthetic data subject to non-reactive mixing only and predicted data which assumed non-reactive mixing only, scenario two (b) shows synthetic data subject to non-reactive mixing and removal from the aqueous phase and predicted data which assumed non-reactive mixing only</w:t>
      </w:r>
      <w:bookmarkEnd w:id="160"/>
    </w:p>
    <w:p w14:paraId="53AF8E81" w14:textId="77777777" w:rsidR="00385748" w:rsidRDefault="00EA52F1" w:rsidP="00EA52F1">
      <w:r>
        <w:tab/>
      </w:r>
    </w:p>
    <w:p w14:paraId="10FAC0A9" w14:textId="77777777" w:rsidR="00385748" w:rsidRDefault="00385748" w:rsidP="00EA52F1"/>
    <w:p w14:paraId="7EBDC60B" w14:textId="77777777" w:rsidR="000F10EF" w:rsidRDefault="000F10EF" w:rsidP="00EA52F1"/>
    <w:p w14:paraId="51638C1B" w14:textId="77777777" w:rsidR="000F10EF" w:rsidRDefault="000F10EF" w:rsidP="00EA52F1"/>
    <w:p w14:paraId="7302C83D" w14:textId="77777777" w:rsidR="000F10EF" w:rsidRDefault="000F10EF" w:rsidP="00EA52F1"/>
    <w:p w14:paraId="4CC8C398" w14:textId="77777777" w:rsidR="000F10EF" w:rsidRDefault="000F10EF" w:rsidP="00EA52F1"/>
    <w:p w14:paraId="4D048CBD" w14:textId="77777777" w:rsidR="000F10EF" w:rsidRDefault="000F10EF" w:rsidP="00EA52F1"/>
    <w:p w14:paraId="4298056D" w14:textId="77777777" w:rsidR="000F10EF" w:rsidRDefault="000F10EF" w:rsidP="00EA52F1"/>
    <w:p w14:paraId="5D150D79" w14:textId="77777777" w:rsidR="00385748" w:rsidRDefault="00385748" w:rsidP="00EA52F1">
      <w:r>
        <w:lastRenderedPageBreak/>
        <w:t>reactive solute. For scenario two, the synthetic data was substantially lower in magnitude as compared to the predicated data (</w:t>
      </w:r>
      <w:r w:rsidR="00F44032">
        <w:fldChar w:fldCharType="begin"/>
      </w:r>
      <w:r w:rsidR="00F44032">
        <w:instrText xml:space="preserve"> REF _Ref497553857 \h </w:instrText>
      </w:r>
      <w:r w:rsidR="00F44032">
        <w:fldChar w:fldCharType="separate"/>
      </w:r>
      <w:r w:rsidR="00F44032">
        <w:t xml:space="preserve">Figure </w:t>
      </w:r>
      <w:r w:rsidR="00F44032">
        <w:rPr>
          <w:noProof/>
        </w:rPr>
        <w:t>4</w:t>
      </w:r>
      <w:r w:rsidR="00F44032">
        <w:t>.</w:t>
      </w:r>
      <w:r w:rsidR="00F44032">
        <w:rPr>
          <w:noProof/>
        </w:rPr>
        <w:t>3</w:t>
      </w:r>
      <w:r w:rsidR="00F44032">
        <w:fldChar w:fldCharType="end"/>
      </w:r>
      <w:r>
        <w:t xml:space="preserve">). These results were expected because </w:t>
      </w:r>
      <w:r w:rsidRPr="00B84EA3">
        <w:rPr>
          <w:i/>
        </w:rPr>
        <w:t>k</w:t>
      </w:r>
      <w:r>
        <w:rPr>
          <w:i/>
        </w:rPr>
        <w:t xml:space="preserve"> </w:t>
      </w:r>
      <w:r>
        <w:t>was equal to 0.25 for the non-reactive and 0.5 for the potentially reactive solute. Therefore, equation (12) was clearly able to identify that mass transport and/or mass transformation processes other than non-reactive mixing were occurring in scenario two and not occurring in scenario one.</w:t>
      </w:r>
    </w:p>
    <w:p w14:paraId="0BB2C3DC" w14:textId="77777777" w:rsidR="00EA52F1" w:rsidRDefault="00EA52F1" w:rsidP="00385748">
      <w:pPr>
        <w:ind w:firstLine="720"/>
      </w:pPr>
      <w:r w:rsidRPr="00E05136">
        <w:t>The stepwise</w:t>
      </w:r>
      <w:r>
        <w:t>-</w:t>
      </w:r>
      <w:r w:rsidRPr="00E05136">
        <w:t>mixing model, or SWiMM, presented here can also be utilized to quantify</w:t>
      </w:r>
      <w:r>
        <w:t xml:space="preserve"> the net rate and mass of removal, or production, of a potentially reactive solute. For example, from equation (9), the synthetic and predicted data generated for scenario two can be plotted as a linear function as given by:</w:t>
      </w:r>
    </w:p>
    <w:p w14:paraId="64108DC9" w14:textId="77777777" w:rsidR="00EA52F1" w:rsidRDefault="00CA2C3C" w:rsidP="00EA52F1">
      <m:oMathPara>
        <m:oMath>
          <m:eqArr>
            <m:eqArrPr>
              <m:maxDist m:val="1"/>
              <m:ctrlPr>
                <w:rPr>
                  <w:rFonts w:ascii="Cambria Math" w:hAnsi="Cambria Math"/>
                  <w:i/>
                </w:rPr>
              </m:ctrlPr>
            </m:eqArrPr>
            <m:e>
              <m:func>
                <m:funcPr>
                  <m:ctrlPr>
                    <w:rPr>
                      <w:rFonts w:ascii="Cambria Math" w:hAnsi="Cambria Math"/>
                      <w:i/>
                    </w:rPr>
                  </m:ctrlPr>
                </m:funcPr>
                <m:fName>
                  <m:r>
                    <w:rPr>
                      <w:rFonts w:ascii="Cambria Math" w:hAnsi="Cambria Math"/>
                    </w:rPr>
                    <m:t>ln</m:t>
                  </m:r>
                  <m:d>
                    <m:dPr>
                      <m:ctrlPr>
                        <w:rPr>
                          <w:rFonts w:ascii="Cambria Math" w:hAnsi="Cambria Math"/>
                          <w:i/>
                        </w:rPr>
                      </m:ctrlPr>
                    </m:dPr>
                    <m:e>
                      <m:f>
                        <m:fPr>
                          <m:ctrlPr>
                            <w:rPr>
                              <w:rFonts w:ascii="Cambria Math" w:hAnsi="Cambria Math"/>
                              <w:i/>
                            </w:rPr>
                          </m:ctrlPr>
                        </m:fPr>
                        <m:num>
                          <m:d>
                            <m:dPr>
                              <m:begChr m:val="["/>
                              <m:endChr m:val="]"/>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m</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a</m:t>
                                  </m:r>
                                </m:sub>
                              </m:sSub>
                            </m:e>
                          </m:d>
                        </m:num>
                        <m:den>
                          <m:d>
                            <m:dPr>
                              <m:begChr m:val="["/>
                              <m:endChr m:val="]"/>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a</m:t>
                                  </m:r>
                                </m:sub>
                              </m:sSub>
                            </m:e>
                          </m:d>
                        </m:den>
                      </m:f>
                    </m:e>
                  </m:d>
                  <m:r>
                    <w:rPr>
                      <w:rFonts w:ascii="Cambria Math" w:hAnsi="Cambria Math"/>
                    </w:rPr>
                    <m:t xml:space="preserve">= </m:t>
                  </m:r>
                </m:fName>
                <m:e>
                  <m:r>
                    <w:rPr>
                      <w:rFonts w:ascii="Cambria Math" w:hAnsi="Cambria Math"/>
                    </w:rPr>
                    <m:t>-kt</m:t>
                  </m:r>
                </m:e>
              </m:func>
              <m:r>
                <w:rPr>
                  <w:rFonts w:ascii="Cambria Math" w:hAnsi="Cambria Math"/>
                </w:rPr>
                <m:t xml:space="preserve"> #(13)</m:t>
              </m:r>
            </m:e>
          </m:eqArr>
        </m:oMath>
      </m:oMathPara>
    </w:p>
    <w:p w14:paraId="6A1C4111" w14:textId="77777777" w:rsidR="00385748" w:rsidRDefault="00EA52F1" w:rsidP="00385748">
      <w:pPr>
        <w:ind w:firstLine="720"/>
      </w:pPr>
      <w:r>
        <w:t xml:space="preserve">A graph of equation (13) yields a straight line where the slope of the linear regression is equal to the decay constant </w:t>
      </w:r>
      <w:r w:rsidRPr="007E4FEE">
        <w:rPr>
          <w:i/>
        </w:rPr>
        <w:t>k</w:t>
      </w:r>
      <w:r>
        <w:rPr>
          <w:i/>
        </w:rPr>
        <w:t xml:space="preserve"> </w:t>
      </w:r>
      <w:r w:rsidRPr="007E4FEE">
        <w:t>(</w:t>
      </w:r>
      <w:r w:rsidR="00F44032">
        <w:fldChar w:fldCharType="begin"/>
      </w:r>
      <w:r w:rsidR="00F44032">
        <w:instrText xml:space="preserve"> REF _Ref497553899 \h </w:instrText>
      </w:r>
      <w:r w:rsidR="00F44032">
        <w:fldChar w:fldCharType="separate"/>
      </w:r>
      <w:r w:rsidR="00F44032">
        <w:t xml:space="preserve">Figure </w:t>
      </w:r>
      <w:r w:rsidR="00F44032">
        <w:rPr>
          <w:noProof/>
        </w:rPr>
        <w:t>4</w:t>
      </w:r>
      <w:r w:rsidR="00F44032">
        <w:t>.</w:t>
      </w:r>
      <w:r w:rsidR="00F44032">
        <w:rPr>
          <w:noProof/>
        </w:rPr>
        <w:t>4</w:t>
      </w:r>
      <w:r w:rsidR="00F44032">
        <w:fldChar w:fldCharType="end"/>
      </w:r>
      <w:r w:rsidRPr="007E4FEE">
        <w:t>)</w:t>
      </w:r>
      <w:r>
        <w:t>. As expected, the decay constant (</w:t>
      </w:r>
      <w:r w:rsidRPr="00615F04">
        <w:rPr>
          <w:i/>
        </w:rPr>
        <w:t>k</w:t>
      </w:r>
      <w:r w:rsidRPr="00615F04">
        <w:rPr>
          <w:i/>
          <w:vertAlign w:val="subscript"/>
        </w:rPr>
        <w:t>1</w:t>
      </w:r>
      <w:r>
        <w:t>) for the predicted data was 0.25 h</w:t>
      </w:r>
      <w:r w:rsidRPr="00615F04">
        <w:rPr>
          <w:vertAlign w:val="superscript"/>
        </w:rPr>
        <w:t>-1</w:t>
      </w:r>
      <w:r>
        <w:t xml:space="preserve"> and the decay constant (</w:t>
      </w:r>
      <w:r w:rsidRPr="00615F04">
        <w:rPr>
          <w:i/>
        </w:rPr>
        <w:t>k</w:t>
      </w:r>
      <w:r w:rsidRPr="00615F04">
        <w:rPr>
          <w:i/>
          <w:vertAlign w:val="subscript"/>
        </w:rPr>
        <w:t>2</w:t>
      </w:r>
      <w:r>
        <w:t>) for the synthetic data was -0.5 h</w:t>
      </w:r>
      <w:r w:rsidRPr="00615F04">
        <w:rPr>
          <w:vertAlign w:val="superscript"/>
        </w:rPr>
        <w:t>-1</w:t>
      </w:r>
      <w:r>
        <w:t xml:space="preserve"> (</w:t>
      </w:r>
      <w:r w:rsidR="00F44032">
        <w:fldChar w:fldCharType="begin"/>
      </w:r>
      <w:r w:rsidR="00F44032">
        <w:instrText xml:space="preserve"> REF _Ref497553899 \h </w:instrText>
      </w:r>
      <w:r w:rsidR="00F44032">
        <w:fldChar w:fldCharType="separate"/>
      </w:r>
      <w:r w:rsidR="00F44032">
        <w:t xml:space="preserve">Figure </w:t>
      </w:r>
      <w:r w:rsidR="00F44032">
        <w:rPr>
          <w:noProof/>
        </w:rPr>
        <w:t>4</w:t>
      </w:r>
      <w:r w:rsidR="00F44032">
        <w:t>.</w:t>
      </w:r>
      <w:r w:rsidR="00F44032">
        <w:rPr>
          <w:noProof/>
        </w:rPr>
        <w:t>4</w:t>
      </w:r>
      <w:r w:rsidR="00F44032">
        <w:fldChar w:fldCharType="end"/>
      </w:r>
      <w:r>
        <w:t xml:space="preserve">). Therefore, the net rate of removal was simply </w:t>
      </w:r>
      <w:r w:rsidRPr="00DD64C3">
        <w:rPr>
          <w:i/>
        </w:rPr>
        <w:t>k</w:t>
      </w:r>
      <w:r w:rsidRPr="00DD64C3">
        <w:rPr>
          <w:i/>
          <w:vertAlign w:val="subscript"/>
        </w:rPr>
        <w:t>2</w:t>
      </w:r>
      <w:r>
        <w:t xml:space="preserve"> minus </w:t>
      </w:r>
      <w:r w:rsidRPr="00DD64C3">
        <w:rPr>
          <w:i/>
        </w:rPr>
        <w:t>k</w:t>
      </w:r>
      <w:r w:rsidRPr="00DD64C3">
        <w:rPr>
          <w:i/>
          <w:vertAlign w:val="subscript"/>
        </w:rPr>
        <w:t>1</w:t>
      </w:r>
      <w:r>
        <w:rPr>
          <w:i/>
          <w:vertAlign w:val="subscript"/>
        </w:rPr>
        <w:t xml:space="preserve"> </w:t>
      </w:r>
      <w:r>
        <w:t>or 0.25 h</w:t>
      </w:r>
      <w:r w:rsidRPr="009D6FC2">
        <w:rPr>
          <w:vertAlign w:val="superscript"/>
        </w:rPr>
        <w:t>-1</w:t>
      </w:r>
      <w:r>
        <w:t xml:space="preserve"> (</w:t>
      </w:r>
      <w:r w:rsidR="00F44032">
        <w:fldChar w:fldCharType="begin"/>
      </w:r>
      <w:r w:rsidR="00F44032">
        <w:instrText xml:space="preserve"> REF _Ref497553899 \h </w:instrText>
      </w:r>
      <w:r w:rsidR="00F44032">
        <w:fldChar w:fldCharType="separate"/>
      </w:r>
      <w:r w:rsidR="00F44032">
        <w:t xml:space="preserve">Figure </w:t>
      </w:r>
      <w:r w:rsidR="00F44032">
        <w:rPr>
          <w:noProof/>
        </w:rPr>
        <w:t>4</w:t>
      </w:r>
      <w:r w:rsidR="00F44032">
        <w:t>.</w:t>
      </w:r>
      <w:r w:rsidR="00F44032">
        <w:rPr>
          <w:noProof/>
        </w:rPr>
        <w:t>4</w:t>
      </w:r>
      <w:r w:rsidR="00F44032">
        <w:fldChar w:fldCharType="end"/>
      </w:r>
      <w:r>
        <w:t>).</w:t>
      </w:r>
    </w:p>
    <w:p w14:paraId="58F91C57" w14:textId="77777777" w:rsidR="00385748" w:rsidRDefault="00385748" w:rsidP="00385748">
      <w:pPr>
        <w:ind w:firstLine="720"/>
      </w:pPr>
      <w:r>
        <w:t>The net mass of removal can be calculated by first integrating the area under the concentration versus time data for the synthetic and predicted data (</w:t>
      </w:r>
      <w:r w:rsidR="00F44032">
        <w:fldChar w:fldCharType="begin"/>
      </w:r>
      <w:r w:rsidR="00F44032">
        <w:instrText xml:space="preserve"> REF _Ref497553857 \h </w:instrText>
      </w:r>
      <w:r w:rsidR="00F44032">
        <w:fldChar w:fldCharType="separate"/>
      </w:r>
      <w:r w:rsidR="00F44032">
        <w:t xml:space="preserve">Figure </w:t>
      </w:r>
      <w:r w:rsidR="00F44032">
        <w:rPr>
          <w:noProof/>
        </w:rPr>
        <w:t>4</w:t>
      </w:r>
      <w:r w:rsidR="00F44032">
        <w:t>.</w:t>
      </w:r>
      <w:r w:rsidR="00F44032">
        <w:rPr>
          <w:noProof/>
        </w:rPr>
        <w:t>3</w:t>
      </w:r>
      <w:r w:rsidR="00F44032">
        <w:fldChar w:fldCharType="end"/>
      </w:r>
      <w:r>
        <w:t>) as given by:</w:t>
      </w:r>
    </w:p>
    <w:p w14:paraId="67C11669" w14:textId="77777777" w:rsidR="00385748" w:rsidRDefault="00CA2C3C" w:rsidP="00385748">
      <m:oMathPara>
        <m:oMath>
          <m:eqArr>
            <m:eqArrPr>
              <m:maxDist m:val="1"/>
              <m:ctrlPr>
                <w:rPr>
                  <w:rFonts w:ascii="Cambria Math" w:hAnsi="Cambria Math" w:cs="Times New Roman"/>
                  <w:i/>
                </w:rPr>
              </m:ctrlPr>
            </m:eqArrPr>
            <m:e>
              <m:r>
                <w:rPr>
                  <w:rFonts w:ascii="Cambria Math" w:hAnsi="Cambria Math" w:cs="Times New Roman"/>
                </w:rPr>
                <m:t>M</m:t>
              </m:r>
              <m:r>
                <m:rPr>
                  <m:sty m:val="p"/>
                </m:rPr>
                <w:rPr>
                  <w:rFonts w:ascii="Cambria Math" w:hAnsi="Cambria Math" w:cs="Times New Roman"/>
                </w:rPr>
                <m:t>=</m:t>
              </m:r>
              <m:f>
                <m:fPr>
                  <m:ctrlPr>
                    <w:rPr>
                      <w:rFonts w:ascii="Cambria Math" w:hAnsi="Cambria Math" w:cs="Times New Roman"/>
                      <w:i/>
                    </w:rPr>
                  </m:ctrlPr>
                </m:fPr>
                <m:num>
                  <m:r>
                    <w:rPr>
                      <w:rFonts w:ascii="Cambria Math" w:hAnsi="Cambria Math" w:cs="Times New Roman"/>
                    </w:rPr>
                    <m:t>∆V</m:t>
                  </m:r>
                </m:num>
                <m:den>
                  <m:r>
                    <w:rPr>
                      <w:rFonts w:ascii="Cambria Math" w:hAnsi="Cambria Math" w:cs="Times New Roman"/>
                    </w:rPr>
                    <m:t>∆T</m:t>
                  </m:r>
                </m:den>
              </m:f>
              <m:nary>
                <m:naryPr>
                  <m:limLoc m:val="subSup"/>
                  <m:ctrlPr>
                    <w:rPr>
                      <w:rFonts w:ascii="Cambria Math" w:hAnsi="Cambria Math" w:cs="Times New Roman"/>
                      <w:i/>
                    </w:rPr>
                  </m:ctrlPr>
                </m:naryPr>
                <m:sub>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0</m:t>
                      </m:r>
                    </m:sub>
                  </m:sSub>
                </m:sub>
                <m:sup>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n</m:t>
                      </m:r>
                    </m:sub>
                  </m:sSub>
                </m:sup>
                <m:e>
                  <m:r>
                    <w:rPr>
                      <w:rFonts w:ascii="Cambria Math" w:hAnsi="Cambria Math" w:cs="Times New Roman"/>
                    </w:rPr>
                    <m:t>C(t)dt</m:t>
                  </m:r>
                </m:e>
              </m:nary>
              <m:r>
                <w:rPr>
                  <w:rFonts w:ascii="Cambria Math" w:hAnsi="Cambria Math" w:cs="Times New Roman"/>
                </w:rPr>
                <m:t>#(</m:t>
              </m:r>
              <m:r>
                <m:rPr>
                  <m:sty m:val="p"/>
                </m:rPr>
                <w:rPr>
                  <w:rFonts w:ascii="Cambria Math" w:hAnsi="Cambria Math" w:cs="Times New Roman"/>
                </w:rPr>
                <m:t>14</m:t>
              </m:r>
              <m:r>
                <w:rPr>
                  <w:rFonts w:ascii="Cambria Math" w:hAnsi="Cambria Math" w:cs="Times New Roman"/>
                </w:rPr>
                <m:t>)</m:t>
              </m:r>
            </m:e>
          </m:eqArr>
        </m:oMath>
      </m:oMathPara>
    </w:p>
    <w:p w14:paraId="7585AE0E" w14:textId="77777777" w:rsidR="00385748" w:rsidRDefault="00385748" w:rsidP="00385748">
      <w:r>
        <w:t>where:</w:t>
      </w:r>
    </w:p>
    <w:p w14:paraId="24734F37" w14:textId="77777777" w:rsidR="00385748" w:rsidRDefault="00385748" w:rsidP="00385748">
      <w:r>
        <w:rPr>
          <w:rFonts w:ascii="Calibri" w:hAnsi="Calibri" w:cs="Calibri"/>
          <w:i/>
        </w:rPr>
        <w:t>Δ</w:t>
      </w:r>
      <w:r w:rsidRPr="001C58E9">
        <w:rPr>
          <w:i/>
        </w:rPr>
        <w:t>V</w:t>
      </w:r>
      <w:r>
        <w:t xml:space="preserve"> = total volume of fluid extracted during periodic sampling [L</w:t>
      </w:r>
      <w:r w:rsidRPr="00396435">
        <w:rPr>
          <w:vertAlign w:val="superscript"/>
        </w:rPr>
        <w:t>3</w:t>
      </w:r>
      <w:r>
        <w:t xml:space="preserve">]  </w:t>
      </w:r>
    </w:p>
    <w:p w14:paraId="76B2BBD5" w14:textId="77777777" w:rsidR="00385748" w:rsidRDefault="00385748" w:rsidP="00385748">
      <w:r>
        <w:rPr>
          <w:rFonts w:ascii="Calibri" w:hAnsi="Calibri" w:cs="Calibri"/>
          <w:i/>
        </w:rPr>
        <w:t>Δ</w:t>
      </w:r>
      <w:r>
        <w:rPr>
          <w:i/>
        </w:rPr>
        <w:t>T</w:t>
      </w:r>
      <w:r>
        <w:t xml:space="preserve"> = total elapsed time during periodic sampling [T]</w:t>
      </w:r>
    </w:p>
    <w:p w14:paraId="41DCC5D4" w14:textId="77777777" w:rsidR="00385748" w:rsidRPr="00FE21B7" w:rsidRDefault="00385748" w:rsidP="00385748">
      <w:r w:rsidRPr="00FE21B7">
        <w:rPr>
          <w:i/>
        </w:rPr>
        <w:t>t</w:t>
      </w:r>
      <w:r w:rsidRPr="00FE21B7">
        <w:rPr>
          <w:i/>
          <w:vertAlign w:val="subscript"/>
        </w:rPr>
        <w:t>0</w:t>
      </w:r>
      <w:r>
        <w:rPr>
          <w:i/>
          <w:vertAlign w:val="subscript"/>
        </w:rPr>
        <w:t xml:space="preserve"> </w:t>
      </w:r>
      <w:r>
        <w:t>= time at the start of extraction pumping [T]</w:t>
      </w:r>
    </w:p>
    <w:p w14:paraId="459C58E4" w14:textId="4922F5CC" w:rsidR="00EA52F1" w:rsidRDefault="00385748" w:rsidP="00EA52F1">
      <w:r w:rsidRPr="00FE21B7">
        <w:rPr>
          <w:i/>
        </w:rPr>
        <w:t>t</w:t>
      </w:r>
      <w:r>
        <w:rPr>
          <w:i/>
          <w:vertAlign w:val="subscript"/>
        </w:rPr>
        <w:t xml:space="preserve">n </w:t>
      </w:r>
      <w:r>
        <w:t>= time at the end of extraction pumping [T]</w:t>
      </w:r>
    </w:p>
    <w:p w14:paraId="1A0AF421" w14:textId="77777777" w:rsidR="00EA52F1" w:rsidRDefault="00EA52F1" w:rsidP="00EA52F1">
      <w:r>
        <w:rPr>
          <w:noProof/>
          <w:lang w:eastAsia="zh-CN" w:bidi="ar-SA"/>
        </w:rPr>
        <w:lastRenderedPageBreak/>
        <w:drawing>
          <wp:inline distT="0" distB="0" distL="0" distR="0" wp14:anchorId="62A855EA" wp14:editId="6EF4E2FF">
            <wp:extent cx="5943600" cy="32004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3200400"/>
                    </a:xfrm>
                    <a:prstGeom prst="rect">
                      <a:avLst/>
                    </a:prstGeom>
                    <a:noFill/>
                  </pic:spPr>
                </pic:pic>
              </a:graphicData>
            </a:graphic>
          </wp:inline>
        </w:drawing>
      </w:r>
    </w:p>
    <w:p w14:paraId="31444C8A" w14:textId="77777777" w:rsidR="00EA52F1" w:rsidRDefault="00CB6A14" w:rsidP="00CB6A14">
      <w:pPr>
        <w:pStyle w:val="Caption"/>
      </w:pPr>
      <w:bookmarkStart w:id="161" w:name="_Ref497553899"/>
      <w:bookmarkStart w:id="162" w:name="_Toc498504903"/>
      <w:r>
        <w:t xml:space="preserve">Figure </w:t>
      </w:r>
      <w:r w:rsidR="00CA2C3C">
        <w:fldChar w:fldCharType="begin"/>
      </w:r>
      <w:r w:rsidR="00CA2C3C">
        <w:instrText xml:space="preserve"> STYLEREF 1 \s </w:instrText>
      </w:r>
      <w:r w:rsidR="00CA2C3C">
        <w:fldChar w:fldCharType="separate"/>
      </w:r>
      <w:r w:rsidR="00E70E91">
        <w:rPr>
          <w:noProof/>
        </w:rPr>
        <w:t>4</w:t>
      </w:r>
      <w:r w:rsidR="00CA2C3C">
        <w:rPr>
          <w:noProof/>
        </w:rPr>
        <w:fldChar w:fldCharType="end"/>
      </w:r>
      <w:r w:rsidR="00E70E91">
        <w:t>.</w:t>
      </w:r>
      <w:r w:rsidR="00CA2C3C">
        <w:fldChar w:fldCharType="begin"/>
      </w:r>
      <w:r w:rsidR="00CA2C3C">
        <w:instrText xml:space="preserve"> SEQ Figure \* ARABIC \s 1 </w:instrText>
      </w:r>
      <w:r w:rsidR="00CA2C3C">
        <w:fldChar w:fldCharType="separate"/>
      </w:r>
      <w:r w:rsidR="00E70E91">
        <w:rPr>
          <w:noProof/>
        </w:rPr>
        <w:t>4</w:t>
      </w:r>
      <w:r w:rsidR="00CA2C3C">
        <w:rPr>
          <w:noProof/>
        </w:rPr>
        <w:fldChar w:fldCharType="end"/>
      </w:r>
      <w:bookmarkEnd w:id="161"/>
      <w:r>
        <w:t xml:space="preserve"> </w:t>
      </w:r>
      <w:r w:rsidR="00EA52F1" w:rsidRPr="00CB6A14">
        <w:rPr>
          <w:b w:val="0"/>
        </w:rPr>
        <w:t>Synthetic and predicted data generated for scenario two from equation (12) and linear regression to determine the decay constant (</w:t>
      </w:r>
      <w:r w:rsidR="00EA52F1" w:rsidRPr="00CB6A14">
        <w:rPr>
          <w:b w:val="0"/>
          <w:i/>
        </w:rPr>
        <w:t>k</w:t>
      </w:r>
      <w:r w:rsidR="00EA52F1" w:rsidRPr="00CB6A14">
        <w:rPr>
          <w:b w:val="0"/>
        </w:rPr>
        <w:t>)</w:t>
      </w:r>
      <w:bookmarkEnd w:id="162"/>
    </w:p>
    <w:p w14:paraId="2439069A" w14:textId="77777777" w:rsidR="00385748" w:rsidRDefault="00385748" w:rsidP="00EA52F1">
      <w:pPr>
        <w:ind w:firstLine="567"/>
      </w:pPr>
    </w:p>
    <w:p w14:paraId="3ABF0BD3" w14:textId="77777777" w:rsidR="00385748" w:rsidRDefault="00385748" w:rsidP="00EA52F1">
      <w:pPr>
        <w:ind w:firstLine="567"/>
      </w:pPr>
    </w:p>
    <w:p w14:paraId="4E357B3D" w14:textId="77777777" w:rsidR="00385748" w:rsidRDefault="00385748" w:rsidP="00EA52F1">
      <w:pPr>
        <w:ind w:firstLine="567"/>
      </w:pPr>
    </w:p>
    <w:p w14:paraId="74C5A7FA" w14:textId="77777777" w:rsidR="00385748" w:rsidRDefault="00385748" w:rsidP="00EA52F1">
      <w:pPr>
        <w:ind w:firstLine="567"/>
      </w:pPr>
    </w:p>
    <w:p w14:paraId="5DCA1356" w14:textId="77777777" w:rsidR="00385748" w:rsidRDefault="00385748" w:rsidP="00EA52F1">
      <w:pPr>
        <w:ind w:firstLine="567"/>
      </w:pPr>
    </w:p>
    <w:p w14:paraId="2C54AB47" w14:textId="77777777" w:rsidR="00385748" w:rsidRDefault="00385748" w:rsidP="00EA52F1">
      <w:pPr>
        <w:ind w:firstLine="567"/>
      </w:pPr>
    </w:p>
    <w:p w14:paraId="473B7EE3" w14:textId="77777777" w:rsidR="00385748" w:rsidRDefault="00385748" w:rsidP="00EA52F1">
      <w:pPr>
        <w:ind w:firstLine="567"/>
      </w:pPr>
    </w:p>
    <w:p w14:paraId="507F97DD" w14:textId="77777777" w:rsidR="00385748" w:rsidRDefault="00385748" w:rsidP="00EA52F1">
      <w:pPr>
        <w:ind w:firstLine="567"/>
      </w:pPr>
    </w:p>
    <w:p w14:paraId="49F1EB7A" w14:textId="6FF3D6B8" w:rsidR="00E3156A" w:rsidRDefault="00E3156A" w:rsidP="00EA52F1">
      <w:pPr>
        <w:ind w:firstLine="567"/>
      </w:pPr>
    </w:p>
    <w:p w14:paraId="78814AF9" w14:textId="77777777" w:rsidR="006D61BF" w:rsidRDefault="006D61BF" w:rsidP="00EA52F1">
      <w:pPr>
        <w:ind w:firstLine="567"/>
      </w:pPr>
    </w:p>
    <w:p w14:paraId="60E37A44" w14:textId="77777777" w:rsidR="00EA52F1" w:rsidRDefault="00EA52F1" w:rsidP="00EA52F1">
      <w:pPr>
        <w:ind w:firstLine="567"/>
      </w:pPr>
      <w:r>
        <w:lastRenderedPageBreak/>
        <w:t>The solution to equation (14) can be approximated numerically, as opposed to solved analytically. The area under the concentration versus time data (</w:t>
      </w:r>
      <w:r w:rsidR="00F44032">
        <w:fldChar w:fldCharType="begin"/>
      </w:r>
      <w:r w:rsidR="00F44032">
        <w:instrText xml:space="preserve"> REF _Ref497553857 \h </w:instrText>
      </w:r>
      <w:r w:rsidR="00F44032">
        <w:fldChar w:fldCharType="separate"/>
      </w:r>
      <w:r w:rsidR="00F44032">
        <w:t xml:space="preserve">Figure </w:t>
      </w:r>
      <w:r w:rsidR="00F44032">
        <w:rPr>
          <w:noProof/>
        </w:rPr>
        <w:t>4</w:t>
      </w:r>
      <w:r w:rsidR="00F44032">
        <w:t>.</w:t>
      </w:r>
      <w:r w:rsidR="00F44032">
        <w:rPr>
          <w:noProof/>
        </w:rPr>
        <w:t>3</w:t>
      </w:r>
      <w:r w:rsidR="00F44032">
        <w:fldChar w:fldCharType="end"/>
      </w:r>
      <w:r>
        <w:t xml:space="preserve">) was approximated numerically using the trapezoidal rule as given by: </w:t>
      </w:r>
    </w:p>
    <w:p w14:paraId="11D65F78" w14:textId="77777777" w:rsidR="00EA52F1" w:rsidRDefault="00CA2C3C" w:rsidP="00EA52F1">
      <m:oMathPara>
        <m:oMath>
          <m:eqArr>
            <m:eqArrPr>
              <m:maxDist m:val="1"/>
              <m:ctrlPr>
                <w:rPr>
                  <w:rFonts w:ascii="Cambria Math" w:hAnsi="Cambria Math" w:cs="Times New Roman"/>
                  <w:i/>
                </w:rPr>
              </m:ctrlPr>
            </m:eqArrPr>
            <m:e>
              <m:r>
                <w:rPr>
                  <w:rFonts w:ascii="Cambria Math" w:hAnsi="Cambria Math" w:cs="Times New Roman"/>
                </w:rPr>
                <m:t>M=</m:t>
              </m:r>
              <m:d>
                <m:dPr>
                  <m:begChr m:val="["/>
                  <m:endChr m:val="]"/>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∆V</m:t>
                      </m:r>
                    </m:num>
                    <m:den>
                      <m:r>
                        <w:rPr>
                          <w:rFonts w:ascii="Cambria Math" w:hAnsi="Cambria Math" w:cs="Times New Roman"/>
                        </w:rPr>
                        <m:t>∆T</m:t>
                      </m:r>
                    </m:den>
                  </m:f>
                </m:e>
              </m:d>
              <m:d>
                <m:dPr>
                  <m:begChr m:val="["/>
                  <m:endChr m:val="]"/>
                  <m:ctrlPr>
                    <w:rPr>
                      <w:rFonts w:ascii="Cambria Math" w:hAnsi="Cambria Math" w:cs="Times New Roman"/>
                      <w:i/>
                    </w:rPr>
                  </m:ctrlPr>
                </m:d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0</m:t>
                          </m:r>
                        </m:sub>
                      </m:sSub>
                    </m:e>
                  </m:d>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0</m:t>
                              </m:r>
                            </m:sub>
                          </m:sSub>
                        </m:num>
                        <m:den>
                          <m:r>
                            <w:rPr>
                              <w:rFonts w:ascii="Cambria Math" w:hAnsi="Cambria Math" w:cs="Times New Roman"/>
                            </w:rPr>
                            <m:t>2</m:t>
                          </m:r>
                        </m:den>
                      </m:f>
                    </m:e>
                  </m:d>
                  <m:r>
                    <w:rPr>
                      <w:rFonts w:ascii="Cambria Math" w:hAnsi="Cambria Math" w:cs="Times New Roman"/>
                    </w:rPr>
                    <m:t>+</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e>
                  </m:d>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1</m:t>
                              </m:r>
                            </m:sub>
                          </m:sSub>
                        </m:num>
                        <m:den>
                          <m:r>
                            <w:rPr>
                              <w:rFonts w:ascii="Cambria Math" w:hAnsi="Cambria Math" w:cs="Times New Roman"/>
                            </w:rPr>
                            <m:t>2</m:t>
                          </m:r>
                        </m:den>
                      </m:f>
                    </m:e>
                  </m:d>
                  <m:r>
                    <w:rPr>
                      <w:rFonts w:ascii="Cambria Math" w:hAnsi="Cambria Math" w:cs="Times New Roman"/>
                    </w:rPr>
                    <m:t>+…+</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n</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n-1</m:t>
                          </m:r>
                        </m:sub>
                      </m:sSub>
                    </m:e>
                  </m:d>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n</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n-1</m:t>
                              </m:r>
                            </m:sub>
                          </m:sSub>
                        </m:num>
                        <m:den>
                          <m:r>
                            <w:rPr>
                              <w:rFonts w:ascii="Cambria Math" w:hAnsi="Cambria Math" w:cs="Times New Roman"/>
                            </w:rPr>
                            <m:t>2</m:t>
                          </m:r>
                        </m:den>
                      </m:f>
                    </m:e>
                  </m:d>
                </m:e>
              </m:d>
              <m:r>
                <w:rPr>
                  <w:rFonts w:ascii="Cambria Math" w:hAnsi="Cambria Math" w:cs="Times New Roman"/>
                </w:rPr>
                <m:t xml:space="preserve">  #(</m:t>
              </m:r>
              <m:r>
                <m:rPr>
                  <m:sty m:val="p"/>
                </m:rPr>
                <w:rPr>
                  <w:rFonts w:ascii="Cambria Math" w:hAnsi="Cambria Math" w:cs="Times New Roman"/>
                </w:rPr>
                <m:t>15</m:t>
              </m:r>
              <m:r>
                <w:rPr>
                  <w:rFonts w:ascii="Cambria Math" w:hAnsi="Cambria Math" w:cs="Times New Roman"/>
                </w:rPr>
                <m:t>)</m:t>
              </m:r>
            </m:e>
          </m:eqArr>
        </m:oMath>
      </m:oMathPara>
    </w:p>
    <w:p w14:paraId="68192D1F" w14:textId="77777777" w:rsidR="00F44032" w:rsidRPr="001C1E71" w:rsidRDefault="00EA52F1" w:rsidP="001C1E71">
      <w:r w:rsidRPr="00750E09">
        <w:t>The area under the concentration versus time data (</w:t>
      </w:r>
      <w:r w:rsidR="00F44032">
        <w:fldChar w:fldCharType="begin"/>
      </w:r>
      <w:r w:rsidR="00F44032">
        <w:instrText xml:space="preserve"> REF _Ref497553857 \h </w:instrText>
      </w:r>
      <w:r w:rsidR="00F44032">
        <w:fldChar w:fldCharType="separate"/>
      </w:r>
      <w:r w:rsidR="00F44032">
        <w:t xml:space="preserve">Figure </w:t>
      </w:r>
      <w:r w:rsidR="00F44032">
        <w:rPr>
          <w:noProof/>
        </w:rPr>
        <w:t>4</w:t>
      </w:r>
      <w:r w:rsidR="00F44032">
        <w:t>.</w:t>
      </w:r>
      <w:r w:rsidR="00F44032">
        <w:rPr>
          <w:noProof/>
        </w:rPr>
        <w:t>3</w:t>
      </w:r>
      <w:r w:rsidR="00F44032">
        <w:fldChar w:fldCharType="end"/>
      </w:r>
      <w:r w:rsidRPr="00750E09">
        <w:t>) for th</w:t>
      </w:r>
      <w:r w:rsidRPr="000D527D">
        <w:t>e synthetic and predicted data w</w:t>
      </w:r>
      <w:r w:rsidRPr="001C4563">
        <w:t xml:space="preserve">ere approximately </w:t>
      </w:r>
      <w:r w:rsidRPr="00615F04">
        <w:t>14</w:t>
      </w:r>
      <w:r w:rsidRPr="00750E09">
        <w:t xml:space="preserve">0 and </w:t>
      </w:r>
      <w:r w:rsidRPr="00615F04">
        <w:t>215</w:t>
      </w:r>
      <w:r w:rsidRPr="00750E09">
        <w:t xml:space="preserve"> mg, respectively, assuming a total volume of 10 liters was extracted over 10 hours</w:t>
      </w:r>
      <w:r>
        <w:t xml:space="preserve">. </w:t>
      </w:r>
      <w:r w:rsidRPr="000D527D">
        <w:t xml:space="preserve">Therefore, the net mass of removal was </w:t>
      </w:r>
      <w:r w:rsidRPr="001C4563">
        <w:t xml:space="preserve">approximately </w:t>
      </w:r>
      <w:r w:rsidRPr="00615F04">
        <w:t>75</w:t>
      </w:r>
      <w:r w:rsidRPr="00750E09">
        <w:t xml:space="preserve"> mg</w:t>
      </w:r>
      <w:r>
        <w:t xml:space="preserve">. Equation (12) clearly allowed for valid and quantitative analysis to estimate the net rate and mass of solute removal. </w:t>
      </w:r>
    </w:p>
    <w:p w14:paraId="28E4F6C0" w14:textId="77777777" w:rsidR="00A11B90" w:rsidRDefault="00A11B90" w:rsidP="00D75D80">
      <w:pPr>
        <w:pStyle w:val="Heading2"/>
      </w:pPr>
      <w:bookmarkStart w:id="163" w:name="_Toc498505063"/>
      <w:r>
        <w:t>4.5.</w:t>
      </w:r>
      <w:r>
        <w:tab/>
      </w:r>
      <w:r w:rsidR="00466C9C">
        <w:rPr>
          <w:i/>
          <w:iCs/>
        </w:rPr>
        <w:t>In situ</w:t>
      </w:r>
      <w:r w:rsidR="00466C9C">
        <w:t xml:space="preserve"> </w:t>
      </w:r>
      <w:r>
        <w:t>application</w:t>
      </w:r>
      <w:bookmarkEnd w:id="163"/>
    </w:p>
    <w:p w14:paraId="72DADA38" w14:textId="77777777" w:rsidR="004F612D" w:rsidRDefault="004F612D" w:rsidP="004F612D">
      <w:pPr>
        <w:ind w:firstLine="720"/>
      </w:pPr>
      <w:r>
        <w:t xml:space="preserve">The stepwise-mixing model presented here was applied to a previously published study by Paradis et al. (2016) and the results were </w:t>
      </w:r>
      <w:proofErr w:type="gramStart"/>
      <w:r>
        <w:t>compared and contrasted</w:t>
      </w:r>
      <w:proofErr w:type="gramEnd"/>
      <w:r>
        <w:t xml:space="preserve"> to those from the dilution-adjusted model (equation 1). Paradis et al. (2016) utilized the push-pull test method to investigate the mobility of reduced and immobilized uranium in the presence of nitrate oxidant and analyzed the data using the dilution-adjusted model (equation 1). Paradis et al. (2016) concluded that reduced sulfur-bearing species, as opposed to reduced uranium-bearing species, were preferentially oxidized and mobilized. This conclusion was based on the following: (1) analyzing the magnitudes and trends of the dilution-adjusted breakthrough curves of nitrate, nitrite, sulfate, and uranium and (2) quantifying the mass of uranium and sulfate recovered during the pull phase relative to bromide, i.e., recovery factors. Recovery factors greater than one indicated that more uranium or sulfate was recovered relative to bromide. Recovery factors less than one indicated that less sulfate or uranium was recovered relative to bromide.</w:t>
      </w:r>
    </w:p>
    <w:p w14:paraId="50F29892" w14:textId="77777777" w:rsidR="00A11B90" w:rsidRDefault="004F612D" w:rsidP="004F612D">
      <w:pPr>
        <w:ind w:firstLine="720"/>
      </w:pPr>
      <w:r>
        <w:lastRenderedPageBreak/>
        <w:t xml:space="preserve">In the </w:t>
      </w:r>
      <w:proofErr w:type="gramStart"/>
      <w:r>
        <w:t>Paradis</w:t>
      </w:r>
      <w:proofErr w:type="gramEnd"/>
      <w:r>
        <w:t xml:space="preserve"> et al. (2016) study, bromide and nitrate were added as non-reactive and reactive solutes, respectively, to a 200-liter injection fluid at concentrations much greater than within the aquifer fluid (</w:t>
      </w:r>
      <w:r w:rsidR="00800B67">
        <w:fldChar w:fldCharType="begin"/>
      </w:r>
      <w:r w:rsidR="00800B67">
        <w:instrText xml:space="preserve"> REF _Ref497656918 \h </w:instrText>
      </w:r>
      <w:r w:rsidR="00800B67">
        <w:fldChar w:fldCharType="separate"/>
      </w:r>
      <w:r w:rsidR="00800B67">
        <w:t xml:space="preserve">Table </w:t>
      </w:r>
      <w:r w:rsidR="00800B67">
        <w:rPr>
          <w:noProof/>
        </w:rPr>
        <w:t>4</w:t>
      </w:r>
      <w:r w:rsidR="00800B67">
        <w:t>.</w:t>
      </w:r>
      <w:r w:rsidR="00800B67">
        <w:rPr>
          <w:noProof/>
        </w:rPr>
        <w:t>1</w:t>
      </w:r>
      <w:r w:rsidR="00800B67">
        <w:fldChar w:fldCharType="end"/>
      </w:r>
      <w:r>
        <w:t>). The injection fluid also contained uranium at a concentration much greater than with</w:t>
      </w:r>
      <w:r w:rsidR="00800B67">
        <w:t>in the aquifer fluid (</w:t>
      </w:r>
      <w:r w:rsidR="00800B67">
        <w:fldChar w:fldCharType="begin"/>
      </w:r>
      <w:r w:rsidR="00800B67">
        <w:instrText xml:space="preserve"> REF _Ref497656918 \h </w:instrText>
      </w:r>
      <w:r w:rsidR="00800B67">
        <w:fldChar w:fldCharType="separate"/>
      </w:r>
      <w:r w:rsidR="00800B67">
        <w:t xml:space="preserve">Table </w:t>
      </w:r>
      <w:r w:rsidR="00800B67">
        <w:rPr>
          <w:noProof/>
        </w:rPr>
        <w:t>4</w:t>
      </w:r>
      <w:r w:rsidR="00800B67">
        <w:t>.</w:t>
      </w:r>
      <w:r w:rsidR="00800B67">
        <w:rPr>
          <w:noProof/>
        </w:rPr>
        <w:t>1</w:t>
      </w:r>
      <w:r w:rsidR="00800B67">
        <w:fldChar w:fldCharType="end"/>
      </w:r>
      <w:r w:rsidR="00800B67">
        <w:t xml:space="preserve">). </w:t>
      </w:r>
      <w:r>
        <w:t>The concentrations of nitrite and sulfate within the injection fluid were only slightly greater than within the aquifer fluid (</w:t>
      </w:r>
      <w:r w:rsidR="00800B67">
        <w:fldChar w:fldCharType="begin"/>
      </w:r>
      <w:r w:rsidR="00800B67">
        <w:instrText xml:space="preserve"> REF _Ref497656918 \h </w:instrText>
      </w:r>
      <w:r w:rsidR="00800B67">
        <w:fldChar w:fldCharType="separate"/>
      </w:r>
      <w:r w:rsidR="00800B67">
        <w:t xml:space="preserve">Table </w:t>
      </w:r>
      <w:r w:rsidR="00800B67">
        <w:rPr>
          <w:noProof/>
        </w:rPr>
        <w:t>4</w:t>
      </w:r>
      <w:r w:rsidR="00800B67">
        <w:t>.</w:t>
      </w:r>
      <w:r w:rsidR="00800B67">
        <w:rPr>
          <w:noProof/>
        </w:rPr>
        <w:t>1</w:t>
      </w:r>
      <w:r w:rsidR="00800B67">
        <w:fldChar w:fldCharType="end"/>
      </w:r>
      <w:r>
        <w:t>). The 200-liter fluid was injected by siphon into a test well constructed within a shallow, unconfined groundwater system primarily comprised of reworked fill materials. Groundwater was periodically extracted from the test well the following day and continued for approximately 40 days.</w:t>
      </w:r>
    </w:p>
    <w:p w14:paraId="05D3E731" w14:textId="60CCC986" w:rsidR="00C10EF3" w:rsidRDefault="00D50397" w:rsidP="00A108D7">
      <w:pPr>
        <w:ind w:firstLine="567"/>
      </w:pPr>
      <w:r>
        <w:t xml:space="preserve">The dilution-adjusted breakthrough curve of nitrate from equation (1) showed a notable decrease from approximately 170 to less than 10 mM by day 20 </w:t>
      </w:r>
      <w:r w:rsidR="00800B67">
        <w:fldChar w:fldCharType="begin"/>
      </w:r>
      <w:r w:rsidR="00800B67">
        <w:instrText xml:space="preserve"> REF _Ref497656948 \h </w:instrText>
      </w:r>
      <w:r w:rsidR="00800B67">
        <w:fldChar w:fldCharType="separate"/>
      </w:r>
      <w:r w:rsidR="00800B67">
        <w:t xml:space="preserve">Figure </w:t>
      </w:r>
      <w:r w:rsidR="00800B67">
        <w:rPr>
          <w:noProof/>
        </w:rPr>
        <w:t>4</w:t>
      </w:r>
      <w:r w:rsidR="00800B67">
        <w:t>.</w:t>
      </w:r>
      <w:r w:rsidR="00800B67">
        <w:rPr>
          <w:noProof/>
        </w:rPr>
        <w:t>5</w:t>
      </w:r>
      <w:r w:rsidR="00800B67">
        <w:fldChar w:fldCharType="end"/>
      </w:r>
      <w:r>
        <w:t>). When considering that the concentration of nitrate in the injection fluid was approximately 95 mM (</w:t>
      </w:r>
      <w:r w:rsidR="00800B67">
        <w:fldChar w:fldCharType="begin"/>
      </w:r>
      <w:r w:rsidR="00800B67">
        <w:instrText xml:space="preserve"> REF _Ref497656918 \h </w:instrText>
      </w:r>
      <w:r w:rsidR="00800B67">
        <w:fldChar w:fldCharType="separate"/>
      </w:r>
      <w:r w:rsidR="00800B67">
        <w:t xml:space="preserve">Table </w:t>
      </w:r>
      <w:r w:rsidR="00800B67">
        <w:rPr>
          <w:noProof/>
        </w:rPr>
        <w:t>4</w:t>
      </w:r>
      <w:r w:rsidR="00800B67">
        <w:t>.</w:t>
      </w:r>
      <w:r w:rsidR="00800B67">
        <w:rPr>
          <w:noProof/>
        </w:rPr>
        <w:t>1</w:t>
      </w:r>
      <w:r w:rsidR="00800B67">
        <w:fldChar w:fldCharType="end"/>
      </w:r>
      <w:r>
        <w:t>) and that nitrate reduction was expected to occur, it seems unlikely that the concentration of nitrate</w:t>
      </w:r>
      <w:r w:rsidR="00A108D7">
        <w:t xml:space="preserve"> would increase almost twofold</w:t>
      </w:r>
      <w:r w:rsidR="000A5750">
        <w:t xml:space="preserve">. </w:t>
      </w:r>
      <w:r w:rsidR="00C10EF3">
        <w:t>The stepwise-mixing breakthrough curve of nitrate from equation (16) suggested that mixing of nitrate would result in a decrease from approximately 40 to 20 mM by day 20 (</w:t>
      </w:r>
      <w:r w:rsidR="00800B67">
        <w:fldChar w:fldCharType="begin"/>
      </w:r>
      <w:r w:rsidR="00800B67">
        <w:instrText xml:space="preserve"> REF _Ref497656948 \h </w:instrText>
      </w:r>
      <w:r w:rsidR="00800B67">
        <w:fldChar w:fldCharType="separate"/>
      </w:r>
      <w:r w:rsidR="00800B67">
        <w:t xml:space="preserve">Figure </w:t>
      </w:r>
      <w:r w:rsidR="00800B67">
        <w:rPr>
          <w:noProof/>
        </w:rPr>
        <w:t>4</w:t>
      </w:r>
      <w:r w:rsidR="00800B67">
        <w:t>.</w:t>
      </w:r>
      <w:r w:rsidR="00800B67">
        <w:rPr>
          <w:noProof/>
        </w:rPr>
        <w:t>5</w:t>
      </w:r>
      <w:r w:rsidR="00800B67">
        <w:fldChar w:fldCharType="end"/>
      </w:r>
      <w:r w:rsidR="00C10EF3">
        <w:t>). It seems more likely that the concentration of nitrate would decrease, as predicted by the stepwise-mixing model, rather than increase, as predicted by the dilution-adjusted model, to concentrations below the injection fluid in the first few days after injection (</w:t>
      </w:r>
      <w:r w:rsidR="00800B67">
        <w:fldChar w:fldCharType="begin"/>
      </w:r>
      <w:r w:rsidR="00800B67">
        <w:instrText xml:space="preserve"> REF _Ref497656948 \h </w:instrText>
      </w:r>
      <w:r w:rsidR="00800B67">
        <w:fldChar w:fldCharType="separate"/>
      </w:r>
      <w:r w:rsidR="00800B67">
        <w:t xml:space="preserve">Figure </w:t>
      </w:r>
      <w:r w:rsidR="00800B67">
        <w:rPr>
          <w:noProof/>
        </w:rPr>
        <w:t>4</w:t>
      </w:r>
      <w:r w:rsidR="00800B67">
        <w:t>.</w:t>
      </w:r>
      <w:r w:rsidR="00800B67">
        <w:rPr>
          <w:noProof/>
        </w:rPr>
        <w:t>5</w:t>
      </w:r>
      <w:r w:rsidR="00800B67">
        <w:fldChar w:fldCharType="end"/>
      </w:r>
      <w:r w:rsidR="00C10EF3" w:rsidRPr="009213FC">
        <w:t xml:space="preserve"> and </w:t>
      </w:r>
      <w:r w:rsidR="00800B67">
        <w:fldChar w:fldCharType="begin"/>
      </w:r>
      <w:r w:rsidR="00800B67">
        <w:instrText xml:space="preserve"> REF _Ref497656918 \h </w:instrText>
      </w:r>
      <w:r w:rsidR="00800B67">
        <w:fldChar w:fldCharType="separate"/>
      </w:r>
      <w:r w:rsidR="00800B67">
        <w:t xml:space="preserve">Table </w:t>
      </w:r>
      <w:r w:rsidR="00800B67">
        <w:rPr>
          <w:noProof/>
        </w:rPr>
        <w:t>4</w:t>
      </w:r>
      <w:r w:rsidR="00800B67">
        <w:t>.</w:t>
      </w:r>
      <w:r w:rsidR="00800B67">
        <w:rPr>
          <w:noProof/>
        </w:rPr>
        <w:t>1</w:t>
      </w:r>
      <w:r w:rsidR="00800B67">
        <w:fldChar w:fldCharType="end"/>
      </w:r>
      <w:r w:rsidR="00C10EF3">
        <w:t>). The measured breakthrough curve for nitrate indicated a decrease from approximately 75 to 1 mM by day 20 (</w:t>
      </w:r>
      <w:r w:rsidR="00800B67">
        <w:fldChar w:fldCharType="begin"/>
      </w:r>
      <w:r w:rsidR="00800B67">
        <w:instrText xml:space="preserve"> REF _Ref497656948 \h </w:instrText>
      </w:r>
      <w:r w:rsidR="00800B67">
        <w:fldChar w:fldCharType="separate"/>
      </w:r>
      <w:r w:rsidR="00800B67">
        <w:t xml:space="preserve">Figure </w:t>
      </w:r>
      <w:r w:rsidR="00800B67">
        <w:rPr>
          <w:noProof/>
        </w:rPr>
        <w:t>4</w:t>
      </w:r>
      <w:r w:rsidR="00800B67">
        <w:t>.</w:t>
      </w:r>
      <w:r w:rsidR="00800B67">
        <w:rPr>
          <w:noProof/>
        </w:rPr>
        <w:t>5</w:t>
      </w:r>
      <w:r w:rsidR="00800B67">
        <w:fldChar w:fldCharType="end"/>
      </w:r>
      <w:r w:rsidR="00C10EF3">
        <w:t>). Therefore, the stepwise-mixing model correctly predicted that nitrate would initially breakthrough at a concentration less than injected (</w:t>
      </w:r>
      <w:r w:rsidR="00800B67">
        <w:fldChar w:fldCharType="begin"/>
      </w:r>
      <w:r w:rsidR="00800B67">
        <w:instrText xml:space="preserve"> REF _Ref497656948 \h </w:instrText>
      </w:r>
      <w:r w:rsidR="00800B67">
        <w:fldChar w:fldCharType="separate"/>
      </w:r>
      <w:r w:rsidR="00800B67">
        <w:t xml:space="preserve">Figure </w:t>
      </w:r>
      <w:r w:rsidR="00800B67">
        <w:rPr>
          <w:noProof/>
        </w:rPr>
        <w:t>4</w:t>
      </w:r>
      <w:r w:rsidR="00800B67">
        <w:t>.</w:t>
      </w:r>
      <w:r w:rsidR="00800B67">
        <w:rPr>
          <w:noProof/>
        </w:rPr>
        <w:t>5</w:t>
      </w:r>
      <w:r w:rsidR="00800B67">
        <w:fldChar w:fldCharType="end"/>
      </w:r>
      <w:r w:rsidR="00C10EF3">
        <w:t xml:space="preserve">). The measured breakthrough curve of nitrate was notably less than the stepwise-mixing curve for all time points </w:t>
      </w:r>
    </w:p>
    <w:p w14:paraId="2D590796" w14:textId="77777777" w:rsidR="00D50397" w:rsidRDefault="00C10EF3" w:rsidP="00C10EF3">
      <w:pPr>
        <w:pStyle w:val="Caption"/>
        <w:keepNext/>
      </w:pPr>
      <w:bookmarkStart w:id="164" w:name="_Ref497656918"/>
      <w:bookmarkStart w:id="165" w:name="_Ref497657761"/>
      <w:bookmarkStart w:id="166" w:name="_Toc498504887"/>
      <w:r>
        <w:lastRenderedPageBreak/>
        <w:t xml:space="preserve">Table </w:t>
      </w:r>
      <w:r w:rsidR="00CA2C3C">
        <w:fldChar w:fldCharType="begin"/>
      </w:r>
      <w:r w:rsidR="00CA2C3C">
        <w:instrText xml:space="preserve"> STYLEREF 1 \s </w:instrText>
      </w:r>
      <w:r w:rsidR="00CA2C3C">
        <w:fldChar w:fldCharType="separate"/>
      </w:r>
      <w:r w:rsidR="002105EE">
        <w:rPr>
          <w:noProof/>
        </w:rPr>
        <w:t>4</w:t>
      </w:r>
      <w:r w:rsidR="00CA2C3C">
        <w:rPr>
          <w:noProof/>
        </w:rPr>
        <w:fldChar w:fldCharType="end"/>
      </w:r>
      <w:r w:rsidR="002105EE">
        <w:t>.</w:t>
      </w:r>
      <w:r w:rsidR="00CA2C3C">
        <w:fldChar w:fldCharType="begin"/>
      </w:r>
      <w:r w:rsidR="00CA2C3C">
        <w:instrText xml:space="preserve"> SEQ Table \* ARABIC \s 1 </w:instrText>
      </w:r>
      <w:r w:rsidR="00CA2C3C">
        <w:fldChar w:fldCharType="separate"/>
      </w:r>
      <w:r w:rsidR="002105EE">
        <w:rPr>
          <w:noProof/>
        </w:rPr>
        <w:t>1</w:t>
      </w:r>
      <w:r w:rsidR="00CA2C3C">
        <w:rPr>
          <w:noProof/>
        </w:rPr>
        <w:fldChar w:fldCharType="end"/>
      </w:r>
      <w:bookmarkEnd w:id="164"/>
      <w:r>
        <w:t xml:space="preserve"> </w:t>
      </w:r>
      <w:r w:rsidR="00D50397" w:rsidRPr="00C10EF3">
        <w:rPr>
          <w:b w:val="0"/>
        </w:rPr>
        <w:t>Concentrations of non-reactive (bromide) and potentially reactive solutes (nitrate, nitrite, sulfate, and uranium) within the injection and aquifer fluids from a previously published study by Paradis et al. (2016)</w:t>
      </w:r>
      <w:bookmarkEnd w:id="165"/>
      <w:bookmarkEnd w:id="166"/>
    </w:p>
    <w:tbl>
      <w:tblPr>
        <w:tblW w:w="9361" w:type="dxa"/>
        <w:jc w:val="center"/>
        <w:tblLayout w:type="fixed"/>
        <w:tblCellMar>
          <w:left w:w="115" w:type="dxa"/>
          <w:right w:w="115" w:type="dxa"/>
        </w:tblCellMar>
        <w:tblLook w:val="04A0" w:firstRow="1" w:lastRow="0" w:firstColumn="1" w:lastColumn="0" w:noHBand="0" w:noVBand="1"/>
      </w:tblPr>
      <w:tblGrid>
        <w:gridCol w:w="1561"/>
        <w:gridCol w:w="1560"/>
        <w:gridCol w:w="1560"/>
        <w:gridCol w:w="1560"/>
        <w:gridCol w:w="1560"/>
        <w:gridCol w:w="1560"/>
      </w:tblGrid>
      <w:tr w:rsidR="00D50397" w:rsidRPr="0041408A" w14:paraId="43E15F02" w14:textId="77777777" w:rsidTr="00A108D7">
        <w:trPr>
          <w:trHeight w:val="576"/>
          <w:jc w:val="center"/>
        </w:trPr>
        <w:tc>
          <w:tcPr>
            <w:tcW w:w="1561" w:type="dxa"/>
            <w:tcBorders>
              <w:top w:val="single" w:sz="4" w:space="0" w:color="auto"/>
              <w:left w:val="nil"/>
              <w:bottom w:val="nil"/>
              <w:right w:val="nil"/>
            </w:tcBorders>
            <w:shd w:val="clear" w:color="auto" w:fill="auto"/>
            <w:noWrap/>
            <w:vAlign w:val="center"/>
            <w:hideMark/>
          </w:tcPr>
          <w:p w14:paraId="4B84D597" w14:textId="77777777" w:rsidR="00D50397" w:rsidRPr="00007259" w:rsidRDefault="00D50397" w:rsidP="00A108D7">
            <w:pPr>
              <w:spacing w:line="240" w:lineRule="auto"/>
              <w:jc w:val="center"/>
              <w:rPr>
                <w:rFonts w:eastAsia="Times New Roman" w:cs="Times New Roman"/>
                <w:szCs w:val="24"/>
              </w:rPr>
            </w:pPr>
            <w:r>
              <w:rPr>
                <w:rFonts w:eastAsia="Times New Roman" w:cs="Times New Roman"/>
                <w:szCs w:val="24"/>
              </w:rPr>
              <w:t>Fluid</w:t>
            </w:r>
          </w:p>
        </w:tc>
        <w:tc>
          <w:tcPr>
            <w:tcW w:w="1560" w:type="dxa"/>
            <w:tcBorders>
              <w:top w:val="single" w:sz="4" w:space="0" w:color="auto"/>
              <w:left w:val="nil"/>
              <w:bottom w:val="nil"/>
              <w:right w:val="nil"/>
            </w:tcBorders>
            <w:vAlign w:val="center"/>
          </w:tcPr>
          <w:p w14:paraId="4202E25D" w14:textId="77777777" w:rsidR="00D50397" w:rsidRDefault="00D50397" w:rsidP="00A108D7">
            <w:pPr>
              <w:spacing w:line="240" w:lineRule="auto"/>
              <w:jc w:val="center"/>
            </w:pPr>
            <w:r>
              <w:t>Bromide</w:t>
            </w:r>
          </w:p>
        </w:tc>
        <w:tc>
          <w:tcPr>
            <w:tcW w:w="1560" w:type="dxa"/>
            <w:tcBorders>
              <w:top w:val="single" w:sz="4" w:space="0" w:color="auto"/>
              <w:left w:val="nil"/>
              <w:bottom w:val="nil"/>
              <w:right w:val="nil"/>
            </w:tcBorders>
            <w:vAlign w:val="center"/>
          </w:tcPr>
          <w:p w14:paraId="03B2E1D4" w14:textId="77777777" w:rsidR="00D50397" w:rsidRDefault="00D50397" w:rsidP="00A108D7">
            <w:pPr>
              <w:spacing w:line="240" w:lineRule="auto"/>
              <w:jc w:val="center"/>
            </w:pPr>
            <w:r>
              <w:t>Nitrate</w:t>
            </w:r>
          </w:p>
        </w:tc>
        <w:tc>
          <w:tcPr>
            <w:tcW w:w="1560" w:type="dxa"/>
            <w:tcBorders>
              <w:top w:val="single" w:sz="4" w:space="0" w:color="auto"/>
              <w:left w:val="nil"/>
              <w:bottom w:val="nil"/>
              <w:right w:val="nil"/>
            </w:tcBorders>
            <w:shd w:val="clear" w:color="auto" w:fill="auto"/>
            <w:noWrap/>
            <w:vAlign w:val="center"/>
          </w:tcPr>
          <w:p w14:paraId="008E45E8" w14:textId="77777777" w:rsidR="00D50397" w:rsidRPr="00007259" w:rsidRDefault="00D50397" w:rsidP="00A108D7">
            <w:pPr>
              <w:spacing w:line="240" w:lineRule="auto"/>
              <w:jc w:val="center"/>
              <w:rPr>
                <w:rFonts w:eastAsia="Times New Roman" w:cs="Times New Roman"/>
                <w:szCs w:val="24"/>
              </w:rPr>
            </w:pPr>
            <w:r>
              <w:t>Nitrite</w:t>
            </w:r>
          </w:p>
        </w:tc>
        <w:tc>
          <w:tcPr>
            <w:tcW w:w="1560" w:type="dxa"/>
            <w:tcBorders>
              <w:top w:val="single" w:sz="4" w:space="0" w:color="auto"/>
              <w:left w:val="nil"/>
              <w:bottom w:val="nil"/>
              <w:right w:val="nil"/>
            </w:tcBorders>
            <w:shd w:val="clear" w:color="auto" w:fill="auto"/>
            <w:noWrap/>
            <w:vAlign w:val="center"/>
          </w:tcPr>
          <w:p w14:paraId="6D1C781F" w14:textId="77777777" w:rsidR="00D50397" w:rsidRPr="00262192" w:rsidRDefault="00D50397" w:rsidP="00A108D7">
            <w:pPr>
              <w:spacing w:line="240" w:lineRule="auto"/>
              <w:jc w:val="center"/>
              <w:rPr>
                <w:rFonts w:eastAsia="Times New Roman" w:cs="Times New Roman"/>
                <w:szCs w:val="24"/>
              </w:rPr>
            </w:pPr>
            <w:r>
              <w:rPr>
                <w:rFonts w:cs="Times New Roman"/>
              </w:rPr>
              <w:t>Sulfate</w:t>
            </w:r>
          </w:p>
        </w:tc>
        <w:tc>
          <w:tcPr>
            <w:tcW w:w="1560" w:type="dxa"/>
            <w:tcBorders>
              <w:top w:val="single" w:sz="4" w:space="0" w:color="auto"/>
              <w:left w:val="nil"/>
              <w:bottom w:val="nil"/>
              <w:right w:val="nil"/>
            </w:tcBorders>
            <w:vAlign w:val="center"/>
          </w:tcPr>
          <w:p w14:paraId="783928DB" w14:textId="77777777" w:rsidR="00D50397" w:rsidRDefault="00D50397" w:rsidP="00A108D7">
            <w:pPr>
              <w:spacing w:line="240" w:lineRule="auto"/>
              <w:jc w:val="center"/>
            </w:pPr>
            <w:r>
              <w:rPr>
                <w:rFonts w:cs="Times New Roman"/>
              </w:rPr>
              <w:t>Uranium</w:t>
            </w:r>
          </w:p>
        </w:tc>
      </w:tr>
      <w:tr w:rsidR="00D50397" w:rsidRPr="0041408A" w14:paraId="174FD01F" w14:textId="77777777" w:rsidTr="00A108D7">
        <w:trPr>
          <w:trHeight w:val="576"/>
          <w:jc w:val="center"/>
        </w:trPr>
        <w:tc>
          <w:tcPr>
            <w:tcW w:w="1561" w:type="dxa"/>
            <w:tcBorders>
              <w:top w:val="nil"/>
              <w:left w:val="nil"/>
              <w:bottom w:val="single" w:sz="4" w:space="0" w:color="auto"/>
              <w:right w:val="nil"/>
            </w:tcBorders>
            <w:shd w:val="clear" w:color="auto" w:fill="auto"/>
            <w:noWrap/>
            <w:vAlign w:val="center"/>
            <w:hideMark/>
          </w:tcPr>
          <w:p w14:paraId="38069689" w14:textId="77777777" w:rsidR="00D50397" w:rsidRPr="00007259" w:rsidRDefault="00D50397" w:rsidP="00A108D7">
            <w:pPr>
              <w:spacing w:line="240" w:lineRule="auto"/>
              <w:jc w:val="center"/>
              <w:rPr>
                <w:rFonts w:eastAsia="Times New Roman" w:cs="Times New Roman"/>
                <w:szCs w:val="24"/>
              </w:rPr>
            </w:pPr>
            <w:r>
              <w:rPr>
                <w:rFonts w:eastAsia="Times New Roman" w:cs="Times New Roman"/>
                <w:szCs w:val="24"/>
              </w:rPr>
              <w:t>(-)</w:t>
            </w:r>
          </w:p>
        </w:tc>
        <w:tc>
          <w:tcPr>
            <w:tcW w:w="1560" w:type="dxa"/>
            <w:tcBorders>
              <w:top w:val="nil"/>
              <w:left w:val="nil"/>
              <w:bottom w:val="single" w:sz="4" w:space="0" w:color="auto"/>
              <w:right w:val="nil"/>
            </w:tcBorders>
            <w:vAlign w:val="center"/>
          </w:tcPr>
          <w:p w14:paraId="6FC9D232" w14:textId="77777777" w:rsidR="00D50397" w:rsidRDefault="00D50397" w:rsidP="00A108D7">
            <w:pPr>
              <w:spacing w:line="240" w:lineRule="auto"/>
              <w:jc w:val="center"/>
            </w:pPr>
            <w:r>
              <w:t>(</w:t>
            </w:r>
            <w:r>
              <w:rPr>
                <w:rFonts w:cs="Times New Roman"/>
              </w:rPr>
              <w:t>mM</w:t>
            </w:r>
            <w:r>
              <w:t>)</w:t>
            </w:r>
          </w:p>
        </w:tc>
        <w:tc>
          <w:tcPr>
            <w:tcW w:w="1560" w:type="dxa"/>
            <w:tcBorders>
              <w:top w:val="nil"/>
              <w:left w:val="nil"/>
              <w:bottom w:val="single" w:sz="4" w:space="0" w:color="auto"/>
              <w:right w:val="nil"/>
            </w:tcBorders>
            <w:vAlign w:val="center"/>
          </w:tcPr>
          <w:p w14:paraId="2C91AC7F" w14:textId="77777777" w:rsidR="00D50397" w:rsidRDefault="00D50397" w:rsidP="00A108D7">
            <w:pPr>
              <w:spacing w:line="240" w:lineRule="auto"/>
              <w:jc w:val="center"/>
            </w:pPr>
            <w:r>
              <w:rPr>
                <w:rFonts w:cs="Times New Roman"/>
                <w:szCs w:val="24"/>
              </w:rPr>
              <w:t>(</w:t>
            </w:r>
            <w:r>
              <w:rPr>
                <w:rFonts w:cs="Times New Roman"/>
              </w:rPr>
              <w:t>mM</w:t>
            </w:r>
            <w:r>
              <w:rPr>
                <w:rFonts w:cs="Times New Roman"/>
                <w:szCs w:val="24"/>
              </w:rPr>
              <w:t>)</w:t>
            </w:r>
          </w:p>
        </w:tc>
        <w:tc>
          <w:tcPr>
            <w:tcW w:w="1560" w:type="dxa"/>
            <w:tcBorders>
              <w:top w:val="nil"/>
              <w:left w:val="nil"/>
              <w:bottom w:val="single" w:sz="4" w:space="0" w:color="auto"/>
              <w:right w:val="nil"/>
            </w:tcBorders>
            <w:shd w:val="clear" w:color="auto" w:fill="auto"/>
            <w:noWrap/>
            <w:vAlign w:val="center"/>
          </w:tcPr>
          <w:p w14:paraId="6B934001" w14:textId="77777777" w:rsidR="00D50397" w:rsidRPr="00007259" w:rsidRDefault="00D50397" w:rsidP="00A108D7">
            <w:pPr>
              <w:spacing w:line="240" w:lineRule="auto"/>
              <w:jc w:val="center"/>
              <w:rPr>
                <w:rFonts w:eastAsia="Times New Roman" w:cs="Times New Roman"/>
                <w:szCs w:val="24"/>
              </w:rPr>
            </w:pPr>
            <w:r>
              <w:t>(</w:t>
            </w:r>
            <w:r>
              <w:rPr>
                <w:rFonts w:cs="Times New Roman"/>
              </w:rPr>
              <w:t>mM</w:t>
            </w:r>
            <w:r>
              <w:t>)</w:t>
            </w:r>
          </w:p>
        </w:tc>
        <w:tc>
          <w:tcPr>
            <w:tcW w:w="1560" w:type="dxa"/>
            <w:tcBorders>
              <w:top w:val="nil"/>
              <w:left w:val="nil"/>
              <w:bottom w:val="single" w:sz="4" w:space="0" w:color="auto"/>
              <w:right w:val="nil"/>
            </w:tcBorders>
            <w:shd w:val="clear" w:color="auto" w:fill="auto"/>
            <w:noWrap/>
            <w:vAlign w:val="center"/>
          </w:tcPr>
          <w:p w14:paraId="0B0B453A" w14:textId="77777777" w:rsidR="00D50397" w:rsidRPr="00262192" w:rsidRDefault="00D50397" w:rsidP="00A108D7">
            <w:pPr>
              <w:spacing w:line="240" w:lineRule="auto"/>
              <w:jc w:val="center"/>
              <w:rPr>
                <w:rFonts w:eastAsia="Times New Roman" w:cs="Times New Roman"/>
                <w:szCs w:val="24"/>
              </w:rPr>
            </w:pPr>
            <w:r>
              <w:rPr>
                <w:rFonts w:cs="Times New Roman"/>
                <w:szCs w:val="24"/>
              </w:rPr>
              <w:t>(</w:t>
            </w:r>
            <w:r>
              <w:rPr>
                <w:rFonts w:cs="Times New Roman"/>
              </w:rPr>
              <w:t>mM</w:t>
            </w:r>
            <w:r>
              <w:rPr>
                <w:rFonts w:cs="Times New Roman"/>
                <w:szCs w:val="24"/>
              </w:rPr>
              <w:t>)</w:t>
            </w:r>
          </w:p>
        </w:tc>
        <w:tc>
          <w:tcPr>
            <w:tcW w:w="1560" w:type="dxa"/>
            <w:tcBorders>
              <w:top w:val="nil"/>
              <w:left w:val="nil"/>
              <w:bottom w:val="single" w:sz="4" w:space="0" w:color="auto"/>
              <w:right w:val="nil"/>
            </w:tcBorders>
            <w:vAlign w:val="center"/>
          </w:tcPr>
          <w:p w14:paraId="4A6B740C" w14:textId="77777777" w:rsidR="00D50397" w:rsidRPr="004D764C" w:rsidRDefault="00D50397" w:rsidP="00A108D7">
            <w:pPr>
              <w:spacing w:line="240" w:lineRule="auto"/>
              <w:jc w:val="center"/>
              <w:rPr>
                <w:rFonts w:cs="Times New Roman"/>
                <w:szCs w:val="24"/>
                <w:vertAlign w:val="subscript"/>
              </w:rPr>
            </w:pPr>
            <w:r>
              <w:rPr>
                <w:rFonts w:cs="Times New Roman"/>
                <w:szCs w:val="24"/>
              </w:rPr>
              <w:t>(</w:t>
            </w:r>
            <w:r>
              <w:rPr>
                <w:rFonts w:cs="Times New Roman"/>
              </w:rPr>
              <w:t>µM</w:t>
            </w:r>
            <w:r w:rsidRPr="004D764C">
              <w:rPr>
                <w:rFonts w:cs="Times New Roman"/>
                <w:szCs w:val="24"/>
              </w:rPr>
              <w:t>)</w:t>
            </w:r>
          </w:p>
        </w:tc>
      </w:tr>
      <w:tr w:rsidR="00D50397" w:rsidRPr="0041408A" w14:paraId="5489ED75" w14:textId="77777777" w:rsidTr="00A108D7">
        <w:trPr>
          <w:trHeight w:val="576"/>
          <w:jc w:val="center"/>
        </w:trPr>
        <w:tc>
          <w:tcPr>
            <w:tcW w:w="1561" w:type="dxa"/>
            <w:tcBorders>
              <w:top w:val="nil"/>
              <w:left w:val="nil"/>
              <w:right w:val="nil"/>
            </w:tcBorders>
            <w:shd w:val="clear" w:color="auto" w:fill="auto"/>
            <w:noWrap/>
            <w:vAlign w:val="center"/>
          </w:tcPr>
          <w:p w14:paraId="6BEFEDFB" w14:textId="77777777" w:rsidR="00D50397" w:rsidRPr="00007259" w:rsidRDefault="00D50397" w:rsidP="00A108D7">
            <w:pPr>
              <w:spacing w:line="240" w:lineRule="auto"/>
              <w:jc w:val="center"/>
              <w:rPr>
                <w:rFonts w:eastAsia="Times New Roman" w:cs="Times New Roman"/>
                <w:szCs w:val="24"/>
              </w:rPr>
            </w:pPr>
            <w:r>
              <w:rPr>
                <w:rFonts w:eastAsia="Times New Roman" w:cs="Times New Roman"/>
                <w:szCs w:val="24"/>
              </w:rPr>
              <w:t>Injection (</w:t>
            </w:r>
            <w:r w:rsidRPr="000923A2">
              <w:rPr>
                <w:rFonts w:eastAsia="Times New Roman" w:cs="Times New Roman"/>
                <w:i/>
                <w:szCs w:val="24"/>
              </w:rPr>
              <w:t>C</w:t>
            </w:r>
            <w:r w:rsidRPr="000923A2">
              <w:rPr>
                <w:rFonts w:eastAsia="Times New Roman" w:cs="Times New Roman"/>
                <w:i/>
                <w:szCs w:val="24"/>
                <w:vertAlign w:val="subscript"/>
              </w:rPr>
              <w:t>i</w:t>
            </w:r>
            <w:r>
              <w:rPr>
                <w:rFonts w:eastAsia="Times New Roman" w:cs="Times New Roman"/>
                <w:szCs w:val="24"/>
              </w:rPr>
              <w:t>)</w:t>
            </w:r>
          </w:p>
        </w:tc>
        <w:tc>
          <w:tcPr>
            <w:tcW w:w="1560" w:type="dxa"/>
            <w:tcBorders>
              <w:top w:val="nil"/>
              <w:left w:val="nil"/>
              <w:right w:val="nil"/>
            </w:tcBorders>
            <w:vAlign w:val="center"/>
          </w:tcPr>
          <w:p w14:paraId="6E89A347" w14:textId="77777777" w:rsidR="00D50397" w:rsidRPr="00CE3274" w:rsidRDefault="00D50397" w:rsidP="00A108D7">
            <w:pPr>
              <w:spacing w:line="240" w:lineRule="auto"/>
              <w:jc w:val="center"/>
            </w:pPr>
            <w:r>
              <w:t>0.5157</w:t>
            </w:r>
          </w:p>
        </w:tc>
        <w:tc>
          <w:tcPr>
            <w:tcW w:w="1560" w:type="dxa"/>
            <w:tcBorders>
              <w:top w:val="nil"/>
              <w:left w:val="nil"/>
              <w:right w:val="nil"/>
            </w:tcBorders>
            <w:vAlign w:val="center"/>
          </w:tcPr>
          <w:p w14:paraId="3149C69E" w14:textId="77777777" w:rsidR="00D50397" w:rsidRPr="00CE3274" w:rsidRDefault="00D50397" w:rsidP="00A108D7">
            <w:pPr>
              <w:spacing w:line="240" w:lineRule="auto"/>
              <w:jc w:val="center"/>
            </w:pPr>
            <w:r>
              <w:t>93.8</w:t>
            </w:r>
          </w:p>
        </w:tc>
        <w:tc>
          <w:tcPr>
            <w:tcW w:w="1560" w:type="dxa"/>
            <w:tcBorders>
              <w:top w:val="nil"/>
              <w:left w:val="nil"/>
              <w:right w:val="nil"/>
            </w:tcBorders>
            <w:shd w:val="clear" w:color="auto" w:fill="auto"/>
            <w:noWrap/>
            <w:vAlign w:val="center"/>
          </w:tcPr>
          <w:p w14:paraId="76555D8F" w14:textId="77777777" w:rsidR="00D50397" w:rsidRPr="00007259" w:rsidRDefault="00D50397" w:rsidP="00A108D7">
            <w:pPr>
              <w:spacing w:line="240" w:lineRule="auto"/>
              <w:jc w:val="center"/>
              <w:rPr>
                <w:rFonts w:eastAsia="Times New Roman" w:cs="Times New Roman"/>
                <w:szCs w:val="24"/>
              </w:rPr>
            </w:pPr>
            <w:r>
              <w:t>0.0024</w:t>
            </w:r>
          </w:p>
        </w:tc>
        <w:tc>
          <w:tcPr>
            <w:tcW w:w="1560" w:type="dxa"/>
            <w:tcBorders>
              <w:top w:val="nil"/>
              <w:left w:val="nil"/>
              <w:right w:val="nil"/>
            </w:tcBorders>
            <w:shd w:val="clear" w:color="auto" w:fill="auto"/>
            <w:noWrap/>
            <w:vAlign w:val="center"/>
          </w:tcPr>
          <w:p w14:paraId="43F31FB3" w14:textId="77777777" w:rsidR="00D50397" w:rsidRPr="00262192" w:rsidRDefault="00D50397" w:rsidP="00A108D7">
            <w:pPr>
              <w:spacing w:line="240" w:lineRule="auto"/>
              <w:jc w:val="center"/>
              <w:rPr>
                <w:rFonts w:eastAsia="Times New Roman" w:cs="Times New Roman"/>
                <w:szCs w:val="24"/>
              </w:rPr>
            </w:pPr>
            <w:r>
              <w:t>1.0</w:t>
            </w:r>
          </w:p>
        </w:tc>
        <w:tc>
          <w:tcPr>
            <w:tcW w:w="1560" w:type="dxa"/>
            <w:tcBorders>
              <w:top w:val="nil"/>
              <w:left w:val="nil"/>
              <w:right w:val="nil"/>
            </w:tcBorders>
            <w:vAlign w:val="center"/>
          </w:tcPr>
          <w:p w14:paraId="6113ED78" w14:textId="77777777" w:rsidR="00D50397" w:rsidRPr="00DA3683" w:rsidRDefault="00D50397" w:rsidP="00A108D7">
            <w:pPr>
              <w:spacing w:line="240" w:lineRule="auto"/>
              <w:jc w:val="center"/>
            </w:pPr>
            <w:r>
              <w:t>5.4</w:t>
            </w:r>
          </w:p>
        </w:tc>
      </w:tr>
      <w:tr w:rsidR="00D50397" w:rsidRPr="0041408A" w14:paraId="709E7EDB" w14:textId="77777777" w:rsidTr="00A108D7">
        <w:trPr>
          <w:trHeight w:val="576"/>
          <w:jc w:val="center"/>
        </w:trPr>
        <w:tc>
          <w:tcPr>
            <w:tcW w:w="1561" w:type="dxa"/>
            <w:tcBorders>
              <w:top w:val="nil"/>
              <w:left w:val="nil"/>
              <w:bottom w:val="single" w:sz="4" w:space="0" w:color="auto"/>
              <w:right w:val="nil"/>
            </w:tcBorders>
            <w:shd w:val="clear" w:color="auto" w:fill="auto"/>
            <w:noWrap/>
            <w:vAlign w:val="center"/>
          </w:tcPr>
          <w:p w14:paraId="4A678BAD" w14:textId="77777777" w:rsidR="00D50397" w:rsidRPr="00007259" w:rsidRDefault="00D50397" w:rsidP="00A108D7">
            <w:pPr>
              <w:spacing w:line="240" w:lineRule="auto"/>
              <w:jc w:val="center"/>
              <w:rPr>
                <w:rFonts w:eastAsia="Times New Roman" w:cs="Times New Roman"/>
                <w:szCs w:val="24"/>
              </w:rPr>
            </w:pPr>
            <w:r>
              <w:rPr>
                <w:rFonts w:eastAsia="Times New Roman" w:cs="Times New Roman"/>
                <w:szCs w:val="24"/>
              </w:rPr>
              <w:t>Aquifer (</w:t>
            </w:r>
            <w:r w:rsidRPr="000923A2">
              <w:rPr>
                <w:rFonts w:eastAsia="Times New Roman" w:cs="Times New Roman"/>
                <w:i/>
                <w:szCs w:val="24"/>
              </w:rPr>
              <w:t>C</w:t>
            </w:r>
            <w:r w:rsidRPr="000923A2">
              <w:rPr>
                <w:rFonts w:eastAsia="Times New Roman" w:cs="Times New Roman"/>
                <w:i/>
                <w:szCs w:val="24"/>
                <w:vertAlign w:val="subscript"/>
              </w:rPr>
              <w:t>a</w:t>
            </w:r>
            <w:r>
              <w:rPr>
                <w:rFonts w:eastAsia="Times New Roman" w:cs="Times New Roman"/>
                <w:szCs w:val="24"/>
              </w:rPr>
              <w:t>)</w:t>
            </w:r>
          </w:p>
        </w:tc>
        <w:tc>
          <w:tcPr>
            <w:tcW w:w="1560" w:type="dxa"/>
            <w:tcBorders>
              <w:top w:val="nil"/>
              <w:left w:val="nil"/>
              <w:bottom w:val="single" w:sz="4" w:space="0" w:color="auto"/>
              <w:right w:val="nil"/>
            </w:tcBorders>
            <w:vAlign w:val="center"/>
          </w:tcPr>
          <w:p w14:paraId="01665474" w14:textId="77777777" w:rsidR="00D50397" w:rsidRPr="00CE3274" w:rsidRDefault="00D50397" w:rsidP="00A108D7">
            <w:pPr>
              <w:spacing w:line="240" w:lineRule="auto"/>
              <w:jc w:val="center"/>
            </w:pPr>
            <w:r>
              <w:t>0.0001</w:t>
            </w:r>
          </w:p>
        </w:tc>
        <w:tc>
          <w:tcPr>
            <w:tcW w:w="1560" w:type="dxa"/>
            <w:tcBorders>
              <w:top w:val="nil"/>
              <w:left w:val="nil"/>
              <w:bottom w:val="single" w:sz="4" w:space="0" w:color="auto"/>
              <w:right w:val="nil"/>
            </w:tcBorders>
            <w:vAlign w:val="center"/>
          </w:tcPr>
          <w:p w14:paraId="4DC28922" w14:textId="77777777" w:rsidR="00D50397" w:rsidRPr="00CE3274" w:rsidRDefault="00D50397" w:rsidP="00A108D7">
            <w:pPr>
              <w:spacing w:line="240" w:lineRule="auto"/>
              <w:jc w:val="center"/>
            </w:pPr>
            <w:r>
              <w:t>0.1</w:t>
            </w:r>
          </w:p>
        </w:tc>
        <w:tc>
          <w:tcPr>
            <w:tcW w:w="1560" w:type="dxa"/>
            <w:tcBorders>
              <w:top w:val="nil"/>
              <w:left w:val="nil"/>
              <w:bottom w:val="single" w:sz="4" w:space="0" w:color="auto"/>
              <w:right w:val="nil"/>
            </w:tcBorders>
            <w:shd w:val="clear" w:color="auto" w:fill="auto"/>
            <w:noWrap/>
            <w:vAlign w:val="center"/>
          </w:tcPr>
          <w:p w14:paraId="3B13B086" w14:textId="77777777" w:rsidR="00D50397" w:rsidRPr="00007259" w:rsidRDefault="00D50397" w:rsidP="00A108D7">
            <w:pPr>
              <w:spacing w:line="240" w:lineRule="auto"/>
              <w:jc w:val="center"/>
              <w:rPr>
                <w:rFonts w:eastAsia="Times New Roman" w:cs="Times New Roman"/>
                <w:szCs w:val="24"/>
              </w:rPr>
            </w:pPr>
            <w:r>
              <w:t>0.0004</w:t>
            </w:r>
          </w:p>
        </w:tc>
        <w:tc>
          <w:tcPr>
            <w:tcW w:w="1560" w:type="dxa"/>
            <w:tcBorders>
              <w:top w:val="nil"/>
              <w:left w:val="nil"/>
              <w:bottom w:val="single" w:sz="4" w:space="0" w:color="auto"/>
              <w:right w:val="nil"/>
            </w:tcBorders>
            <w:shd w:val="clear" w:color="auto" w:fill="auto"/>
            <w:noWrap/>
            <w:vAlign w:val="center"/>
          </w:tcPr>
          <w:p w14:paraId="7D67DB71" w14:textId="77777777" w:rsidR="00D50397" w:rsidRPr="00262192" w:rsidRDefault="00D50397" w:rsidP="00A108D7">
            <w:pPr>
              <w:spacing w:line="240" w:lineRule="auto"/>
              <w:jc w:val="center"/>
              <w:rPr>
                <w:rFonts w:eastAsia="Times New Roman" w:cs="Times New Roman"/>
                <w:szCs w:val="24"/>
              </w:rPr>
            </w:pPr>
            <w:r>
              <w:t>0.3</w:t>
            </w:r>
          </w:p>
        </w:tc>
        <w:tc>
          <w:tcPr>
            <w:tcW w:w="1560" w:type="dxa"/>
            <w:tcBorders>
              <w:top w:val="nil"/>
              <w:left w:val="nil"/>
              <w:bottom w:val="single" w:sz="4" w:space="0" w:color="auto"/>
              <w:right w:val="nil"/>
            </w:tcBorders>
            <w:vAlign w:val="center"/>
          </w:tcPr>
          <w:p w14:paraId="145A8B4B" w14:textId="77777777" w:rsidR="00D50397" w:rsidRPr="00DA3683" w:rsidRDefault="00D50397" w:rsidP="00A108D7">
            <w:pPr>
              <w:spacing w:line="240" w:lineRule="auto"/>
              <w:jc w:val="center"/>
            </w:pPr>
            <w:r>
              <w:t>0.2</w:t>
            </w:r>
          </w:p>
        </w:tc>
      </w:tr>
    </w:tbl>
    <w:p w14:paraId="0B7583C2" w14:textId="77777777" w:rsidR="00D50397" w:rsidRDefault="00D50397" w:rsidP="004F612D">
      <w:pPr>
        <w:ind w:firstLine="720"/>
      </w:pPr>
    </w:p>
    <w:p w14:paraId="364C680B" w14:textId="77777777" w:rsidR="00D50397" w:rsidRDefault="00D50397" w:rsidP="004F612D">
      <w:pPr>
        <w:ind w:firstLine="720"/>
      </w:pPr>
    </w:p>
    <w:p w14:paraId="2C403B2C" w14:textId="77777777" w:rsidR="00D50397" w:rsidRDefault="00D50397" w:rsidP="004F612D">
      <w:pPr>
        <w:ind w:firstLine="720"/>
      </w:pPr>
    </w:p>
    <w:p w14:paraId="372AE445" w14:textId="77777777" w:rsidR="00D50397" w:rsidRDefault="00D50397" w:rsidP="004F612D">
      <w:pPr>
        <w:ind w:firstLine="720"/>
      </w:pPr>
    </w:p>
    <w:p w14:paraId="03840A61" w14:textId="77777777" w:rsidR="00D50397" w:rsidRDefault="00D50397" w:rsidP="004F612D">
      <w:pPr>
        <w:ind w:firstLine="720"/>
      </w:pPr>
    </w:p>
    <w:p w14:paraId="7B8EE082" w14:textId="77777777" w:rsidR="00D50397" w:rsidRDefault="00D50397" w:rsidP="004F612D">
      <w:pPr>
        <w:ind w:firstLine="720"/>
      </w:pPr>
    </w:p>
    <w:p w14:paraId="3347E10D" w14:textId="77777777" w:rsidR="00D50397" w:rsidRDefault="00D50397" w:rsidP="004F612D">
      <w:pPr>
        <w:ind w:firstLine="720"/>
      </w:pPr>
    </w:p>
    <w:p w14:paraId="67917315" w14:textId="77777777" w:rsidR="00D50397" w:rsidRDefault="00D50397" w:rsidP="004F612D">
      <w:pPr>
        <w:ind w:firstLine="720"/>
      </w:pPr>
    </w:p>
    <w:p w14:paraId="51F8D1C8" w14:textId="77777777" w:rsidR="00D50397" w:rsidRDefault="00D50397" w:rsidP="004F612D">
      <w:pPr>
        <w:ind w:firstLine="720"/>
      </w:pPr>
    </w:p>
    <w:p w14:paraId="5194C7BD" w14:textId="77777777" w:rsidR="00D50397" w:rsidRDefault="00D50397" w:rsidP="004F612D">
      <w:pPr>
        <w:ind w:firstLine="720"/>
      </w:pPr>
    </w:p>
    <w:p w14:paraId="53BF6E95" w14:textId="77777777" w:rsidR="00D50397" w:rsidRDefault="00D50397" w:rsidP="004F612D">
      <w:pPr>
        <w:ind w:firstLine="720"/>
      </w:pPr>
    </w:p>
    <w:p w14:paraId="72022A8F" w14:textId="77777777" w:rsidR="00D50397" w:rsidRDefault="00D50397" w:rsidP="004F612D">
      <w:pPr>
        <w:ind w:firstLine="720"/>
      </w:pPr>
    </w:p>
    <w:p w14:paraId="5827A762" w14:textId="77777777" w:rsidR="00D50397" w:rsidRDefault="00D50397" w:rsidP="004F612D">
      <w:pPr>
        <w:ind w:firstLine="720"/>
      </w:pPr>
    </w:p>
    <w:p w14:paraId="044D4920" w14:textId="77777777" w:rsidR="00D50397" w:rsidRDefault="00D50397" w:rsidP="004F612D">
      <w:pPr>
        <w:ind w:firstLine="720"/>
      </w:pPr>
    </w:p>
    <w:p w14:paraId="23FB0108" w14:textId="77777777" w:rsidR="00D50397" w:rsidRDefault="00D50397" w:rsidP="004F612D">
      <w:pPr>
        <w:ind w:firstLine="720"/>
      </w:pPr>
    </w:p>
    <w:p w14:paraId="6F63506B" w14:textId="77777777" w:rsidR="00D50397" w:rsidRDefault="00D50397" w:rsidP="004F612D">
      <w:pPr>
        <w:ind w:firstLine="720"/>
      </w:pPr>
    </w:p>
    <w:p w14:paraId="501101C5" w14:textId="77777777" w:rsidR="0091598E" w:rsidRDefault="00C10EF3" w:rsidP="0054095D">
      <w:r>
        <w:rPr>
          <w:noProof/>
          <w:lang w:eastAsia="zh-CN" w:bidi="ar-SA"/>
        </w:rPr>
        <w:lastRenderedPageBreak/>
        <w:drawing>
          <wp:inline distT="0" distB="0" distL="0" distR="0" wp14:anchorId="43B54D8B" wp14:editId="1D6C9F8C">
            <wp:extent cx="5943600" cy="6403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6403975"/>
                    </a:xfrm>
                    <a:prstGeom prst="rect">
                      <a:avLst/>
                    </a:prstGeom>
                    <a:noFill/>
                  </pic:spPr>
                </pic:pic>
              </a:graphicData>
            </a:graphic>
          </wp:inline>
        </w:drawing>
      </w:r>
    </w:p>
    <w:p w14:paraId="377DC7CC" w14:textId="77777777" w:rsidR="00C10EF3" w:rsidRDefault="0091598E" w:rsidP="0091598E">
      <w:pPr>
        <w:pStyle w:val="Caption"/>
      </w:pPr>
      <w:bookmarkStart w:id="167" w:name="_Ref497656948"/>
      <w:bookmarkStart w:id="168" w:name="_Toc498504904"/>
      <w:r>
        <w:t xml:space="preserve">Figure </w:t>
      </w:r>
      <w:r w:rsidR="00CA2C3C">
        <w:fldChar w:fldCharType="begin"/>
      </w:r>
      <w:r w:rsidR="00CA2C3C">
        <w:instrText xml:space="preserve"> STYLEREF 1 \s </w:instrText>
      </w:r>
      <w:r w:rsidR="00CA2C3C">
        <w:fldChar w:fldCharType="separate"/>
      </w:r>
      <w:r w:rsidR="00E70E91">
        <w:rPr>
          <w:noProof/>
        </w:rPr>
        <w:t>4</w:t>
      </w:r>
      <w:r w:rsidR="00CA2C3C">
        <w:rPr>
          <w:noProof/>
        </w:rPr>
        <w:fldChar w:fldCharType="end"/>
      </w:r>
      <w:r w:rsidR="00E70E91">
        <w:t>.</w:t>
      </w:r>
      <w:r w:rsidR="00CA2C3C">
        <w:fldChar w:fldCharType="begin"/>
      </w:r>
      <w:r w:rsidR="00CA2C3C">
        <w:instrText xml:space="preserve"> SEQ Figure \* ARABIC \s 1 </w:instrText>
      </w:r>
      <w:r w:rsidR="00CA2C3C">
        <w:fldChar w:fldCharType="separate"/>
      </w:r>
      <w:r w:rsidR="00E70E91">
        <w:rPr>
          <w:noProof/>
        </w:rPr>
        <w:t>5</w:t>
      </w:r>
      <w:r w:rsidR="00CA2C3C">
        <w:rPr>
          <w:noProof/>
        </w:rPr>
        <w:fldChar w:fldCharType="end"/>
      </w:r>
      <w:bookmarkEnd w:id="167"/>
      <w:r>
        <w:t xml:space="preserve"> </w:t>
      </w:r>
      <w:r w:rsidR="00C10EF3" w:rsidRPr="0091598E">
        <w:rPr>
          <w:b w:val="0"/>
        </w:rPr>
        <w:t>Breakthrough curves of nitrate and nitrite from the dilution-adjusted model (a), (c) and the stepwise-mixing model and measured data (b), (d)</w:t>
      </w:r>
      <w:bookmarkEnd w:id="168"/>
    </w:p>
    <w:p w14:paraId="6F669FCB" w14:textId="77777777" w:rsidR="00C10EF3" w:rsidRDefault="00C10EF3" w:rsidP="004F612D">
      <w:pPr>
        <w:ind w:firstLine="720"/>
      </w:pPr>
    </w:p>
    <w:p w14:paraId="4F0D21E9" w14:textId="77777777" w:rsidR="00C10EF3" w:rsidRDefault="00C10EF3" w:rsidP="004F612D">
      <w:pPr>
        <w:ind w:firstLine="720"/>
      </w:pPr>
    </w:p>
    <w:p w14:paraId="45DAC887" w14:textId="77777777" w:rsidR="00C10EF3" w:rsidRDefault="00C10EF3" w:rsidP="0054095D"/>
    <w:p w14:paraId="754BB78F" w14:textId="77777777" w:rsidR="00D50397" w:rsidRDefault="00C10EF3" w:rsidP="00C10EF3">
      <w:r>
        <w:lastRenderedPageBreak/>
        <w:t>except for the first two (</w:t>
      </w:r>
      <w:r w:rsidR="00800B67">
        <w:fldChar w:fldCharType="begin"/>
      </w:r>
      <w:r w:rsidR="00800B67">
        <w:instrText xml:space="preserve"> REF _Ref497656948 \h </w:instrText>
      </w:r>
      <w:r w:rsidR="00800B67">
        <w:fldChar w:fldCharType="separate"/>
      </w:r>
      <w:r w:rsidR="00800B67">
        <w:t xml:space="preserve">Figure </w:t>
      </w:r>
      <w:r w:rsidR="00800B67">
        <w:rPr>
          <w:noProof/>
        </w:rPr>
        <w:t>4</w:t>
      </w:r>
      <w:r w:rsidR="00800B67">
        <w:t>.</w:t>
      </w:r>
      <w:r w:rsidR="00800B67">
        <w:rPr>
          <w:noProof/>
        </w:rPr>
        <w:t>5</w:t>
      </w:r>
      <w:r w:rsidR="00800B67">
        <w:fldChar w:fldCharType="end"/>
      </w:r>
      <w:r>
        <w:t>). This suggested that nitrate was either removed from the aqueous phase or transformed to another dissolved-phase species. As mentioned previously, nitrate reduction to nitrite and other reduced nitrogen-bearing species was expected to occur. A benefit of the stepwise-mixing model is that the measured data of the potentially reactive solute can be directly compared to the predicted data which assumes only non-reactive mixing occurred (</w:t>
      </w:r>
      <w:r w:rsidR="00800B67">
        <w:fldChar w:fldCharType="begin"/>
      </w:r>
      <w:r w:rsidR="00800B67">
        <w:instrText xml:space="preserve"> REF _Ref497656948 \h </w:instrText>
      </w:r>
      <w:r w:rsidR="00800B67">
        <w:fldChar w:fldCharType="separate"/>
      </w:r>
      <w:r w:rsidR="00800B67">
        <w:t xml:space="preserve">Figure </w:t>
      </w:r>
      <w:r w:rsidR="00800B67">
        <w:rPr>
          <w:noProof/>
        </w:rPr>
        <w:t>4</w:t>
      </w:r>
      <w:r w:rsidR="00800B67">
        <w:t>.</w:t>
      </w:r>
      <w:r w:rsidR="00800B67">
        <w:rPr>
          <w:noProof/>
        </w:rPr>
        <w:t>5</w:t>
      </w:r>
      <w:r w:rsidR="00800B67">
        <w:fldChar w:fldCharType="end"/>
      </w:r>
      <w:r>
        <w:t>).</w:t>
      </w:r>
    </w:p>
    <w:p w14:paraId="74CDE4F4" w14:textId="77777777" w:rsidR="00801373" w:rsidRDefault="00801373" w:rsidP="00D52223">
      <w:pPr>
        <w:ind w:firstLine="567"/>
      </w:pPr>
      <w:r>
        <w:t>Both models suggested that nitrite was produced during the first 28 days and showed similar trends (</w:t>
      </w:r>
      <w:r w:rsidR="00800B67">
        <w:fldChar w:fldCharType="begin"/>
      </w:r>
      <w:r w:rsidR="00800B67">
        <w:instrText xml:space="preserve"> REF _Ref497656948 \h </w:instrText>
      </w:r>
      <w:r w:rsidR="00800B67">
        <w:fldChar w:fldCharType="separate"/>
      </w:r>
      <w:r w:rsidR="00800B67">
        <w:t xml:space="preserve">Figure </w:t>
      </w:r>
      <w:r w:rsidR="00800B67">
        <w:rPr>
          <w:noProof/>
        </w:rPr>
        <w:t>4</w:t>
      </w:r>
      <w:r w:rsidR="00800B67">
        <w:t>.</w:t>
      </w:r>
      <w:r w:rsidR="00800B67">
        <w:rPr>
          <w:noProof/>
        </w:rPr>
        <w:t>5</w:t>
      </w:r>
      <w:r w:rsidR="00800B67">
        <w:fldChar w:fldCharType="end"/>
      </w:r>
      <w:r>
        <w:t>). However, the dilution-adjusted model suggested that nitrite concentrations peaked at approximately 2 mM at day 4 (</w:t>
      </w:r>
      <w:r w:rsidR="00800B67">
        <w:fldChar w:fldCharType="begin"/>
      </w:r>
      <w:r w:rsidR="00800B67">
        <w:instrText xml:space="preserve"> REF _Ref497656948 \h </w:instrText>
      </w:r>
      <w:r w:rsidR="00800B67">
        <w:fldChar w:fldCharType="separate"/>
      </w:r>
      <w:r w:rsidR="00800B67">
        <w:t xml:space="preserve">Figure </w:t>
      </w:r>
      <w:r w:rsidR="00800B67">
        <w:rPr>
          <w:noProof/>
        </w:rPr>
        <w:t>4</w:t>
      </w:r>
      <w:r w:rsidR="00800B67">
        <w:t>.</w:t>
      </w:r>
      <w:r w:rsidR="00800B67">
        <w:rPr>
          <w:noProof/>
        </w:rPr>
        <w:t>5</w:t>
      </w:r>
      <w:r w:rsidR="00800B67">
        <w:fldChar w:fldCharType="end"/>
      </w:r>
      <w:r>
        <w:t>) whereas the measured data peaked at approximately 0.6 mM at day 4 (</w:t>
      </w:r>
      <w:r w:rsidR="00800B67">
        <w:fldChar w:fldCharType="begin"/>
      </w:r>
      <w:r w:rsidR="00800B67">
        <w:instrText xml:space="preserve"> REF _Ref497656948 \h </w:instrText>
      </w:r>
      <w:r w:rsidR="00800B67">
        <w:fldChar w:fldCharType="separate"/>
      </w:r>
      <w:r w:rsidR="00800B67">
        <w:t xml:space="preserve">Figure </w:t>
      </w:r>
      <w:r w:rsidR="00800B67">
        <w:rPr>
          <w:noProof/>
        </w:rPr>
        <w:t>4</w:t>
      </w:r>
      <w:r w:rsidR="00800B67">
        <w:t>.</w:t>
      </w:r>
      <w:r w:rsidR="00800B67">
        <w:rPr>
          <w:noProof/>
        </w:rPr>
        <w:t>5</w:t>
      </w:r>
      <w:r w:rsidR="00800B67">
        <w:fldChar w:fldCharType="end"/>
      </w:r>
      <w:r>
        <w:t>). This discrepancy could simply be due to dilution. When considering that the concentrations of nitrite in the injection and aquifer fluids were similar and relatively low (0.0024 and 0.0004 mM, respectively) compared to those measured in the extraction fluid (up to 0.6 mM) it seems unlikely that dilution was a substantial factor. Another benefit of the step-wise mixing model is that the potential effect of dilution can be directly visualized when comparing the measured and predicted breakthrough curves. For the case of nitrite, it seems unlikely that dilution had any notable effect on the measured concentration (</w:t>
      </w:r>
      <w:r w:rsidR="00800B67">
        <w:fldChar w:fldCharType="begin"/>
      </w:r>
      <w:r w:rsidR="00800B67">
        <w:instrText xml:space="preserve"> REF _Ref497656948 \h </w:instrText>
      </w:r>
      <w:r w:rsidR="00800B67">
        <w:fldChar w:fldCharType="separate"/>
      </w:r>
      <w:r w:rsidR="00800B67">
        <w:t xml:space="preserve">Figure </w:t>
      </w:r>
      <w:r w:rsidR="00800B67">
        <w:rPr>
          <w:noProof/>
        </w:rPr>
        <w:t>4</w:t>
      </w:r>
      <w:r w:rsidR="00800B67">
        <w:t>.</w:t>
      </w:r>
      <w:r w:rsidR="00800B67">
        <w:rPr>
          <w:noProof/>
        </w:rPr>
        <w:t>5</w:t>
      </w:r>
      <w:r w:rsidR="00800B67">
        <w:fldChar w:fldCharType="end"/>
      </w:r>
      <w:r>
        <w:t xml:space="preserve">). </w:t>
      </w:r>
    </w:p>
    <w:p w14:paraId="19D55629" w14:textId="77777777" w:rsidR="00C10EF3" w:rsidRDefault="009A7EB6" w:rsidP="00D52223">
      <w:pPr>
        <w:ind w:firstLine="567"/>
      </w:pPr>
      <w:r>
        <w:t>The dilution-adjusted breakthrough curve of sulfate showed a notable and sustained increase from approximately 2 to 25 mM by day 36 (</w:t>
      </w:r>
      <w:r w:rsidR="00D52223">
        <w:fldChar w:fldCharType="begin"/>
      </w:r>
      <w:r w:rsidR="00D52223">
        <w:instrText xml:space="preserve"> REF _Ref497657746 \h </w:instrText>
      </w:r>
      <w:r w:rsidR="00D52223">
        <w:fldChar w:fldCharType="separate"/>
      </w:r>
      <w:r w:rsidR="00D52223">
        <w:t xml:space="preserve">Figure </w:t>
      </w:r>
      <w:r w:rsidR="00D52223">
        <w:rPr>
          <w:noProof/>
        </w:rPr>
        <w:t>4</w:t>
      </w:r>
      <w:r w:rsidR="00D52223">
        <w:t>.</w:t>
      </w:r>
      <w:r w:rsidR="00D52223">
        <w:rPr>
          <w:noProof/>
        </w:rPr>
        <w:t>6</w:t>
      </w:r>
      <w:r w:rsidR="00D52223">
        <w:fldChar w:fldCharType="end"/>
      </w:r>
      <w:r>
        <w:t>). The stepwise-mixing breakthrough curve of sulfate suggested that mixing of sulfate would result in a negligible decrease from approximately 0.6 to 0.4 mM by day 36 (</w:t>
      </w:r>
      <w:r w:rsidR="00D52223">
        <w:fldChar w:fldCharType="begin"/>
      </w:r>
      <w:r w:rsidR="00D52223">
        <w:instrText xml:space="preserve"> REF _Ref497657746 \h </w:instrText>
      </w:r>
      <w:r w:rsidR="00D52223">
        <w:fldChar w:fldCharType="separate"/>
      </w:r>
      <w:r w:rsidR="00D52223">
        <w:t xml:space="preserve">Figure </w:t>
      </w:r>
      <w:r w:rsidR="00D52223">
        <w:rPr>
          <w:noProof/>
        </w:rPr>
        <w:t>4</w:t>
      </w:r>
      <w:r w:rsidR="00D52223">
        <w:t>.</w:t>
      </w:r>
      <w:r w:rsidR="00D52223">
        <w:rPr>
          <w:noProof/>
        </w:rPr>
        <w:t>6</w:t>
      </w:r>
      <w:r w:rsidR="00D52223">
        <w:fldChar w:fldCharType="end"/>
      </w:r>
      <w:r>
        <w:t xml:space="preserve">). When considering that the concentrations of sulfate in the injection and aquifer fluids were 1.0 and 0.3 mM, respectively </w:t>
      </w:r>
      <w:r w:rsidR="00D52223">
        <w:t>(</w:t>
      </w:r>
      <w:r w:rsidR="00D52223">
        <w:fldChar w:fldCharType="begin"/>
      </w:r>
      <w:r w:rsidR="00D52223">
        <w:instrText xml:space="preserve"> REF _Ref497656918 \h </w:instrText>
      </w:r>
      <w:r w:rsidR="00D52223">
        <w:fldChar w:fldCharType="separate"/>
      </w:r>
      <w:r w:rsidR="00D52223">
        <w:t xml:space="preserve">Table </w:t>
      </w:r>
      <w:r w:rsidR="00D52223">
        <w:rPr>
          <w:noProof/>
        </w:rPr>
        <w:t>4</w:t>
      </w:r>
      <w:r w:rsidR="00D52223">
        <w:t>.</w:t>
      </w:r>
      <w:r w:rsidR="00D52223">
        <w:rPr>
          <w:noProof/>
        </w:rPr>
        <w:t>1</w:t>
      </w:r>
      <w:r w:rsidR="00D52223">
        <w:fldChar w:fldCharType="end"/>
      </w:r>
      <w:r>
        <w:t xml:space="preserve">), it seems unlikely that the effects of dilution would be considerable. </w:t>
      </w:r>
    </w:p>
    <w:p w14:paraId="28571D91" w14:textId="77777777" w:rsidR="00C10EF3" w:rsidRDefault="009A7EB6" w:rsidP="0054095D">
      <w:r>
        <w:rPr>
          <w:noProof/>
          <w:lang w:eastAsia="zh-CN" w:bidi="ar-SA"/>
        </w:rPr>
        <w:lastRenderedPageBreak/>
        <w:drawing>
          <wp:inline distT="0" distB="0" distL="0" distR="0" wp14:anchorId="6B316D5D" wp14:editId="623D68C4">
            <wp:extent cx="5943600" cy="640427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6404272"/>
                    </a:xfrm>
                    <a:prstGeom prst="rect">
                      <a:avLst/>
                    </a:prstGeom>
                    <a:noFill/>
                  </pic:spPr>
                </pic:pic>
              </a:graphicData>
            </a:graphic>
          </wp:inline>
        </w:drawing>
      </w:r>
    </w:p>
    <w:p w14:paraId="3115FFC5" w14:textId="77777777" w:rsidR="009A7EB6" w:rsidRDefault="009A7EB6" w:rsidP="009A7EB6">
      <w:pPr>
        <w:pStyle w:val="Caption"/>
      </w:pPr>
      <w:bookmarkStart w:id="169" w:name="_Ref497657746"/>
      <w:bookmarkStart w:id="170" w:name="_Toc498504905"/>
      <w:r>
        <w:t xml:space="preserve">Figure </w:t>
      </w:r>
      <w:r w:rsidR="00CA2C3C">
        <w:fldChar w:fldCharType="begin"/>
      </w:r>
      <w:r w:rsidR="00CA2C3C">
        <w:instrText xml:space="preserve"> STYLEREF 1 \s </w:instrText>
      </w:r>
      <w:r w:rsidR="00CA2C3C">
        <w:fldChar w:fldCharType="separate"/>
      </w:r>
      <w:r w:rsidR="00E70E91">
        <w:rPr>
          <w:noProof/>
        </w:rPr>
        <w:t>4</w:t>
      </w:r>
      <w:r w:rsidR="00CA2C3C">
        <w:rPr>
          <w:noProof/>
        </w:rPr>
        <w:fldChar w:fldCharType="end"/>
      </w:r>
      <w:r w:rsidR="00E70E91">
        <w:t>.</w:t>
      </w:r>
      <w:r w:rsidR="00CA2C3C">
        <w:fldChar w:fldCharType="begin"/>
      </w:r>
      <w:r w:rsidR="00CA2C3C">
        <w:instrText xml:space="preserve"> SEQ Figure \* ARABIC \s 1 </w:instrText>
      </w:r>
      <w:r w:rsidR="00CA2C3C">
        <w:fldChar w:fldCharType="separate"/>
      </w:r>
      <w:r w:rsidR="00E70E91">
        <w:rPr>
          <w:noProof/>
        </w:rPr>
        <w:t>6</w:t>
      </w:r>
      <w:r w:rsidR="00CA2C3C">
        <w:rPr>
          <w:noProof/>
        </w:rPr>
        <w:fldChar w:fldCharType="end"/>
      </w:r>
      <w:bookmarkEnd w:id="169"/>
      <w:r>
        <w:t xml:space="preserve"> </w:t>
      </w:r>
      <w:r w:rsidRPr="009A7EB6">
        <w:rPr>
          <w:b w:val="0"/>
        </w:rPr>
        <w:t>Breakthrough curves of sulfate and uranium from the dilution-adjusted model (a), (c) and stepwise-mixing model and measured data (b), (d)</w:t>
      </w:r>
      <w:bookmarkEnd w:id="170"/>
    </w:p>
    <w:p w14:paraId="3401F5F8" w14:textId="77777777" w:rsidR="009A7EB6" w:rsidRDefault="009A7EB6" w:rsidP="004F612D">
      <w:pPr>
        <w:ind w:firstLine="720"/>
      </w:pPr>
    </w:p>
    <w:p w14:paraId="4A45F6EC" w14:textId="77777777" w:rsidR="00C10EF3" w:rsidRDefault="00C10EF3" w:rsidP="004F612D">
      <w:pPr>
        <w:ind w:firstLine="720"/>
      </w:pPr>
    </w:p>
    <w:p w14:paraId="791E8EAD" w14:textId="77777777" w:rsidR="00C10EF3" w:rsidRDefault="00C10EF3" w:rsidP="004F612D">
      <w:pPr>
        <w:ind w:firstLine="720"/>
      </w:pPr>
    </w:p>
    <w:p w14:paraId="245485F9" w14:textId="77777777" w:rsidR="009A7EB6" w:rsidRDefault="009A7EB6" w:rsidP="009A7EB6">
      <w:r>
        <w:lastRenderedPageBreak/>
        <w:t>The measured breakthrough curve of sulfate showed an increase up to approximately 4 mM by day 18 followed by a decrease down to approximately 1 mM by day 36 (</w:t>
      </w:r>
      <w:r w:rsidR="00184C15">
        <w:fldChar w:fldCharType="begin"/>
      </w:r>
      <w:r w:rsidR="00184C15">
        <w:instrText xml:space="preserve"> REF _Ref497657746 \h </w:instrText>
      </w:r>
      <w:r w:rsidR="00184C15">
        <w:fldChar w:fldCharType="separate"/>
      </w:r>
      <w:r w:rsidR="00184C15">
        <w:t xml:space="preserve">Figure </w:t>
      </w:r>
      <w:r w:rsidR="00184C15">
        <w:rPr>
          <w:noProof/>
        </w:rPr>
        <w:t>4</w:t>
      </w:r>
      <w:r w:rsidR="00184C15">
        <w:t>.</w:t>
      </w:r>
      <w:r w:rsidR="00184C15">
        <w:rPr>
          <w:noProof/>
        </w:rPr>
        <w:t>6</w:t>
      </w:r>
      <w:r w:rsidR="00184C15">
        <w:fldChar w:fldCharType="end"/>
      </w:r>
      <w:r>
        <w:t xml:space="preserve">). </w:t>
      </w:r>
      <w:r w:rsidRPr="009A7EB6">
        <w:t>Therefore, both the trends and magnitudes of the dilution-adjusted and measured concentrations of sulfate were notably different (</w:t>
      </w:r>
      <w:r w:rsidR="00184C15">
        <w:fldChar w:fldCharType="begin"/>
      </w:r>
      <w:r w:rsidR="00184C15">
        <w:instrText xml:space="preserve"> REF _Ref497657746 \h </w:instrText>
      </w:r>
      <w:r w:rsidR="00184C15">
        <w:fldChar w:fldCharType="separate"/>
      </w:r>
      <w:r w:rsidR="00184C15">
        <w:t xml:space="preserve">Figure </w:t>
      </w:r>
      <w:r w:rsidR="00184C15">
        <w:rPr>
          <w:noProof/>
        </w:rPr>
        <w:t>4</w:t>
      </w:r>
      <w:r w:rsidR="00184C15">
        <w:t>.</w:t>
      </w:r>
      <w:r w:rsidR="00184C15">
        <w:rPr>
          <w:noProof/>
        </w:rPr>
        <w:t>6</w:t>
      </w:r>
      <w:r w:rsidR="00184C15">
        <w:fldChar w:fldCharType="end"/>
      </w:r>
      <w:r w:rsidRPr="009A7EB6">
        <w:t>). If the effect of dilution was indeed negligible for sulfate, which the step-wise mixing model strongly suggested, then the breakthrough curve of the measured data (</w:t>
      </w:r>
      <w:r w:rsidR="00184C15">
        <w:fldChar w:fldCharType="begin"/>
      </w:r>
      <w:r w:rsidR="00184C15">
        <w:instrText xml:space="preserve"> REF _Ref497657746 \h </w:instrText>
      </w:r>
      <w:r w:rsidR="00184C15">
        <w:fldChar w:fldCharType="separate"/>
      </w:r>
      <w:r w:rsidR="00184C15">
        <w:t xml:space="preserve">Figure </w:t>
      </w:r>
      <w:r w:rsidR="00184C15">
        <w:rPr>
          <w:noProof/>
        </w:rPr>
        <w:t>4</w:t>
      </w:r>
      <w:r w:rsidR="00184C15">
        <w:t>.</w:t>
      </w:r>
      <w:r w:rsidR="00184C15">
        <w:rPr>
          <w:noProof/>
        </w:rPr>
        <w:t>6</w:t>
      </w:r>
      <w:r w:rsidR="00184C15">
        <w:fldChar w:fldCharType="end"/>
      </w:r>
      <w:r w:rsidRPr="009A7EB6">
        <w:t>) was likely more accurate than the breakthrough curve of the dilution-adjusted model (</w:t>
      </w:r>
      <w:r w:rsidR="00184C15">
        <w:fldChar w:fldCharType="begin"/>
      </w:r>
      <w:r w:rsidR="00184C15">
        <w:instrText xml:space="preserve"> REF _Ref497657746 \h </w:instrText>
      </w:r>
      <w:r w:rsidR="00184C15">
        <w:fldChar w:fldCharType="separate"/>
      </w:r>
      <w:r w:rsidR="00184C15">
        <w:t xml:space="preserve">Figure </w:t>
      </w:r>
      <w:r w:rsidR="00184C15">
        <w:rPr>
          <w:noProof/>
        </w:rPr>
        <w:t>4</w:t>
      </w:r>
      <w:r w:rsidR="00184C15">
        <w:t>.</w:t>
      </w:r>
      <w:r w:rsidR="00184C15">
        <w:rPr>
          <w:noProof/>
        </w:rPr>
        <w:t>6</w:t>
      </w:r>
      <w:r w:rsidR="00184C15">
        <w:fldChar w:fldCharType="end"/>
      </w:r>
      <w:r w:rsidRPr="009A7EB6">
        <w:t>). This further suggests that analysis of the dilution-adjusted breakthrough curve to quantify the net rate and mass of production of sulfate would be inaccurate. Although Paradis et al. (2016) did not quantify the net rate of production of sulfate, the mass of production of sulfate, relative to bromide, was quantified using the dilution-adjusted model in the form of a recovery factor (</w:t>
      </w:r>
      <w:r w:rsidR="00184C15">
        <w:fldChar w:fldCharType="begin"/>
      </w:r>
      <w:r w:rsidR="00184C15">
        <w:instrText xml:space="preserve"> REF _Ref497657871 \h </w:instrText>
      </w:r>
      <w:r w:rsidR="00184C15">
        <w:fldChar w:fldCharType="separate"/>
      </w:r>
      <w:r w:rsidR="00184C15">
        <w:t xml:space="preserve">Table </w:t>
      </w:r>
      <w:r w:rsidR="00184C15">
        <w:rPr>
          <w:noProof/>
        </w:rPr>
        <w:t>4</w:t>
      </w:r>
      <w:r w:rsidR="00184C15">
        <w:t>.</w:t>
      </w:r>
      <w:r w:rsidR="00184C15">
        <w:rPr>
          <w:noProof/>
        </w:rPr>
        <w:t>2</w:t>
      </w:r>
      <w:r w:rsidR="00184C15">
        <w:fldChar w:fldCharType="end"/>
      </w:r>
      <w:r w:rsidRPr="009A7EB6">
        <w:t>).</w:t>
      </w:r>
      <w:r>
        <w:t xml:space="preserve"> An analogous calculation was conducted in this study using the stepwise-mixing model according to equation (14). Using equation (15), the area under the measured breakthrough curve was divided by the area under the stepwise-mixing breakthrough curve (</w:t>
      </w:r>
      <w:r w:rsidR="00184C15">
        <w:fldChar w:fldCharType="begin"/>
      </w:r>
      <w:r w:rsidR="00184C15">
        <w:instrText xml:space="preserve"> REF _Ref497657746 \h </w:instrText>
      </w:r>
      <w:r w:rsidR="00184C15">
        <w:fldChar w:fldCharType="separate"/>
      </w:r>
      <w:r w:rsidR="00184C15">
        <w:t xml:space="preserve">Figure </w:t>
      </w:r>
      <w:r w:rsidR="00184C15">
        <w:rPr>
          <w:noProof/>
        </w:rPr>
        <w:t>4</w:t>
      </w:r>
      <w:r w:rsidR="00184C15">
        <w:t>.</w:t>
      </w:r>
      <w:r w:rsidR="00184C15">
        <w:rPr>
          <w:noProof/>
        </w:rPr>
        <w:t>6</w:t>
      </w:r>
      <w:r w:rsidR="00184C15">
        <w:fldChar w:fldCharType="end"/>
      </w:r>
      <w:r>
        <w:t xml:space="preserve">). As expected, the recovery factor of sulfate using the dilution-adjusted model was notably greater than the from the stepwise-mixing model (8.6 versus 5.1, respectively, </w:t>
      </w:r>
      <w:r w:rsidR="00184C15">
        <w:fldChar w:fldCharType="begin"/>
      </w:r>
      <w:r w:rsidR="00184C15">
        <w:instrText xml:space="preserve"> REF _Ref497657871 \h </w:instrText>
      </w:r>
      <w:r w:rsidR="00184C15">
        <w:fldChar w:fldCharType="separate"/>
      </w:r>
      <w:r w:rsidR="00184C15">
        <w:t xml:space="preserve">Table </w:t>
      </w:r>
      <w:r w:rsidR="00184C15">
        <w:rPr>
          <w:noProof/>
        </w:rPr>
        <w:t>4</w:t>
      </w:r>
      <w:r w:rsidR="00184C15">
        <w:t>.</w:t>
      </w:r>
      <w:r w:rsidR="00184C15">
        <w:rPr>
          <w:noProof/>
        </w:rPr>
        <w:t>2</w:t>
      </w:r>
      <w:r w:rsidR="00184C15">
        <w:fldChar w:fldCharType="end"/>
      </w:r>
      <w:r>
        <w:t xml:space="preserve">). </w:t>
      </w:r>
      <w:r w:rsidRPr="00983CDE">
        <w:t xml:space="preserve">The dilution-adjusted breakthrough curve of uranium showed a sustained concentration of approximately 7 </w:t>
      </w:r>
      <w:r w:rsidRPr="00983CDE">
        <w:rPr>
          <w:rFonts w:cs="Times New Roman"/>
        </w:rPr>
        <w:t>µ</w:t>
      </w:r>
      <w:r w:rsidRPr="00983CDE">
        <w:t>M until day 26 followed by a notable increase to approximately 20</w:t>
      </w:r>
      <w:r w:rsidRPr="00983CDE">
        <w:rPr>
          <w:rFonts w:cs="Times New Roman"/>
        </w:rPr>
        <w:t xml:space="preserve"> µ</w:t>
      </w:r>
      <w:r w:rsidRPr="00983CDE">
        <w:t>M by day 36 (</w:t>
      </w:r>
      <w:r w:rsidR="00184C15">
        <w:fldChar w:fldCharType="begin"/>
      </w:r>
      <w:r w:rsidR="00184C15">
        <w:instrText xml:space="preserve"> REF _Ref497657746 \h </w:instrText>
      </w:r>
      <w:r w:rsidR="00184C15">
        <w:fldChar w:fldCharType="separate"/>
      </w:r>
      <w:r w:rsidR="00184C15">
        <w:t xml:space="preserve">Figure </w:t>
      </w:r>
      <w:r w:rsidR="00184C15">
        <w:rPr>
          <w:noProof/>
        </w:rPr>
        <w:t>4</w:t>
      </w:r>
      <w:r w:rsidR="00184C15">
        <w:t>.</w:t>
      </w:r>
      <w:r w:rsidR="00184C15">
        <w:rPr>
          <w:noProof/>
        </w:rPr>
        <w:t>6</w:t>
      </w:r>
      <w:r w:rsidR="00184C15">
        <w:fldChar w:fldCharType="end"/>
      </w:r>
      <w:r>
        <w:t xml:space="preserve">). When considering that the concentrations of uranium in the injection and aquifer fluids were 5.4 and 0.2 </w:t>
      </w:r>
      <w:r w:rsidRPr="00983CDE">
        <w:rPr>
          <w:rFonts w:cs="Times New Roman"/>
        </w:rPr>
        <w:t>µ</w:t>
      </w:r>
      <w:r>
        <w:t>M, respectively (</w:t>
      </w:r>
      <w:r w:rsidR="00184C15">
        <w:fldChar w:fldCharType="begin"/>
      </w:r>
      <w:r w:rsidR="00184C15">
        <w:instrText xml:space="preserve"> REF _Ref497656918 \h </w:instrText>
      </w:r>
      <w:r w:rsidR="00184C15">
        <w:fldChar w:fldCharType="separate"/>
      </w:r>
      <w:r w:rsidR="00184C15">
        <w:t xml:space="preserve">Table </w:t>
      </w:r>
      <w:r w:rsidR="00184C15">
        <w:rPr>
          <w:noProof/>
        </w:rPr>
        <w:t>4</w:t>
      </w:r>
      <w:r w:rsidR="00184C15">
        <w:t>.</w:t>
      </w:r>
      <w:r w:rsidR="00184C15">
        <w:rPr>
          <w:noProof/>
        </w:rPr>
        <w:t>1</w:t>
      </w:r>
      <w:r w:rsidR="00184C15">
        <w:fldChar w:fldCharType="end"/>
      </w:r>
      <w:r>
        <w:t xml:space="preserve">), it seems likely that the effects of dilution would be considerable and should be accounted for. Therefore, the </w:t>
      </w:r>
      <w:r w:rsidRPr="00983CDE">
        <w:t>dilution-adjusted breakthrough curve of uranium</w:t>
      </w:r>
      <w:r>
        <w:t xml:space="preserve"> suggested that uranium was not produced at a concentration above the level of the injection fluid until day 28 (</w:t>
      </w:r>
      <w:r w:rsidR="00184C15">
        <w:fldChar w:fldCharType="begin"/>
      </w:r>
      <w:r w:rsidR="00184C15">
        <w:instrText xml:space="preserve"> REF _Ref497657746 \h </w:instrText>
      </w:r>
      <w:r w:rsidR="00184C15">
        <w:fldChar w:fldCharType="separate"/>
      </w:r>
      <w:r w:rsidR="00184C15">
        <w:t xml:space="preserve">Figure </w:t>
      </w:r>
      <w:r w:rsidR="00184C15">
        <w:rPr>
          <w:noProof/>
        </w:rPr>
        <w:t>4</w:t>
      </w:r>
      <w:r w:rsidR="00184C15">
        <w:t>.</w:t>
      </w:r>
      <w:r w:rsidR="00184C15">
        <w:rPr>
          <w:noProof/>
        </w:rPr>
        <w:t>6</w:t>
      </w:r>
      <w:r w:rsidR="00184C15">
        <w:fldChar w:fldCharType="end"/>
      </w:r>
      <w:r>
        <w:t xml:space="preserve">). </w:t>
      </w:r>
    </w:p>
    <w:p w14:paraId="59A47680" w14:textId="77777777" w:rsidR="009A7EB6" w:rsidRDefault="009A7EB6" w:rsidP="009A7EB6">
      <w:pPr>
        <w:ind w:firstLine="567"/>
      </w:pPr>
    </w:p>
    <w:p w14:paraId="1562EC90" w14:textId="77777777" w:rsidR="009A7EB6" w:rsidRDefault="002105EE" w:rsidP="002105EE">
      <w:pPr>
        <w:pStyle w:val="Caption"/>
        <w:keepNext/>
      </w:pPr>
      <w:bookmarkStart w:id="171" w:name="_Ref497657871"/>
      <w:bookmarkStart w:id="172" w:name="_Toc498504888"/>
      <w:r>
        <w:lastRenderedPageBreak/>
        <w:t xml:space="preserve">Table </w:t>
      </w:r>
      <w:r w:rsidR="00CA2C3C">
        <w:fldChar w:fldCharType="begin"/>
      </w:r>
      <w:r w:rsidR="00CA2C3C">
        <w:instrText xml:space="preserve"> STYLEREF 1 \s </w:instrText>
      </w:r>
      <w:r w:rsidR="00CA2C3C">
        <w:fldChar w:fldCharType="separate"/>
      </w:r>
      <w:r>
        <w:rPr>
          <w:noProof/>
        </w:rPr>
        <w:t>4</w:t>
      </w:r>
      <w:r w:rsidR="00CA2C3C">
        <w:rPr>
          <w:noProof/>
        </w:rPr>
        <w:fldChar w:fldCharType="end"/>
      </w:r>
      <w:r>
        <w:t>.</w:t>
      </w:r>
      <w:r w:rsidR="00CA2C3C">
        <w:fldChar w:fldCharType="begin"/>
      </w:r>
      <w:r w:rsidR="00CA2C3C">
        <w:instrText xml:space="preserve"> SEQ Table \* ARABIC \s 1 </w:instrText>
      </w:r>
      <w:r w:rsidR="00CA2C3C">
        <w:fldChar w:fldCharType="separate"/>
      </w:r>
      <w:r>
        <w:rPr>
          <w:noProof/>
        </w:rPr>
        <w:t>2</w:t>
      </w:r>
      <w:r w:rsidR="00CA2C3C">
        <w:rPr>
          <w:noProof/>
        </w:rPr>
        <w:fldChar w:fldCharType="end"/>
      </w:r>
      <w:bookmarkEnd w:id="171"/>
      <w:r>
        <w:t xml:space="preserve"> </w:t>
      </w:r>
      <w:r w:rsidR="009A7EB6" w:rsidRPr="002105EE">
        <w:rPr>
          <w:b w:val="0"/>
        </w:rPr>
        <w:t>Recovery factors of uranium and sulfate from the dilution-adjusted and stepwise-mixing models, dilution-adjusted recovery factors are from Paradis et al. (2016)</w:t>
      </w:r>
      <w:bookmarkEnd w:id="172"/>
    </w:p>
    <w:tbl>
      <w:tblPr>
        <w:tblW w:w="9361" w:type="dxa"/>
        <w:jc w:val="center"/>
        <w:tblLayout w:type="fixed"/>
        <w:tblCellMar>
          <w:left w:w="115" w:type="dxa"/>
          <w:right w:w="115" w:type="dxa"/>
        </w:tblCellMar>
        <w:tblLook w:val="04A0" w:firstRow="1" w:lastRow="0" w:firstColumn="1" w:lastColumn="0" w:noHBand="0" w:noVBand="1"/>
      </w:tblPr>
      <w:tblGrid>
        <w:gridCol w:w="3121"/>
        <w:gridCol w:w="3120"/>
        <w:gridCol w:w="3120"/>
      </w:tblGrid>
      <w:tr w:rsidR="009A7EB6" w:rsidRPr="0041408A" w14:paraId="2545306E" w14:textId="77777777" w:rsidTr="007C1323">
        <w:trPr>
          <w:trHeight w:val="576"/>
          <w:jc w:val="center"/>
        </w:trPr>
        <w:tc>
          <w:tcPr>
            <w:tcW w:w="1561" w:type="dxa"/>
            <w:tcBorders>
              <w:top w:val="single" w:sz="4" w:space="0" w:color="auto"/>
              <w:left w:val="nil"/>
              <w:bottom w:val="nil"/>
              <w:right w:val="nil"/>
            </w:tcBorders>
            <w:shd w:val="clear" w:color="auto" w:fill="auto"/>
            <w:noWrap/>
            <w:vAlign w:val="center"/>
            <w:hideMark/>
          </w:tcPr>
          <w:p w14:paraId="0F19FE8C" w14:textId="77777777" w:rsidR="009A7EB6" w:rsidRPr="00007259" w:rsidRDefault="009A7EB6" w:rsidP="007C1323">
            <w:pPr>
              <w:spacing w:line="240" w:lineRule="auto"/>
              <w:jc w:val="center"/>
              <w:rPr>
                <w:rFonts w:eastAsia="Times New Roman" w:cs="Times New Roman"/>
                <w:szCs w:val="24"/>
              </w:rPr>
            </w:pPr>
            <w:r>
              <w:rPr>
                <w:rFonts w:eastAsia="Times New Roman" w:cs="Times New Roman"/>
                <w:szCs w:val="24"/>
              </w:rPr>
              <w:t>Model</w:t>
            </w:r>
          </w:p>
        </w:tc>
        <w:tc>
          <w:tcPr>
            <w:tcW w:w="1560" w:type="dxa"/>
            <w:tcBorders>
              <w:top w:val="single" w:sz="4" w:space="0" w:color="auto"/>
              <w:left w:val="nil"/>
              <w:bottom w:val="nil"/>
              <w:right w:val="nil"/>
            </w:tcBorders>
            <w:vAlign w:val="center"/>
          </w:tcPr>
          <w:p w14:paraId="7346F71B" w14:textId="77777777" w:rsidR="009A7EB6" w:rsidRDefault="009A7EB6" w:rsidP="007C1323">
            <w:pPr>
              <w:spacing w:line="240" w:lineRule="auto"/>
              <w:jc w:val="center"/>
            </w:pPr>
            <w:r>
              <w:rPr>
                <w:rFonts w:cs="Times New Roman"/>
              </w:rPr>
              <w:t>Uranium</w:t>
            </w:r>
          </w:p>
        </w:tc>
        <w:tc>
          <w:tcPr>
            <w:tcW w:w="1560" w:type="dxa"/>
            <w:tcBorders>
              <w:top w:val="single" w:sz="4" w:space="0" w:color="auto"/>
              <w:left w:val="nil"/>
              <w:bottom w:val="nil"/>
              <w:right w:val="nil"/>
            </w:tcBorders>
            <w:vAlign w:val="center"/>
          </w:tcPr>
          <w:p w14:paraId="0482B422" w14:textId="77777777" w:rsidR="009A7EB6" w:rsidRDefault="009A7EB6" w:rsidP="007C1323">
            <w:pPr>
              <w:spacing w:line="240" w:lineRule="auto"/>
              <w:jc w:val="center"/>
            </w:pPr>
            <w:r>
              <w:t>Sulfate</w:t>
            </w:r>
          </w:p>
        </w:tc>
      </w:tr>
      <w:tr w:rsidR="009A7EB6" w:rsidRPr="0041408A" w14:paraId="5D9561BA" w14:textId="77777777" w:rsidTr="007C1323">
        <w:trPr>
          <w:trHeight w:val="576"/>
          <w:jc w:val="center"/>
        </w:trPr>
        <w:tc>
          <w:tcPr>
            <w:tcW w:w="1561" w:type="dxa"/>
            <w:tcBorders>
              <w:top w:val="nil"/>
              <w:left w:val="nil"/>
              <w:bottom w:val="single" w:sz="4" w:space="0" w:color="auto"/>
              <w:right w:val="nil"/>
            </w:tcBorders>
            <w:shd w:val="clear" w:color="auto" w:fill="auto"/>
            <w:noWrap/>
            <w:vAlign w:val="center"/>
            <w:hideMark/>
          </w:tcPr>
          <w:p w14:paraId="6A5FA8A7" w14:textId="77777777" w:rsidR="009A7EB6" w:rsidRPr="00007259" w:rsidRDefault="009A7EB6" w:rsidP="007C1323">
            <w:pPr>
              <w:spacing w:line="240" w:lineRule="auto"/>
              <w:jc w:val="center"/>
              <w:rPr>
                <w:rFonts w:eastAsia="Times New Roman" w:cs="Times New Roman"/>
                <w:szCs w:val="24"/>
              </w:rPr>
            </w:pPr>
            <w:r>
              <w:rPr>
                <w:rFonts w:eastAsia="Times New Roman" w:cs="Times New Roman"/>
                <w:szCs w:val="24"/>
              </w:rPr>
              <w:t>(-)</w:t>
            </w:r>
          </w:p>
        </w:tc>
        <w:tc>
          <w:tcPr>
            <w:tcW w:w="1560" w:type="dxa"/>
            <w:tcBorders>
              <w:top w:val="nil"/>
              <w:left w:val="nil"/>
              <w:bottom w:val="single" w:sz="4" w:space="0" w:color="auto"/>
              <w:right w:val="nil"/>
            </w:tcBorders>
            <w:vAlign w:val="center"/>
          </w:tcPr>
          <w:p w14:paraId="72D5ED73" w14:textId="77777777" w:rsidR="009A7EB6" w:rsidRDefault="009A7EB6" w:rsidP="007C1323">
            <w:pPr>
              <w:spacing w:line="240" w:lineRule="auto"/>
              <w:jc w:val="center"/>
            </w:pPr>
            <w:r>
              <w:t>(</w:t>
            </w:r>
            <w:r>
              <w:rPr>
                <w:rFonts w:cs="Times New Roman"/>
              </w:rPr>
              <w:t>Recovery Factor</w:t>
            </w:r>
            <w:r>
              <w:t>)</w:t>
            </w:r>
          </w:p>
        </w:tc>
        <w:tc>
          <w:tcPr>
            <w:tcW w:w="1560" w:type="dxa"/>
            <w:tcBorders>
              <w:top w:val="nil"/>
              <w:left w:val="nil"/>
              <w:bottom w:val="single" w:sz="4" w:space="0" w:color="auto"/>
              <w:right w:val="nil"/>
            </w:tcBorders>
            <w:vAlign w:val="center"/>
          </w:tcPr>
          <w:p w14:paraId="14034C5E" w14:textId="77777777" w:rsidR="009A7EB6" w:rsidRDefault="009A7EB6" w:rsidP="007C1323">
            <w:pPr>
              <w:spacing w:line="240" w:lineRule="auto"/>
              <w:jc w:val="center"/>
            </w:pPr>
            <w:r>
              <w:rPr>
                <w:rFonts w:cs="Times New Roman"/>
                <w:szCs w:val="24"/>
              </w:rPr>
              <w:t>(</w:t>
            </w:r>
            <w:r>
              <w:rPr>
                <w:rFonts w:cs="Times New Roman"/>
              </w:rPr>
              <w:t>Recovery Factor</w:t>
            </w:r>
            <w:r>
              <w:rPr>
                <w:rFonts w:cs="Times New Roman"/>
                <w:szCs w:val="24"/>
              </w:rPr>
              <w:t>)</w:t>
            </w:r>
          </w:p>
        </w:tc>
      </w:tr>
      <w:tr w:rsidR="009A7EB6" w:rsidRPr="0041408A" w14:paraId="4E83E722" w14:textId="77777777" w:rsidTr="007C1323">
        <w:trPr>
          <w:trHeight w:val="576"/>
          <w:jc w:val="center"/>
        </w:trPr>
        <w:tc>
          <w:tcPr>
            <w:tcW w:w="1561" w:type="dxa"/>
            <w:tcBorders>
              <w:top w:val="nil"/>
              <w:left w:val="nil"/>
              <w:right w:val="nil"/>
            </w:tcBorders>
            <w:shd w:val="clear" w:color="auto" w:fill="auto"/>
            <w:noWrap/>
            <w:vAlign w:val="center"/>
          </w:tcPr>
          <w:p w14:paraId="46D30386" w14:textId="77777777" w:rsidR="009A7EB6" w:rsidRPr="00007259" w:rsidRDefault="009A7EB6" w:rsidP="007C1323">
            <w:pPr>
              <w:spacing w:line="240" w:lineRule="auto"/>
              <w:jc w:val="center"/>
              <w:rPr>
                <w:rFonts w:eastAsia="Times New Roman" w:cs="Times New Roman"/>
                <w:szCs w:val="24"/>
              </w:rPr>
            </w:pPr>
            <w:r>
              <w:rPr>
                <w:rFonts w:eastAsia="Times New Roman" w:cs="Times New Roman"/>
                <w:szCs w:val="24"/>
              </w:rPr>
              <w:t>Dilution Adjusted</w:t>
            </w:r>
          </w:p>
        </w:tc>
        <w:tc>
          <w:tcPr>
            <w:tcW w:w="1560" w:type="dxa"/>
            <w:tcBorders>
              <w:top w:val="nil"/>
              <w:left w:val="nil"/>
              <w:right w:val="nil"/>
            </w:tcBorders>
            <w:vAlign w:val="center"/>
          </w:tcPr>
          <w:p w14:paraId="283AF530" w14:textId="77777777" w:rsidR="009A7EB6" w:rsidRPr="00CE3274" w:rsidRDefault="009A7EB6" w:rsidP="007C1323">
            <w:pPr>
              <w:spacing w:line="240" w:lineRule="auto"/>
              <w:jc w:val="center"/>
            </w:pPr>
            <w:r>
              <w:t>1.5</w:t>
            </w:r>
          </w:p>
        </w:tc>
        <w:tc>
          <w:tcPr>
            <w:tcW w:w="1560" w:type="dxa"/>
            <w:tcBorders>
              <w:top w:val="nil"/>
              <w:left w:val="nil"/>
              <w:right w:val="nil"/>
            </w:tcBorders>
            <w:vAlign w:val="center"/>
          </w:tcPr>
          <w:p w14:paraId="78DCED2E" w14:textId="77777777" w:rsidR="009A7EB6" w:rsidRPr="00CE3274" w:rsidRDefault="009A7EB6" w:rsidP="007C1323">
            <w:pPr>
              <w:spacing w:line="240" w:lineRule="auto"/>
              <w:jc w:val="center"/>
            </w:pPr>
            <w:r>
              <w:t>8.6</w:t>
            </w:r>
          </w:p>
        </w:tc>
      </w:tr>
      <w:tr w:rsidR="009A7EB6" w:rsidRPr="0041408A" w14:paraId="1BCC50D8" w14:textId="77777777" w:rsidTr="007C1323">
        <w:trPr>
          <w:trHeight w:val="576"/>
          <w:jc w:val="center"/>
        </w:trPr>
        <w:tc>
          <w:tcPr>
            <w:tcW w:w="1561" w:type="dxa"/>
            <w:tcBorders>
              <w:top w:val="nil"/>
              <w:left w:val="nil"/>
              <w:bottom w:val="single" w:sz="4" w:space="0" w:color="auto"/>
              <w:right w:val="nil"/>
            </w:tcBorders>
            <w:shd w:val="clear" w:color="auto" w:fill="auto"/>
            <w:noWrap/>
            <w:vAlign w:val="center"/>
          </w:tcPr>
          <w:p w14:paraId="3546F312" w14:textId="77777777" w:rsidR="009A7EB6" w:rsidRPr="00007259" w:rsidRDefault="009A7EB6" w:rsidP="007C1323">
            <w:pPr>
              <w:spacing w:line="240" w:lineRule="auto"/>
              <w:jc w:val="center"/>
              <w:rPr>
                <w:rFonts w:eastAsia="Times New Roman" w:cs="Times New Roman"/>
                <w:szCs w:val="24"/>
              </w:rPr>
            </w:pPr>
            <w:r>
              <w:rPr>
                <w:rFonts w:eastAsia="Times New Roman" w:cs="Times New Roman"/>
                <w:szCs w:val="24"/>
              </w:rPr>
              <w:t>Stepwise Mixing</w:t>
            </w:r>
          </w:p>
        </w:tc>
        <w:tc>
          <w:tcPr>
            <w:tcW w:w="1560" w:type="dxa"/>
            <w:tcBorders>
              <w:top w:val="nil"/>
              <w:left w:val="nil"/>
              <w:bottom w:val="single" w:sz="4" w:space="0" w:color="auto"/>
              <w:right w:val="nil"/>
            </w:tcBorders>
            <w:vAlign w:val="center"/>
          </w:tcPr>
          <w:p w14:paraId="7DE7CCB5" w14:textId="77777777" w:rsidR="009A7EB6" w:rsidRPr="00CE3274" w:rsidRDefault="009A7EB6" w:rsidP="007C1323">
            <w:pPr>
              <w:spacing w:line="240" w:lineRule="auto"/>
              <w:jc w:val="center"/>
            </w:pPr>
            <w:r>
              <w:t>1.4</w:t>
            </w:r>
          </w:p>
        </w:tc>
        <w:tc>
          <w:tcPr>
            <w:tcW w:w="1560" w:type="dxa"/>
            <w:tcBorders>
              <w:top w:val="nil"/>
              <w:left w:val="nil"/>
              <w:bottom w:val="single" w:sz="4" w:space="0" w:color="auto"/>
              <w:right w:val="nil"/>
            </w:tcBorders>
            <w:vAlign w:val="center"/>
          </w:tcPr>
          <w:p w14:paraId="40A52D6C" w14:textId="77777777" w:rsidR="009A7EB6" w:rsidRPr="00CE3274" w:rsidRDefault="009A7EB6" w:rsidP="007C1323">
            <w:pPr>
              <w:spacing w:line="240" w:lineRule="auto"/>
              <w:jc w:val="center"/>
            </w:pPr>
            <w:r>
              <w:t>5.1</w:t>
            </w:r>
          </w:p>
        </w:tc>
      </w:tr>
    </w:tbl>
    <w:p w14:paraId="08462253" w14:textId="77777777" w:rsidR="009A7EB6" w:rsidRDefault="009A7EB6" w:rsidP="004F612D">
      <w:pPr>
        <w:ind w:firstLine="720"/>
      </w:pPr>
    </w:p>
    <w:p w14:paraId="059F71F1" w14:textId="77777777" w:rsidR="00C10EF3" w:rsidRDefault="00C10EF3" w:rsidP="004F612D">
      <w:pPr>
        <w:ind w:firstLine="720"/>
      </w:pPr>
    </w:p>
    <w:p w14:paraId="50E2EF56" w14:textId="77777777" w:rsidR="009A7EB6" w:rsidRDefault="009A7EB6" w:rsidP="004F612D">
      <w:pPr>
        <w:ind w:firstLine="720"/>
      </w:pPr>
    </w:p>
    <w:p w14:paraId="2D048658" w14:textId="77777777" w:rsidR="009A7EB6" w:rsidRDefault="009A7EB6" w:rsidP="004F612D">
      <w:pPr>
        <w:ind w:firstLine="720"/>
      </w:pPr>
    </w:p>
    <w:p w14:paraId="21A2981E" w14:textId="77777777" w:rsidR="009A7EB6" w:rsidRDefault="009A7EB6" w:rsidP="004F612D">
      <w:pPr>
        <w:ind w:firstLine="720"/>
      </w:pPr>
    </w:p>
    <w:p w14:paraId="75B26893" w14:textId="77777777" w:rsidR="009A7EB6" w:rsidRDefault="009A7EB6" w:rsidP="004F612D">
      <w:pPr>
        <w:ind w:firstLine="720"/>
      </w:pPr>
    </w:p>
    <w:p w14:paraId="5862B9A6" w14:textId="77777777" w:rsidR="009A7EB6" w:rsidRDefault="009A7EB6" w:rsidP="004F612D">
      <w:pPr>
        <w:ind w:firstLine="720"/>
      </w:pPr>
    </w:p>
    <w:p w14:paraId="5E790505" w14:textId="77777777" w:rsidR="009A7EB6" w:rsidRDefault="009A7EB6" w:rsidP="004F612D">
      <w:pPr>
        <w:ind w:firstLine="720"/>
      </w:pPr>
    </w:p>
    <w:p w14:paraId="63C28A59" w14:textId="77777777" w:rsidR="009A7EB6" w:rsidRDefault="009A7EB6" w:rsidP="004F612D">
      <w:pPr>
        <w:ind w:firstLine="720"/>
      </w:pPr>
    </w:p>
    <w:p w14:paraId="39426A00" w14:textId="77777777" w:rsidR="009A7EB6" w:rsidRDefault="009A7EB6" w:rsidP="004F612D">
      <w:pPr>
        <w:ind w:firstLine="720"/>
      </w:pPr>
    </w:p>
    <w:p w14:paraId="43E94A88" w14:textId="77777777" w:rsidR="009A7EB6" w:rsidRDefault="009A7EB6" w:rsidP="004F612D">
      <w:pPr>
        <w:ind w:firstLine="720"/>
      </w:pPr>
    </w:p>
    <w:p w14:paraId="67DD16A6" w14:textId="77777777" w:rsidR="009A7EB6" w:rsidRDefault="009A7EB6" w:rsidP="004F612D">
      <w:pPr>
        <w:ind w:firstLine="720"/>
      </w:pPr>
    </w:p>
    <w:p w14:paraId="27BAD6F1" w14:textId="77777777" w:rsidR="009A7EB6" w:rsidRDefault="009A7EB6" w:rsidP="004F612D">
      <w:pPr>
        <w:ind w:firstLine="720"/>
      </w:pPr>
    </w:p>
    <w:p w14:paraId="45D49FF6" w14:textId="77777777" w:rsidR="009A7EB6" w:rsidRDefault="009A7EB6" w:rsidP="004F612D">
      <w:pPr>
        <w:ind w:firstLine="720"/>
      </w:pPr>
    </w:p>
    <w:p w14:paraId="090973FE" w14:textId="77777777" w:rsidR="009A7EB6" w:rsidRDefault="009A7EB6" w:rsidP="004F612D">
      <w:pPr>
        <w:ind w:firstLine="720"/>
      </w:pPr>
    </w:p>
    <w:p w14:paraId="4AB37FA9" w14:textId="77777777" w:rsidR="009A7EB6" w:rsidRDefault="009A7EB6" w:rsidP="004F612D">
      <w:pPr>
        <w:ind w:firstLine="720"/>
      </w:pPr>
    </w:p>
    <w:p w14:paraId="63354C8F" w14:textId="77777777" w:rsidR="009A7EB6" w:rsidRDefault="009A7EB6" w:rsidP="004F612D">
      <w:pPr>
        <w:ind w:firstLine="720"/>
      </w:pPr>
    </w:p>
    <w:p w14:paraId="0EC705CF" w14:textId="77777777" w:rsidR="009A7EB6" w:rsidRPr="00A11B90" w:rsidRDefault="009A7EB6" w:rsidP="005E5D34">
      <w:pPr>
        <w:ind w:firstLine="720"/>
      </w:pPr>
      <w:r w:rsidRPr="00983CDE">
        <w:lastRenderedPageBreak/>
        <w:t xml:space="preserve">The stepwise-mixing breakthrough curve of uranium suggested that mixing of uranium would result in a slight and sustained decrease from approximately 2.5 to 0.5 </w:t>
      </w:r>
      <w:r w:rsidRPr="00983CDE">
        <w:rPr>
          <w:rFonts w:cs="Times New Roman"/>
        </w:rPr>
        <w:t>µ</w:t>
      </w:r>
      <w:r w:rsidRPr="00983CDE">
        <w:t>M by day 36 (</w:t>
      </w:r>
      <w:r w:rsidR="00184C15">
        <w:fldChar w:fldCharType="begin"/>
      </w:r>
      <w:r w:rsidR="00184C15">
        <w:instrText xml:space="preserve"> REF _Ref497657746 \h </w:instrText>
      </w:r>
      <w:r w:rsidR="00184C15">
        <w:fldChar w:fldCharType="separate"/>
      </w:r>
      <w:r w:rsidR="00184C15">
        <w:t xml:space="preserve">Figure </w:t>
      </w:r>
      <w:r w:rsidR="00184C15">
        <w:rPr>
          <w:noProof/>
        </w:rPr>
        <w:t>4</w:t>
      </w:r>
      <w:r w:rsidR="00184C15">
        <w:t>.</w:t>
      </w:r>
      <w:r w:rsidR="00184C15">
        <w:rPr>
          <w:noProof/>
        </w:rPr>
        <w:t>6</w:t>
      </w:r>
      <w:r w:rsidR="00184C15">
        <w:fldChar w:fldCharType="end"/>
      </w:r>
      <w:r w:rsidRPr="00983CDE">
        <w:t>)</w:t>
      </w:r>
      <w:r>
        <w:t xml:space="preserve">. </w:t>
      </w:r>
      <w:r w:rsidRPr="00983CDE">
        <w:t>The measured breakthrough curve of uranium was similar in trend and only slightly higher in magnitude than the stepwise-mixing breakthrough curve (</w:t>
      </w:r>
      <w:r w:rsidR="00184C15">
        <w:fldChar w:fldCharType="begin"/>
      </w:r>
      <w:r w:rsidR="00184C15">
        <w:instrText xml:space="preserve"> REF _Ref497657746 \h </w:instrText>
      </w:r>
      <w:r w:rsidR="00184C15">
        <w:fldChar w:fldCharType="separate"/>
      </w:r>
      <w:r w:rsidR="00184C15">
        <w:t xml:space="preserve">Figure </w:t>
      </w:r>
      <w:r w:rsidR="00184C15">
        <w:rPr>
          <w:noProof/>
        </w:rPr>
        <w:t>4</w:t>
      </w:r>
      <w:r w:rsidR="00184C15">
        <w:t>.</w:t>
      </w:r>
      <w:r w:rsidR="00184C15">
        <w:rPr>
          <w:noProof/>
        </w:rPr>
        <w:t>6</w:t>
      </w:r>
      <w:r w:rsidR="00184C15">
        <w:fldChar w:fldCharType="end"/>
      </w:r>
      <w:r>
        <w:t>). Therefore, the stepwise-mixing and measured breakthrough curves suggested that uranium was steadily produced at a concentration only slightly higher than mixing could account for (</w:t>
      </w:r>
      <w:r w:rsidR="00184C15">
        <w:fldChar w:fldCharType="begin"/>
      </w:r>
      <w:r w:rsidR="00184C15">
        <w:instrText xml:space="preserve"> REF _Ref497657746 \h </w:instrText>
      </w:r>
      <w:r w:rsidR="00184C15">
        <w:fldChar w:fldCharType="separate"/>
      </w:r>
      <w:r w:rsidR="00184C15">
        <w:t xml:space="preserve">Figure </w:t>
      </w:r>
      <w:r w:rsidR="00184C15">
        <w:rPr>
          <w:noProof/>
        </w:rPr>
        <w:t>4</w:t>
      </w:r>
      <w:r w:rsidR="00184C15">
        <w:t>.</w:t>
      </w:r>
      <w:r w:rsidR="00184C15">
        <w:rPr>
          <w:noProof/>
        </w:rPr>
        <w:t>6</w:t>
      </w:r>
      <w:r w:rsidR="00184C15">
        <w:fldChar w:fldCharType="end"/>
      </w:r>
      <w:r>
        <w:t>). These results were notably different than the dilution-adjusted breakthrough curve which suggested that substantial uranium was produced between days 28 and 36 (</w:t>
      </w:r>
      <w:r w:rsidR="00184C15">
        <w:fldChar w:fldCharType="begin"/>
      </w:r>
      <w:r w:rsidR="00184C15">
        <w:instrText xml:space="preserve"> REF _Ref497657746 \h </w:instrText>
      </w:r>
      <w:r w:rsidR="00184C15">
        <w:fldChar w:fldCharType="separate"/>
      </w:r>
      <w:r w:rsidR="00184C15">
        <w:t xml:space="preserve">Figure </w:t>
      </w:r>
      <w:r w:rsidR="00184C15">
        <w:rPr>
          <w:noProof/>
        </w:rPr>
        <w:t>4</w:t>
      </w:r>
      <w:r w:rsidR="00184C15">
        <w:t>.</w:t>
      </w:r>
      <w:r w:rsidR="00184C15">
        <w:rPr>
          <w:noProof/>
        </w:rPr>
        <w:t>6</w:t>
      </w:r>
      <w:r w:rsidR="00184C15">
        <w:fldChar w:fldCharType="end"/>
      </w:r>
      <w:r>
        <w:t xml:space="preserve">). The recovery factors of uranium using the dilution-adjusted and stepwise-mixing models were similar (1.5 versus 1.4, respectively, </w:t>
      </w:r>
      <w:r w:rsidR="00184C15">
        <w:fldChar w:fldCharType="begin"/>
      </w:r>
      <w:r w:rsidR="00184C15">
        <w:instrText xml:space="preserve"> REF _Ref497657871 \h </w:instrText>
      </w:r>
      <w:r w:rsidR="00184C15">
        <w:fldChar w:fldCharType="separate"/>
      </w:r>
      <w:r w:rsidR="00184C15">
        <w:t xml:space="preserve">Table </w:t>
      </w:r>
      <w:r w:rsidR="00184C15">
        <w:rPr>
          <w:noProof/>
        </w:rPr>
        <w:t>4</w:t>
      </w:r>
      <w:r w:rsidR="00184C15">
        <w:t>.</w:t>
      </w:r>
      <w:r w:rsidR="00184C15">
        <w:rPr>
          <w:noProof/>
        </w:rPr>
        <w:t>2</w:t>
      </w:r>
      <w:r w:rsidR="00184C15">
        <w:fldChar w:fldCharType="end"/>
      </w:r>
      <w:r>
        <w:t>). However, the stepwise-mixing model suggested that uranium was produced steadily over the course of the entire experiment whereas the dilution-adjusted model suggested that uranium was primarily produced between days 28 and 36 (</w:t>
      </w:r>
      <w:r w:rsidR="00184C15">
        <w:fldChar w:fldCharType="begin"/>
      </w:r>
      <w:r w:rsidR="00184C15">
        <w:instrText xml:space="preserve"> REF _Ref497657746 \h </w:instrText>
      </w:r>
      <w:r w:rsidR="00184C15">
        <w:fldChar w:fldCharType="separate"/>
      </w:r>
      <w:r w:rsidR="00184C15">
        <w:t xml:space="preserve">Figure </w:t>
      </w:r>
      <w:r w:rsidR="00184C15">
        <w:rPr>
          <w:noProof/>
        </w:rPr>
        <w:t>4</w:t>
      </w:r>
      <w:r w:rsidR="00184C15">
        <w:t>.</w:t>
      </w:r>
      <w:r w:rsidR="00184C15">
        <w:rPr>
          <w:noProof/>
        </w:rPr>
        <w:t>6</w:t>
      </w:r>
      <w:r w:rsidR="00184C15">
        <w:fldChar w:fldCharType="end"/>
      </w:r>
      <w:r>
        <w:t>).</w:t>
      </w:r>
    </w:p>
    <w:p w14:paraId="04369358" w14:textId="77777777" w:rsidR="00DE20E5" w:rsidRDefault="00A63544" w:rsidP="00D75D80">
      <w:pPr>
        <w:pStyle w:val="Heading2"/>
      </w:pPr>
      <w:bookmarkStart w:id="173" w:name="_Toc498505064"/>
      <w:r>
        <w:t>4</w:t>
      </w:r>
      <w:r w:rsidR="00B93721">
        <w:t>.</w:t>
      </w:r>
      <w:r w:rsidR="00A11B90">
        <w:t>6</w:t>
      </w:r>
      <w:r w:rsidR="00B93721">
        <w:t>.</w:t>
      </w:r>
      <w:r w:rsidR="00B93721">
        <w:tab/>
      </w:r>
      <w:r w:rsidR="00DE20E5">
        <w:t>Conclusions</w:t>
      </w:r>
      <w:bookmarkEnd w:id="173"/>
    </w:p>
    <w:p w14:paraId="3CBF52D6" w14:textId="77777777" w:rsidR="00D83D64" w:rsidRDefault="009A7EB6" w:rsidP="009A7EB6">
      <w:pPr>
        <w:ind w:firstLine="720"/>
      </w:pPr>
      <w:r w:rsidRPr="009A7EB6">
        <w:t>An analytical solution which predicts the breakthrough curve of a potentially reactive solute due to non-reactive mixing during a single-well push-pull test was theoretically developed to account for the concentrations of both the non-reactive and potentially reactive solutes in the injection and aquifer fluids. The analytical solution was demonstrated to be valid for a synthetic data set by correctly predicting the net rate and extent of reactive solute mass transfer and transformation by accurately accounting for non-reactive mixing. The analytical solutions were further demonstrated to be applicable to a measured data set from a previously published study by Paradis et al. (2016) which utilized the single-well push-pull test method.</w:t>
      </w:r>
    </w:p>
    <w:p w14:paraId="45D87E23" w14:textId="1AE88342" w:rsidR="00B0413F" w:rsidRDefault="00B0413F" w:rsidP="00D83D64"/>
    <w:p w14:paraId="1D6BD68A" w14:textId="77777777" w:rsidR="00DE20E5" w:rsidRDefault="00A63544" w:rsidP="004D322C">
      <w:pPr>
        <w:pStyle w:val="Heading2"/>
      </w:pPr>
      <w:bookmarkStart w:id="174" w:name="_Toc498505065"/>
      <w:r>
        <w:lastRenderedPageBreak/>
        <w:t>4</w:t>
      </w:r>
      <w:r w:rsidR="00B93721">
        <w:t>.</w:t>
      </w:r>
      <w:r w:rsidR="00143805">
        <w:t>6</w:t>
      </w:r>
      <w:r w:rsidR="00B93721">
        <w:t>.</w:t>
      </w:r>
      <w:r w:rsidR="00B93721">
        <w:tab/>
      </w:r>
      <w:r w:rsidR="00DE20E5">
        <w:t>References</w:t>
      </w:r>
      <w:bookmarkEnd w:id="174"/>
    </w:p>
    <w:p w14:paraId="4D122D18" w14:textId="77777777" w:rsidR="00044D40" w:rsidRDefault="00044D40" w:rsidP="00044D40">
      <w:r>
        <w:t>Istok, J. D., 2013. Push-Pull Tests for Site Characterization. doi:10.1007/978-3-642-13920-8.</w:t>
      </w:r>
    </w:p>
    <w:p w14:paraId="4D58DE11" w14:textId="77777777" w:rsidR="00D83D64" w:rsidRDefault="00044D40" w:rsidP="00044D40">
      <w:pPr>
        <w:ind w:left="720" w:hanging="720"/>
      </w:pPr>
      <w:r>
        <w:t xml:space="preserve">Paradis, C. J., S. Jagadamma, D. B. Watson, L. D. McKay, T. C. Hazen, M. Park &amp; J. D. Istok, 2016. </w:t>
      </w:r>
      <w:r w:rsidR="00466C9C">
        <w:rPr>
          <w:i/>
          <w:iCs/>
        </w:rPr>
        <w:t>In situ</w:t>
      </w:r>
      <w:r w:rsidR="00466C9C">
        <w:t xml:space="preserve"> </w:t>
      </w:r>
      <w:r>
        <w:t xml:space="preserve">mobility of uranium in the presence of nitrate following sulfate-reducing conditions. Journal of Contaminant Hydrology 187:55-64 </w:t>
      </w:r>
      <w:proofErr w:type="gramStart"/>
      <w:r>
        <w:t>doi:10.1016/j.jconhyd</w:t>
      </w:r>
      <w:proofErr w:type="gramEnd"/>
      <w:r>
        <w:t>.2016.02.002.</w:t>
      </w:r>
    </w:p>
    <w:p w14:paraId="654BFEAD" w14:textId="77777777" w:rsidR="00044D40" w:rsidRDefault="00044D40" w:rsidP="00044D40"/>
    <w:p w14:paraId="2F761E25" w14:textId="77777777" w:rsidR="00044D40" w:rsidRDefault="00044D40" w:rsidP="00044D40"/>
    <w:p w14:paraId="616F4F7A" w14:textId="77777777" w:rsidR="00044D40" w:rsidRDefault="00044D40" w:rsidP="00044D40"/>
    <w:p w14:paraId="0648D397" w14:textId="77777777" w:rsidR="00044D40" w:rsidRDefault="00044D40" w:rsidP="00044D40"/>
    <w:p w14:paraId="32E9FA49" w14:textId="77777777" w:rsidR="00044D40" w:rsidRDefault="00044D40" w:rsidP="00044D40"/>
    <w:p w14:paraId="55337F5C" w14:textId="77777777" w:rsidR="00044D40" w:rsidRDefault="00044D40" w:rsidP="00044D40"/>
    <w:p w14:paraId="33A9D925" w14:textId="77777777" w:rsidR="00044D40" w:rsidRDefault="00044D40" w:rsidP="00044D40"/>
    <w:p w14:paraId="15FC296D" w14:textId="77777777" w:rsidR="00044D40" w:rsidRDefault="00044D40" w:rsidP="00044D40"/>
    <w:p w14:paraId="05CDEAEE" w14:textId="77777777" w:rsidR="00044D40" w:rsidRDefault="00044D40" w:rsidP="00044D40"/>
    <w:p w14:paraId="47BA6601" w14:textId="77777777" w:rsidR="00044D40" w:rsidRDefault="00044D40" w:rsidP="00044D40"/>
    <w:p w14:paraId="54E82162" w14:textId="77777777" w:rsidR="00044D40" w:rsidRDefault="00044D40" w:rsidP="00044D40"/>
    <w:p w14:paraId="68559174" w14:textId="77777777" w:rsidR="00044D40" w:rsidRDefault="00044D40" w:rsidP="00044D40"/>
    <w:p w14:paraId="35B9FBB6" w14:textId="77777777" w:rsidR="00044D40" w:rsidRDefault="00044D40" w:rsidP="00044D40"/>
    <w:p w14:paraId="3AFA5686" w14:textId="77777777" w:rsidR="00044D40" w:rsidRDefault="00044D40" w:rsidP="00044D40"/>
    <w:p w14:paraId="30D6319D" w14:textId="77777777" w:rsidR="00044D40" w:rsidRDefault="00044D40" w:rsidP="00044D40"/>
    <w:p w14:paraId="243A3332" w14:textId="77777777" w:rsidR="00044D40" w:rsidRDefault="00044D40" w:rsidP="00044D40"/>
    <w:p w14:paraId="67CAD2DD" w14:textId="77777777" w:rsidR="00044D40" w:rsidRPr="00D83D64" w:rsidRDefault="00044D40" w:rsidP="00044D40"/>
    <w:p w14:paraId="6B084FFC" w14:textId="77777777" w:rsidR="00B42EF3" w:rsidRDefault="00466C9C" w:rsidP="00B930BD">
      <w:pPr>
        <w:pStyle w:val="Heading1"/>
      </w:pPr>
      <w:bookmarkStart w:id="175" w:name="_Toc498505066"/>
      <w:r>
        <w:rPr>
          <w:i/>
          <w:iCs/>
        </w:rPr>
        <w:lastRenderedPageBreak/>
        <w:t>In situ</w:t>
      </w:r>
      <w:r>
        <w:t xml:space="preserve"> </w:t>
      </w:r>
      <w:r w:rsidR="004F1D8C">
        <w:t>demonstration of sustained adaptation of a natural microbial community to transform substrates</w:t>
      </w:r>
      <w:bookmarkEnd w:id="175"/>
      <w:r w:rsidR="00E86F2F" w:rsidRPr="00033E11">
        <w:t xml:space="preserve"> </w:t>
      </w:r>
    </w:p>
    <w:p w14:paraId="38F15F5F" w14:textId="77777777" w:rsidR="00B34F34" w:rsidRDefault="00B34F34" w:rsidP="00B34F34"/>
    <w:p w14:paraId="1EE49DD9" w14:textId="77777777" w:rsidR="00B34F34" w:rsidRDefault="00B34F34" w:rsidP="00B34F34"/>
    <w:p w14:paraId="43885B9C" w14:textId="77777777" w:rsidR="00B34F34" w:rsidRDefault="00B34F34" w:rsidP="00B34F34"/>
    <w:p w14:paraId="612F37FA" w14:textId="77777777" w:rsidR="00B34F34" w:rsidRDefault="00B34F34" w:rsidP="00B34F34"/>
    <w:p w14:paraId="6B835686" w14:textId="77777777" w:rsidR="00B34F34" w:rsidRDefault="00B34F34" w:rsidP="00B34F34"/>
    <w:p w14:paraId="289B3151" w14:textId="77777777" w:rsidR="00B34F34" w:rsidRDefault="00B34F34" w:rsidP="00B34F34"/>
    <w:p w14:paraId="64BFB3C9" w14:textId="77777777" w:rsidR="00B34F34" w:rsidRDefault="00B34F34" w:rsidP="00B34F34"/>
    <w:p w14:paraId="29610B2D" w14:textId="77777777" w:rsidR="00B34F34" w:rsidRDefault="00B34F34" w:rsidP="00B34F34"/>
    <w:p w14:paraId="0AF67912" w14:textId="77777777" w:rsidR="00B34F34" w:rsidRDefault="00B34F34" w:rsidP="00B34F34"/>
    <w:p w14:paraId="2C8F521A" w14:textId="77777777" w:rsidR="00B34F34" w:rsidRDefault="00B34F34" w:rsidP="00B34F34"/>
    <w:p w14:paraId="114D6985" w14:textId="77777777" w:rsidR="00B34F34" w:rsidRDefault="00B34F34" w:rsidP="00B34F34"/>
    <w:p w14:paraId="61D5BE06" w14:textId="77777777" w:rsidR="00B34F34" w:rsidRDefault="00B34F34" w:rsidP="00B34F34"/>
    <w:p w14:paraId="5FE7DA8C" w14:textId="77777777" w:rsidR="00B34F34" w:rsidRDefault="00B34F34" w:rsidP="00B34F34"/>
    <w:p w14:paraId="5CB81C0D" w14:textId="77777777" w:rsidR="00B34F34" w:rsidRDefault="00B34F34" w:rsidP="00B34F34"/>
    <w:p w14:paraId="1E190DD8" w14:textId="77777777" w:rsidR="00B34F34" w:rsidRDefault="00B34F34" w:rsidP="00B34F34"/>
    <w:p w14:paraId="4234D942" w14:textId="77777777" w:rsidR="00B34F34" w:rsidRDefault="00B34F34" w:rsidP="00B34F34"/>
    <w:p w14:paraId="007F7EE4" w14:textId="77777777" w:rsidR="00B34F34" w:rsidRDefault="00B34F34" w:rsidP="00B34F34"/>
    <w:p w14:paraId="36339000" w14:textId="77777777" w:rsidR="00B34F34" w:rsidRDefault="00B34F34" w:rsidP="00B34F34"/>
    <w:p w14:paraId="7328190E" w14:textId="77777777" w:rsidR="00B34F34" w:rsidRDefault="00B34F34" w:rsidP="00B34F34"/>
    <w:p w14:paraId="64561735" w14:textId="77777777" w:rsidR="00B34F34" w:rsidRDefault="00B34F34" w:rsidP="00B34F34"/>
    <w:p w14:paraId="55C54676" w14:textId="77777777" w:rsidR="00B930BD" w:rsidRDefault="00B930BD" w:rsidP="006C6105"/>
    <w:p w14:paraId="0C2D0086" w14:textId="77777777" w:rsidR="006C6105" w:rsidRDefault="006C6105" w:rsidP="006C6105">
      <w:r>
        <w:lastRenderedPageBreak/>
        <w:t xml:space="preserve">Chapter 5 is slated </w:t>
      </w:r>
      <w:r w:rsidR="00BF045F">
        <w:t>for submission for publication</w:t>
      </w:r>
      <w:r>
        <w:t xml:space="preserve"> </w:t>
      </w:r>
      <w:r w:rsidR="005D2B10">
        <w:t>in</w:t>
      </w:r>
      <w:r>
        <w:t xml:space="preserve"> Environmental Science and Technology.</w:t>
      </w:r>
    </w:p>
    <w:p w14:paraId="3579DE7C" w14:textId="77777777" w:rsidR="006C6105" w:rsidRDefault="006C6105" w:rsidP="006C6105">
      <w:r>
        <w:t xml:space="preserve"> </w:t>
      </w:r>
    </w:p>
    <w:p w14:paraId="1F5911AB" w14:textId="77777777" w:rsidR="006C6105" w:rsidRDefault="00741C73" w:rsidP="00741C73">
      <w:pPr>
        <w:ind w:left="720" w:hanging="720"/>
      </w:pPr>
      <w:r w:rsidRPr="00741C73">
        <w:t>Paradis, C. J., J. I. Miller, J. W. Moon, J. D. Van Nostrand, D. M. Klingeman, M. J. Rodriguez, L. D. McKay, A. P. Arkin, P. D. Adams, J. Zhou</w:t>
      </w:r>
      <w:r w:rsidR="0040388F">
        <w:t>, E. J. Alm &amp; T. C. Hazen, 2017</w:t>
      </w:r>
      <w:r w:rsidRPr="00741C73">
        <w:t xml:space="preserve">. </w:t>
      </w:r>
      <w:r w:rsidR="00466C9C">
        <w:rPr>
          <w:i/>
          <w:iCs/>
        </w:rPr>
        <w:t>In situ</w:t>
      </w:r>
      <w:r w:rsidR="00466C9C">
        <w:t xml:space="preserve"> </w:t>
      </w:r>
      <w:r w:rsidR="00AF4FA9">
        <w:t xml:space="preserve"> </w:t>
      </w:r>
      <w:r w:rsidRPr="00741C73">
        <w:t xml:space="preserve"> demonstration of sustained adaptation of a natural microbial community to transform substrates in groundwater. Environmental Science &amp; Technology (</w:t>
      </w:r>
      <w:r w:rsidR="00142163">
        <w:t>slated for submission</w:t>
      </w:r>
      <w:r w:rsidRPr="00741C73">
        <w:t>).</w:t>
      </w:r>
    </w:p>
    <w:p w14:paraId="37077FB3" w14:textId="77777777" w:rsidR="002729E7" w:rsidRDefault="002729E7" w:rsidP="00B34F34"/>
    <w:p w14:paraId="35BAC0CF" w14:textId="77777777" w:rsidR="002729E7" w:rsidRDefault="002729E7" w:rsidP="00B34F34"/>
    <w:p w14:paraId="58838350" w14:textId="77777777" w:rsidR="002729E7" w:rsidRDefault="002729E7" w:rsidP="00B34F34"/>
    <w:p w14:paraId="48518428" w14:textId="77777777" w:rsidR="002729E7" w:rsidRDefault="002729E7" w:rsidP="00B34F34"/>
    <w:p w14:paraId="7A47C22D" w14:textId="77777777" w:rsidR="002729E7" w:rsidRDefault="002729E7" w:rsidP="00B34F34"/>
    <w:p w14:paraId="2DF13BC6" w14:textId="77777777" w:rsidR="002729E7" w:rsidRDefault="002729E7" w:rsidP="00B34F34"/>
    <w:p w14:paraId="1A8EE57C" w14:textId="77777777" w:rsidR="002729E7" w:rsidRDefault="002729E7" w:rsidP="00B34F34"/>
    <w:p w14:paraId="7706959E" w14:textId="77777777" w:rsidR="002729E7" w:rsidRDefault="002729E7" w:rsidP="00B34F34"/>
    <w:p w14:paraId="52A6CADB" w14:textId="77777777" w:rsidR="002729E7" w:rsidRDefault="002729E7" w:rsidP="00B34F34"/>
    <w:p w14:paraId="63C10228" w14:textId="77777777" w:rsidR="002729E7" w:rsidRDefault="002729E7" w:rsidP="00B34F34"/>
    <w:p w14:paraId="7E7CA71F" w14:textId="77777777" w:rsidR="002729E7" w:rsidRDefault="002729E7" w:rsidP="00B34F34"/>
    <w:p w14:paraId="0F24545D" w14:textId="77777777" w:rsidR="002729E7" w:rsidRDefault="002729E7" w:rsidP="00B34F34"/>
    <w:p w14:paraId="7FC53040" w14:textId="77777777" w:rsidR="002729E7" w:rsidRDefault="002729E7" w:rsidP="00B34F34"/>
    <w:p w14:paraId="4AD8F77E" w14:textId="77777777" w:rsidR="002729E7" w:rsidRDefault="002729E7" w:rsidP="00B34F34"/>
    <w:p w14:paraId="009B7A83" w14:textId="77777777" w:rsidR="002729E7" w:rsidRDefault="002729E7" w:rsidP="00B34F34"/>
    <w:p w14:paraId="67B7AFFB" w14:textId="77777777" w:rsidR="002729E7" w:rsidRDefault="002729E7" w:rsidP="00B34F34"/>
    <w:p w14:paraId="0CE71976" w14:textId="77777777" w:rsidR="002729E7" w:rsidRPr="00B34F34" w:rsidRDefault="002729E7" w:rsidP="00B34F34"/>
    <w:p w14:paraId="18C88AAD" w14:textId="77777777" w:rsidR="00DE20E5" w:rsidRDefault="00A63544" w:rsidP="00DE20E5">
      <w:pPr>
        <w:pStyle w:val="Heading2"/>
      </w:pPr>
      <w:bookmarkStart w:id="176" w:name="_Toc498505067"/>
      <w:r>
        <w:lastRenderedPageBreak/>
        <w:t>5</w:t>
      </w:r>
      <w:r w:rsidR="00B93721">
        <w:t>.1.</w:t>
      </w:r>
      <w:r w:rsidR="00B93721">
        <w:tab/>
      </w:r>
      <w:r w:rsidR="00DE20E5">
        <w:t>Abstract</w:t>
      </w:r>
      <w:bookmarkEnd w:id="176"/>
    </w:p>
    <w:p w14:paraId="607CDB46" w14:textId="77777777" w:rsidR="00964F8B" w:rsidRDefault="00964F8B" w:rsidP="004110D4">
      <w:pPr>
        <w:ind w:firstLine="720"/>
      </w:pPr>
      <w:r>
        <w:t xml:space="preserve">Prior exposure of a natural microbial community to a substrate can result in the increased potential of the community to transform the substrate; this phenomenon is known as adaptation. Adaptation is thought to play an important role in biogeochemical cycling at the ecosystem scale and has been demonstrated at the laboratory scale. However, </w:t>
      </w:r>
      <w:r w:rsidR="00AF4FA9">
        <w:rPr>
          <w:i/>
          <w:iCs/>
        </w:rPr>
        <w:t>in situ</w:t>
      </w:r>
      <w:r w:rsidR="00AF4FA9">
        <w:t xml:space="preserve"> </w:t>
      </w:r>
      <w:r w:rsidRPr="00F32C99">
        <w:t>demonstration</w:t>
      </w:r>
      <w:r>
        <w:t>s</w:t>
      </w:r>
      <w:r w:rsidRPr="00F32C99">
        <w:t xml:space="preserve"> </w:t>
      </w:r>
      <w:r>
        <w:t xml:space="preserve">of the magnitude and duration of adaptation are lacking. Ethanol was used as a substrate and </w:t>
      </w:r>
      <w:r w:rsidRPr="00D301DE">
        <w:t>was inj</w:t>
      </w:r>
      <w:r>
        <w:t xml:space="preserve">ected into a groundwater well (substrate treatment) for six consecutive weeks </w:t>
      </w:r>
      <w:r w:rsidRPr="00D301DE">
        <w:t xml:space="preserve">to </w:t>
      </w:r>
      <w:r>
        <w:t>establish adaptation. A second well (substrate control)</w:t>
      </w:r>
      <w:r w:rsidRPr="00D301DE">
        <w:t xml:space="preserve"> was not injected </w:t>
      </w:r>
      <w:r>
        <w:t>with ethanol during this time. The substrate treatment demonstrated adaptation for microbial-mediated oxidation of ethanol to acetate and reduction of nitrate and sulfate. Both wells were then monitored for six additional weeks under natural conditions. During the final week, ethanol was injected into both wells. The substrate treatment demonstrated sustained adaptation whereas the substrate control did not. Surprisingly, the substrate treatment did not indicate a sustained and selective enrichment of a microbial community, as revealed by analysis of planktonic DNA. These results demonstrated that adaptation can be induced and sustained with no apparent enrichment of a select microbial community. This suggests that the predominant mechanisms of adaptation may exist at the enzymatic- and/or genetic-levels</w:t>
      </w:r>
      <w:r w:rsidR="007675D6">
        <w:t>.</w:t>
      </w:r>
    </w:p>
    <w:p w14:paraId="30F4F0C3" w14:textId="77777777" w:rsidR="00964F8B" w:rsidRDefault="00964F8B" w:rsidP="004110D4">
      <w:pPr>
        <w:ind w:firstLine="720"/>
      </w:pPr>
    </w:p>
    <w:p w14:paraId="3FC524A2" w14:textId="77777777" w:rsidR="00964F8B" w:rsidRDefault="00964F8B" w:rsidP="004110D4">
      <w:pPr>
        <w:ind w:firstLine="720"/>
      </w:pPr>
    </w:p>
    <w:p w14:paraId="091B32BF" w14:textId="77777777" w:rsidR="00964F8B" w:rsidRDefault="00964F8B" w:rsidP="004110D4">
      <w:pPr>
        <w:ind w:firstLine="720"/>
      </w:pPr>
    </w:p>
    <w:p w14:paraId="73767F55" w14:textId="77777777" w:rsidR="004110D4" w:rsidRDefault="004110D4" w:rsidP="004110D4">
      <w:pPr>
        <w:ind w:firstLine="720"/>
      </w:pPr>
      <w:r w:rsidRPr="004110D4">
        <w:t xml:space="preserve">         </w:t>
      </w:r>
    </w:p>
    <w:p w14:paraId="23FFD7B1" w14:textId="77777777" w:rsidR="004110D4" w:rsidRDefault="004110D4" w:rsidP="004110D4">
      <w:pPr>
        <w:ind w:firstLine="720"/>
      </w:pPr>
    </w:p>
    <w:p w14:paraId="290265DD" w14:textId="77777777" w:rsidR="004110D4" w:rsidRDefault="004110D4" w:rsidP="004110D4">
      <w:pPr>
        <w:ind w:firstLine="720"/>
        <w:rPr>
          <w:b/>
          <w:bCs/>
        </w:rPr>
      </w:pPr>
    </w:p>
    <w:p w14:paraId="5C0A8A7A" w14:textId="77777777" w:rsidR="00DE20E5" w:rsidRDefault="00A63544" w:rsidP="00DE20E5">
      <w:pPr>
        <w:pStyle w:val="Heading2"/>
      </w:pPr>
      <w:bookmarkStart w:id="177" w:name="_Toc498505068"/>
      <w:r>
        <w:lastRenderedPageBreak/>
        <w:t>5</w:t>
      </w:r>
      <w:r w:rsidR="00B93721">
        <w:t>.2.</w:t>
      </w:r>
      <w:r w:rsidR="00B93721">
        <w:tab/>
      </w:r>
      <w:r w:rsidR="00DE20E5">
        <w:t>Introduction</w:t>
      </w:r>
      <w:bookmarkEnd w:id="177"/>
    </w:p>
    <w:p w14:paraId="1B6F5732" w14:textId="77777777" w:rsidR="00964F8B" w:rsidRDefault="00964F8B" w:rsidP="00964F8B">
      <w:pPr>
        <w:ind w:firstLine="720"/>
      </w:pPr>
      <w:r>
        <w:t>Natural microbial communities play a critical role in biogeochemical cycling at a wide range of temporal and spatial scales and under highly variable environmental conditions (</w:t>
      </w:r>
      <w:proofErr w:type="spellStart"/>
      <w:r>
        <w:t>Torsvik</w:t>
      </w:r>
      <w:proofErr w:type="spellEnd"/>
      <w:r>
        <w:t xml:space="preserve"> and </w:t>
      </w:r>
      <w:proofErr w:type="spellStart"/>
      <w:r>
        <w:t>Ovreas</w:t>
      </w:r>
      <w:proofErr w:type="spellEnd"/>
      <w:r>
        <w:t xml:space="preserve"> 2002; Zhang and Xu 2008). Microbial communities can utilize a vast array of natural and anthropogenic chemicals in the environment as substrates to harness energy for cell maintenance and reproduction (</w:t>
      </w:r>
      <w:proofErr w:type="spellStart"/>
      <w:r>
        <w:t>Holmstrup</w:t>
      </w:r>
      <w:proofErr w:type="spellEnd"/>
      <w:r>
        <w:t xml:space="preserve"> et al. 2010). Microbial-mediated transformations of toxic substrates to non-toxic byproducts has long been recognized as highly beneficial to the environment and society (</w:t>
      </w:r>
      <w:proofErr w:type="spellStart"/>
      <w:r>
        <w:t>Essaid</w:t>
      </w:r>
      <w:proofErr w:type="spellEnd"/>
      <w:r>
        <w:t xml:space="preserve"> et al. 2015; Singh et al. 2017). It has also been recognized that prior exposure of a natural microbial community to a substrate can result in the increased potential of the community to transform the substrate; this phenomenon is known as adaptation (Leahy and Colwell 1990).</w:t>
      </w:r>
    </w:p>
    <w:p w14:paraId="1970C9B8" w14:textId="77777777" w:rsidR="00964F8B" w:rsidRDefault="00964F8B" w:rsidP="00964F8B">
      <w:pPr>
        <w:ind w:firstLine="720"/>
      </w:pPr>
      <w:r>
        <w:t>Adaptation has been observed in the field based on characterization studies and has been demonstrated in the laboratory based on experimental studies (</w:t>
      </w:r>
      <w:proofErr w:type="spellStart"/>
      <w:r>
        <w:t>Koskella</w:t>
      </w:r>
      <w:proofErr w:type="spellEnd"/>
      <w:r>
        <w:t xml:space="preserve"> and Vos 2015). For example, in the field, </w:t>
      </w:r>
      <w:proofErr w:type="spellStart"/>
      <w:r>
        <w:t>Pernthaler</w:t>
      </w:r>
      <w:proofErr w:type="spellEnd"/>
      <w:r>
        <w:t xml:space="preserve"> and </w:t>
      </w:r>
      <w:proofErr w:type="spellStart"/>
      <w:r>
        <w:t>Pernthaler</w:t>
      </w:r>
      <w:proofErr w:type="spellEnd"/>
      <w:r>
        <w:t xml:space="preserve"> (2005) observed adaptation of a marine planktonic microbial community in response to naturally fluctuating substrate availability over the course of a single day. In the laboratory, </w:t>
      </w:r>
      <w:proofErr w:type="spellStart"/>
      <w:r>
        <w:t>Pernthaler</w:t>
      </w:r>
      <w:proofErr w:type="spellEnd"/>
      <w:r>
        <w:t xml:space="preserve"> et al. (2001) demonstrated that adaptation of two marine planktonic isolates was dependent on the frequency of substrate addition, e.g., one species out-competed the other during a single substrate addition whereas the other species performed best during hourly substrate additions. Leahy and Colwell (1990) summarized the predominant, yet inter-related, mechanisms by which adaptation can occur: (1) induction and/or depression of specific enzymes, (2) genetic changes which result in new metabolic capabilities, and (3) selective enrichment of microbes able to transform the substrate of interest. More recently, </w:t>
      </w:r>
      <w:proofErr w:type="gramStart"/>
      <w:r>
        <w:t>Oh</w:t>
      </w:r>
      <w:proofErr w:type="gramEnd"/>
      <w:r>
        <w:t xml:space="preserve"> et al. (2013) demonstrated the inter-related mechanisms of adaptation of a river </w:t>
      </w:r>
      <w:r>
        <w:lastRenderedPageBreak/>
        <w:t xml:space="preserve">sediment microbial community to transform a toxic substrate. In the laboratory, exposure of the microbial community to benzalkonium chlorides (BAC) resulted in both the selective enrichment of Pseudomonas species and genetic changes via BAC-related amino acid substitutions and horizontal gene transfer. </w:t>
      </w:r>
    </w:p>
    <w:p w14:paraId="16F7664C" w14:textId="77777777" w:rsidR="00B34F34" w:rsidRPr="00B34F34" w:rsidRDefault="00964F8B" w:rsidP="00964F8B">
      <w:pPr>
        <w:ind w:firstLine="720"/>
      </w:pPr>
      <w:r>
        <w:t>These observations, demonstrations, and mechanistic insights of adaptation are only a small fraction of those in the vast literature (</w:t>
      </w:r>
      <w:proofErr w:type="spellStart"/>
      <w:r>
        <w:t>Koskella</w:t>
      </w:r>
      <w:proofErr w:type="spellEnd"/>
      <w:r>
        <w:t xml:space="preserve"> and Vos 2015) yet they clearly illustrate the importance and highlight the current understanding of the topic. Nevertheless, there is undoubtedly a need to bridge the knowledge gap between field observations and laboratory demonstrations of adaptation. More specifically, there is a need to design and conduct highly controlled field experiments with the proper controls to both demonstrate adaptation and elucidate its mechanisms. The objectives of this study were to: (1) establish a natural microbial community adapted to transform a substrate within an environmental setting, (2) determine how long adaptation can last in the absence of the substrate, and (3) elucidate the microbial mechanism(s) responsible for adaption.</w:t>
      </w:r>
    </w:p>
    <w:p w14:paraId="2C1C2BE8" w14:textId="77777777" w:rsidR="00DE20E5" w:rsidRDefault="00A63544" w:rsidP="00DE20E5">
      <w:pPr>
        <w:pStyle w:val="Heading2"/>
      </w:pPr>
      <w:bookmarkStart w:id="178" w:name="_Toc498505069"/>
      <w:r>
        <w:t>5</w:t>
      </w:r>
      <w:r w:rsidR="00B93721">
        <w:t>.3.</w:t>
      </w:r>
      <w:r w:rsidR="00B93721">
        <w:tab/>
      </w:r>
      <w:r w:rsidR="00DE20E5">
        <w:t>Materials and methods</w:t>
      </w:r>
      <w:bookmarkEnd w:id="178"/>
    </w:p>
    <w:p w14:paraId="4FCD22E5" w14:textId="77777777" w:rsidR="007B62C9" w:rsidRDefault="00F04A64" w:rsidP="007B62C9">
      <w:pPr>
        <w:pStyle w:val="Heading3"/>
      </w:pPr>
      <w:bookmarkStart w:id="179" w:name="_Toc498505070"/>
      <w:r>
        <w:t>5.3.1.</w:t>
      </w:r>
      <w:r>
        <w:tab/>
      </w:r>
      <w:r w:rsidR="007B62C9">
        <w:t>Study site</w:t>
      </w:r>
      <w:bookmarkEnd w:id="179"/>
    </w:p>
    <w:p w14:paraId="0BC08D33" w14:textId="77777777" w:rsidR="00025B9B" w:rsidRPr="00130F5E" w:rsidRDefault="00265934" w:rsidP="00265934">
      <w:pPr>
        <w:ind w:firstLine="720"/>
      </w:pPr>
      <w:r w:rsidRPr="00265934">
        <w:t>The study site is in Area 2 of the Y-12 S-3 pond field site which is a part of the Oak Ridge Reservation (ORR) and in Oak Ridge, Tennessee, USA (</w:t>
      </w:r>
      <w:r w:rsidR="007C1323">
        <w:fldChar w:fldCharType="begin"/>
      </w:r>
      <w:r w:rsidR="007C1323">
        <w:instrText xml:space="preserve"> REF _Ref487024241 \h </w:instrText>
      </w:r>
      <w:r w:rsidR="007C1323">
        <w:fldChar w:fldCharType="separate"/>
      </w:r>
      <w:r w:rsidR="007C1323">
        <w:t xml:space="preserve">Figure </w:t>
      </w:r>
      <w:r w:rsidR="007C1323">
        <w:rPr>
          <w:noProof/>
        </w:rPr>
        <w:t>5</w:t>
      </w:r>
      <w:r w:rsidR="007C1323">
        <w:t>.</w:t>
      </w:r>
      <w:r w:rsidR="007C1323">
        <w:rPr>
          <w:noProof/>
        </w:rPr>
        <w:t>1</w:t>
      </w:r>
      <w:r w:rsidR="007C1323">
        <w:fldChar w:fldCharType="end"/>
      </w:r>
      <w:r w:rsidRPr="00265934">
        <w:t xml:space="preserve">). The hydrogeology of the study site has been previously described (Paradis et al. 2016; Paradis et al. 2017b). The subsurface consists of approximately 6 meters of unconsolidated and heterogeneous materials comprised of silty and clayey fill underlain by undisturbed and clay-rich weathered bedrock. The study site contains 13 monitoring wells (FW218 through FW230), two of which were used as test wells (FW222 and FW224), and one of which was used as a source well (FW229) for </w:t>
      </w:r>
      <w:r w:rsidRPr="00265934">
        <w:lastRenderedPageBreak/>
        <w:t>groundwater injectate for the exposure tests, as discussed in Section 2.5. (</w:t>
      </w:r>
      <w:r w:rsidR="00333A56">
        <w:fldChar w:fldCharType="begin"/>
      </w:r>
      <w:r w:rsidR="00333A56">
        <w:instrText xml:space="preserve"> REF _Ref487024241 \h </w:instrText>
      </w:r>
      <w:r w:rsidR="00333A56">
        <w:fldChar w:fldCharType="separate"/>
      </w:r>
      <w:r w:rsidR="00333A56">
        <w:t xml:space="preserve">Figure </w:t>
      </w:r>
      <w:r w:rsidR="00333A56">
        <w:rPr>
          <w:noProof/>
        </w:rPr>
        <w:t>5</w:t>
      </w:r>
      <w:r w:rsidR="00333A56">
        <w:t>.</w:t>
      </w:r>
      <w:r w:rsidR="00333A56">
        <w:rPr>
          <w:noProof/>
        </w:rPr>
        <w:t>1</w:t>
      </w:r>
      <w:r w:rsidR="00333A56">
        <w:fldChar w:fldCharType="end"/>
      </w:r>
      <w:r w:rsidRPr="00265934">
        <w:t>). The test wells are constructed of 1.9-cm inside diameter schedule-80 polyvinyl chloride (PVC) pipe and are screened from 3.7 to 6.1 m below ground surface (mbgs). The test wells are screened within the fill materials and were vertically terminated at contact with the undisturbed weathered bedrock. The shallow groundwater aquifer is unconfined and the depth to groundwater is approximately 3.5 mbgs. The physical and chemical properties of the fill materials, in which the test wells are screened, have been previously described (Paradis et al. 2016; Paradis et al. 2017b) (</w:t>
      </w:r>
      <w:r w:rsidR="00BF03CE">
        <w:fldChar w:fldCharType="begin"/>
      </w:r>
      <w:r w:rsidR="00BF03CE">
        <w:instrText xml:space="preserve"> REF _Ref487024308 \h </w:instrText>
      </w:r>
      <w:r w:rsidR="00BF03CE">
        <w:fldChar w:fldCharType="separate"/>
      </w:r>
      <w:r w:rsidR="00BF03CE">
        <w:t xml:space="preserve">Table </w:t>
      </w:r>
      <w:r w:rsidR="00BF03CE">
        <w:rPr>
          <w:noProof/>
        </w:rPr>
        <w:t>5</w:t>
      </w:r>
      <w:r w:rsidR="00BF03CE">
        <w:t>.</w:t>
      </w:r>
      <w:r w:rsidR="00BF03CE">
        <w:rPr>
          <w:noProof/>
        </w:rPr>
        <w:t>1</w:t>
      </w:r>
      <w:r w:rsidR="00BF03CE">
        <w:fldChar w:fldCharType="end"/>
      </w:r>
      <w:r w:rsidRPr="00265934">
        <w:t>). The test wells are separated by approximately 6 m of horizontal distance and oriented nearly perpendicular to the direction of groundwater flow (</w:t>
      </w:r>
      <w:r w:rsidR="00333A56">
        <w:fldChar w:fldCharType="begin"/>
      </w:r>
      <w:r w:rsidR="00333A56">
        <w:instrText xml:space="preserve"> REF _Ref487024241 \h </w:instrText>
      </w:r>
      <w:r w:rsidR="00333A56">
        <w:fldChar w:fldCharType="separate"/>
      </w:r>
      <w:r w:rsidR="00333A56">
        <w:t xml:space="preserve">Figure </w:t>
      </w:r>
      <w:r w:rsidR="00333A56">
        <w:rPr>
          <w:noProof/>
        </w:rPr>
        <w:t>5</w:t>
      </w:r>
      <w:r w:rsidR="00333A56">
        <w:t>.</w:t>
      </w:r>
      <w:r w:rsidR="00333A56">
        <w:rPr>
          <w:noProof/>
        </w:rPr>
        <w:t>1</w:t>
      </w:r>
      <w:r w:rsidR="00333A56">
        <w:fldChar w:fldCharType="end"/>
      </w:r>
      <w:r w:rsidRPr="00265934">
        <w:t>).</w:t>
      </w:r>
    </w:p>
    <w:p w14:paraId="74F5A77B" w14:textId="77777777" w:rsidR="004E4BBF" w:rsidRDefault="004E4BBF" w:rsidP="004E4BBF">
      <w:pPr>
        <w:jc w:val="both"/>
      </w:pPr>
      <w:r>
        <w:rPr>
          <w:noProof/>
          <w:lang w:eastAsia="zh-CN" w:bidi="ar-SA"/>
        </w:rPr>
        <w:lastRenderedPageBreak/>
        <w:drawing>
          <wp:inline distT="0" distB="0" distL="0" distR="0" wp14:anchorId="68E91B44" wp14:editId="51C7E767">
            <wp:extent cx="5486400" cy="5486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ffective_Porosity_Study_Site_Map_v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86400" cy="5486400"/>
                    </a:xfrm>
                    <a:prstGeom prst="rect">
                      <a:avLst/>
                    </a:prstGeom>
                  </pic:spPr>
                </pic:pic>
              </a:graphicData>
            </a:graphic>
          </wp:inline>
        </w:drawing>
      </w:r>
    </w:p>
    <w:p w14:paraId="0F26FE3E" w14:textId="77777777" w:rsidR="004E4BBF" w:rsidRDefault="00982FF1" w:rsidP="00982FF1">
      <w:pPr>
        <w:pStyle w:val="Caption"/>
      </w:pPr>
      <w:bookmarkStart w:id="180" w:name="_Ref487024241"/>
      <w:bookmarkStart w:id="181" w:name="_Toc498504906"/>
      <w:r>
        <w:t xml:space="preserve">Figure </w:t>
      </w:r>
      <w:r w:rsidR="00CA2C3C">
        <w:fldChar w:fldCharType="begin"/>
      </w:r>
      <w:r w:rsidR="00CA2C3C">
        <w:instrText xml:space="preserve"> STYLEREF 1 \s </w:instrText>
      </w:r>
      <w:r w:rsidR="00CA2C3C">
        <w:fldChar w:fldCharType="separate"/>
      </w:r>
      <w:r w:rsidR="00E70E91">
        <w:rPr>
          <w:noProof/>
        </w:rPr>
        <w:t>5</w:t>
      </w:r>
      <w:r w:rsidR="00CA2C3C">
        <w:rPr>
          <w:noProof/>
        </w:rPr>
        <w:fldChar w:fldCharType="end"/>
      </w:r>
      <w:r w:rsidR="00E70E91">
        <w:t>.</w:t>
      </w:r>
      <w:r w:rsidR="00CA2C3C">
        <w:fldChar w:fldCharType="begin"/>
      </w:r>
      <w:r w:rsidR="00CA2C3C">
        <w:instrText xml:space="preserve"> SEQ Figure \* ARABIC \s 1 </w:instrText>
      </w:r>
      <w:r w:rsidR="00CA2C3C">
        <w:fldChar w:fldCharType="separate"/>
      </w:r>
      <w:r w:rsidR="00E70E91">
        <w:rPr>
          <w:noProof/>
        </w:rPr>
        <w:t>1</w:t>
      </w:r>
      <w:r w:rsidR="00CA2C3C">
        <w:rPr>
          <w:noProof/>
        </w:rPr>
        <w:fldChar w:fldCharType="end"/>
      </w:r>
      <w:bookmarkEnd w:id="180"/>
      <w:r>
        <w:t xml:space="preserve"> </w:t>
      </w:r>
      <w:r w:rsidR="00265934" w:rsidRPr="00265934">
        <w:rPr>
          <w:b w:val="0"/>
        </w:rPr>
        <w:t>Plan-view maps of the study site from Paradis et al. (2017b), clockwise from upper left, country map showing study site location in the southeastern United States, area map showing study site location in Area 2 of the ORR, and study site map showing well locations, groundwater elevations, and groundwater elevation iso-contours, m amsl = meters above mean sea level, substrate treatment well is FW222, substrate control well is FW224</w:t>
      </w:r>
      <w:r w:rsidR="00DD1D4A">
        <w:rPr>
          <w:b w:val="0"/>
        </w:rPr>
        <w:t>.</w:t>
      </w:r>
      <w:bookmarkEnd w:id="181"/>
    </w:p>
    <w:p w14:paraId="65F43B01" w14:textId="77777777" w:rsidR="004E4BBF" w:rsidRDefault="004E4BBF" w:rsidP="004E4BBF">
      <w:pPr>
        <w:jc w:val="both"/>
      </w:pPr>
    </w:p>
    <w:p w14:paraId="65889530" w14:textId="77777777" w:rsidR="004E4BBF" w:rsidRDefault="004E4BBF" w:rsidP="004E4BBF">
      <w:pPr>
        <w:jc w:val="both"/>
      </w:pPr>
    </w:p>
    <w:p w14:paraId="43D04DFF" w14:textId="77777777" w:rsidR="00825AF4" w:rsidRPr="00825AF4" w:rsidRDefault="00982FF1" w:rsidP="00825AF4">
      <w:pPr>
        <w:pStyle w:val="Caption"/>
        <w:rPr>
          <w:b w:val="0"/>
        </w:rPr>
      </w:pPr>
      <w:bookmarkStart w:id="182" w:name="_Ref487024308"/>
      <w:bookmarkStart w:id="183" w:name="_Toc498504889"/>
      <w:r>
        <w:lastRenderedPageBreak/>
        <w:t xml:space="preserve">Table </w:t>
      </w:r>
      <w:r w:rsidR="00CA2C3C">
        <w:fldChar w:fldCharType="begin"/>
      </w:r>
      <w:r w:rsidR="00CA2C3C">
        <w:instrText xml:space="preserve"> STYLEREF 1 \s </w:instrText>
      </w:r>
      <w:r w:rsidR="00CA2C3C">
        <w:fldChar w:fldCharType="separate"/>
      </w:r>
      <w:r w:rsidR="002105EE">
        <w:rPr>
          <w:noProof/>
        </w:rPr>
        <w:t>5</w:t>
      </w:r>
      <w:r w:rsidR="00CA2C3C">
        <w:rPr>
          <w:noProof/>
        </w:rPr>
        <w:fldChar w:fldCharType="end"/>
      </w:r>
      <w:r w:rsidR="002105EE">
        <w:t>.</w:t>
      </w:r>
      <w:r w:rsidR="00CA2C3C">
        <w:fldChar w:fldCharType="begin"/>
      </w:r>
      <w:r w:rsidR="00CA2C3C">
        <w:instrText xml:space="preserve"> SEQ Table \* ARABIC \s 1 </w:instrText>
      </w:r>
      <w:r w:rsidR="00CA2C3C">
        <w:fldChar w:fldCharType="separate"/>
      </w:r>
      <w:r w:rsidR="002105EE">
        <w:rPr>
          <w:noProof/>
        </w:rPr>
        <w:t>1</w:t>
      </w:r>
      <w:r w:rsidR="00CA2C3C">
        <w:rPr>
          <w:noProof/>
        </w:rPr>
        <w:fldChar w:fldCharType="end"/>
      </w:r>
      <w:bookmarkEnd w:id="182"/>
      <w:r>
        <w:t xml:space="preserve"> </w:t>
      </w:r>
      <w:r w:rsidR="00825AF4" w:rsidRPr="00825AF4">
        <w:rPr>
          <w:b w:val="0"/>
        </w:rPr>
        <w:t>Physical and chemical characteristics from substrate treatment (FW222), and substrate control (FW224) wells from Paradis et al. (2016) and Paradis et al. (2017b)</w:t>
      </w:r>
      <w:r w:rsidR="00DD1D4A">
        <w:rPr>
          <w:b w:val="0"/>
        </w:rPr>
        <w:t>.</w:t>
      </w:r>
      <w:bookmarkEnd w:id="183"/>
    </w:p>
    <w:tbl>
      <w:tblPr>
        <w:tblW w:w="9356" w:type="dxa"/>
        <w:jc w:val="center"/>
        <w:tblLayout w:type="fixed"/>
        <w:tblLook w:val="04A0" w:firstRow="1" w:lastRow="0" w:firstColumn="1" w:lastColumn="0" w:noHBand="0" w:noVBand="1"/>
      </w:tblPr>
      <w:tblGrid>
        <w:gridCol w:w="1817"/>
        <w:gridCol w:w="2093"/>
        <w:gridCol w:w="1816"/>
        <w:gridCol w:w="1815"/>
        <w:gridCol w:w="1815"/>
      </w:tblGrid>
      <w:tr w:rsidR="00825AF4" w:rsidRPr="0041408A" w14:paraId="0A4D761A" w14:textId="77777777" w:rsidTr="007C1323">
        <w:trPr>
          <w:trHeight w:val="720"/>
          <w:jc w:val="center"/>
        </w:trPr>
        <w:tc>
          <w:tcPr>
            <w:tcW w:w="1522" w:type="dxa"/>
            <w:tcBorders>
              <w:top w:val="single" w:sz="4" w:space="0" w:color="auto"/>
              <w:left w:val="nil"/>
              <w:bottom w:val="nil"/>
              <w:right w:val="nil"/>
            </w:tcBorders>
            <w:shd w:val="clear" w:color="auto" w:fill="auto"/>
            <w:noWrap/>
            <w:vAlign w:val="center"/>
            <w:hideMark/>
          </w:tcPr>
          <w:p w14:paraId="294CF745" w14:textId="77777777" w:rsidR="00825AF4" w:rsidRDefault="00825AF4" w:rsidP="007C1323">
            <w:pPr>
              <w:spacing w:line="240" w:lineRule="auto"/>
              <w:jc w:val="center"/>
              <w:rPr>
                <w:rFonts w:eastAsia="Times New Roman" w:cs="Times New Roman"/>
                <w:szCs w:val="24"/>
              </w:rPr>
            </w:pPr>
            <w:r w:rsidRPr="00007259">
              <w:rPr>
                <w:rFonts w:eastAsia="Times New Roman" w:cs="Times New Roman"/>
                <w:szCs w:val="24"/>
              </w:rPr>
              <w:t>Test</w:t>
            </w:r>
            <w:r>
              <w:rPr>
                <w:rFonts w:eastAsia="Times New Roman" w:cs="Times New Roman"/>
                <w:szCs w:val="24"/>
              </w:rPr>
              <w:t xml:space="preserve"> </w:t>
            </w:r>
          </w:p>
          <w:p w14:paraId="08B6DE6C" w14:textId="77777777" w:rsidR="00825AF4" w:rsidRPr="00007259" w:rsidRDefault="00825AF4" w:rsidP="007C1323">
            <w:pPr>
              <w:spacing w:line="240" w:lineRule="auto"/>
              <w:jc w:val="center"/>
              <w:rPr>
                <w:rFonts w:eastAsia="Times New Roman" w:cs="Times New Roman"/>
                <w:szCs w:val="24"/>
              </w:rPr>
            </w:pPr>
            <w:r>
              <w:rPr>
                <w:rFonts w:eastAsia="Times New Roman" w:cs="Times New Roman"/>
                <w:szCs w:val="24"/>
              </w:rPr>
              <w:t>Well</w:t>
            </w:r>
          </w:p>
        </w:tc>
        <w:tc>
          <w:tcPr>
            <w:tcW w:w="1753" w:type="dxa"/>
            <w:tcBorders>
              <w:top w:val="single" w:sz="4" w:space="0" w:color="auto"/>
              <w:left w:val="nil"/>
              <w:bottom w:val="nil"/>
              <w:right w:val="nil"/>
            </w:tcBorders>
            <w:vAlign w:val="center"/>
          </w:tcPr>
          <w:p w14:paraId="6A7F8C3B" w14:textId="77777777" w:rsidR="00825AF4" w:rsidRDefault="00825AF4" w:rsidP="007C1323">
            <w:pPr>
              <w:spacing w:line="240" w:lineRule="auto"/>
              <w:jc w:val="center"/>
            </w:pPr>
            <w:r>
              <w:t>Hydraulic Conductivity</w:t>
            </w:r>
          </w:p>
        </w:tc>
        <w:tc>
          <w:tcPr>
            <w:tcW w:w="1521" w:type="dxa"/>
            <w:tcBorders>
              <w:top w:val="single" w:sz="4" w:space="0" w:color="auto"/>
              <w:left w:val="nil"/>
              <w:bottom w:val="nil"/>
              <w:right w:val="nil"/>
            </w:tcBorders>
            <w:vAlign w:val="center"/>
          </w:tcPr>
          <w:p w14:paraId="3A3399B6" w14:textId="77777777" w:rsidR="00825AF4" w:rsidRDefault="00825AF4" w:rsidP="007C1323">
            <w:pPr>
              <w:spacing w:line="240" w:lineRule="auto"/>
              <w:jc w:val="center"/>
            </w:pPr>
            <w:r>
              <w:t xml:space="preserve">Effective </w:t>
            </w:r>
          </w:p>
          <w:p w14:paraId="689CB2A2" w14:textId="77777777" w:rsidR="00825AF4" w:rsidRDefault="00825AF4" w:rsidP="007C1323">
            <w:pPr>
              <w:spacing w:line="240" w:lineRule="auto"/>
              <w:jc w:val="center"/>
            </w:pPr>
            <w:r>
              <w:t>Porosity</w:t>
            </w:r>
          </w:p>
        </w:tc>
        <w:tc>
          <w:tcPr>
            <w:tcW w:w="1520" w:type="dxa"/>
            <w:tcBorders>
              <w:top w:val="single" w:sz="4" w:space="0" w:color="auto"/>
              <w:left w:val="nil"/>
              <w:bottom w:val="nil"/>
              <w:right w:val="nil"/>
            </w:tcBorders>
            <w:vAlign w:val="center"/>
          </w:tcPr>
          <w:p w14:paraId="5E7DD0AF" w14:textId="77777777" w:rsidR="00825AF4" w:rsidRDefault="00825AF4" w:rsidP="007C1323">
            <w:pPr>
              <w:spacing w:line="240" w:lineRule="auto"/>
              <w:jc w:val="center"/>
            </w:pPr>
            <w:r>
              <w:t>Nitrate</w:t>
            </w:r>
          </w:p>
        </w:tc>
        <w:tc>
          <w:tcPr>
            <w:tcW w:w="1520" w:type="dxa"/>
            <w:tcBorders>
              <w:top w:val="single" w:sz="4" w:space="0" w:color="auto"/>
              <w:left w:val="nil"/>
              <w:bottom w:val="nil"/>
              <w:right w:val="nil"/>
            </w:tcBorders>
            <w:vAlign w:val="center"/>
          </w:tcPr>
          <w:p w14:paraId="1BBBAFA1" w14:textId="77777777" w:rsidR="00825AF4" w:rsidRDefault="00825AF4" w:rsidP="007C1323">
            <w:pPr>
              <w:spacing w:line="240" w:lineRule="auto"/>
              <w:jc w:val="center"/>
            </w:pPr>
            <w:r>
              <w:t>Sulfate</w:t>
            </w:r>
          </w:p>
        </w:tc>
      </w:tr>
      <w:tr w:rsidR="00825AF4" w:rsidRPr="0041408A" w14:paraId="01BD6592" w14:textId="77777777" w:rsidTr="007C1323">
        <w:trPr>
          <w:trHeight w:val="720"/>
          <w:jc w:val="center"/>
        </w:trPr>
        <w:tc>
          <w:tcPr>
            <w:tcW w:w="1522" w:type="dxa"/>
            <w:tcBorders>
              <w:top w:val="nil"/>
              <w:left w:val="nil"/>
              <w:bottom w:val="single" w:sz="4" w:space="0" w:color="auto"/>
              <w:right w:val="nil"/>
            </w:tcBorders>
            <w:shd w:val="clear" w:color="auto" w:fill="auto"/>
            <w:noWrap/>
            <w:vAlign w:val="center"/>
            <w:hideMark/>
          </w:tcPr>
          <w:p w14:paraId="58B88947" w14:textId="77777777" w:rsidR="00825AF4" w:rsidRPr="00007259" w:rsidRDefault="00825AF4" w:rsidP="007C1323">
            <w:pPr>
              <w:spacing w:line="240" w:lineRule="auto"/>
              <w:jc w:val="center"/>
              <w:rPr>
                <w:rFonts w:eastAsia="Times New Roman" w:cs="Times New Roman"/>
                <w:szCs w:val="24"/>
              </w:rPr>
            </w:pPr>
            <w:r>
              <w:t>(ID)</w:t>
            </w:r>
          </w:p>
        </w:tc>
        <w:tc>
          <w:tcPr>
            <w:tcW w:w="1753" w:type="dxa"/>
            <w:tcBorders>
              <w:top w:val="nil"/>
              <w:left w:val="nil"/>
              <w:bottom w:val="single" w:sz="4" w:space="0" w:color="auto"/>
              <w:right w:val="nil"/>
            </w:tcBorders>
            <w:vAlign w:val="center"/>
          </w:tcPr>
          <w:p w14:paraId="3A774DB9" w14:textId="77777777" w:rsidR="00825AF4" w:rsidRDefault="00825AF4" w:rsidP="007C1323">
            <w:pPr>
              <w:spacing w:line="240" w:lineRule="auto"/>
              <w:jc w:val="center"/>
            </w:pPr>
            <w:r>
              <w:t>(</w:t>
            </w:r>
            <w:r w:rsidRPr="00DA3683">
              <w:t>m/</w:t>
            </w:r>
            <w:r>
              <w:t>s)</w:t>
            </w:r>
          </w:p>
        </w:tc>
        <w:tc>
          <w:tcPr>
            <w:tcW w:w="1521" w:type="dxa"/>
            <w:tcBorders>
              <w:top w:val="nil"/>
              <w:left w:val="nil"/>
              <w:bottom w:val="single" w:sz="4" w:space="0" w:color="auto"/>
              <w:right w:val="nil"/>
            </w:tcBorders>
            <w:vAlign w:val="center"/>
          </w:tcPr>
          <w:p w14:paraId="0DED7F63" w14:textId="77777777" w:rsidR="00825AF4" w:rsidRDefault="00825AF4" w:rsidP="007C1323">
            <w:pPr>
              <w:spacing w:line="240" w:lineRule="auto"/>
              <w:jc w:val="center"/>
            </w:pPr>
            <w:r>
              <w:t>(%)</w:t>
            </w:r>
          </w:p>
        </w:tc>
        <w:tc>
          <w:tcPr>
            <w:tcW w:w="1520" w:type="dxa"/>
            <w:tcBorders>
              <w:top w:val="nil"/>
              <w:left w:val="nil"/>
              <w:bottom w:val="single" w:sz="4" w:space="0" w:color="auto"/>
              <w:right w:val="nil"/>
            </w:tcBorders>
            <w:vAlign w:val="center"/>
          </w:tcPr>
          <w:p w14:paraId="6B3CAFE3" w14:textId="77777777" w:rsidR="00825AF4" w:rsidRDefault="00825AF4" w:rsidP="007C1323">
            <w:pPr>
              <w:spacing w:line="240" w:lineRule="auto"/>
              <w:jc w:val="center"/>
            </w:pPr>
            <w:r>
              <w:t>(mg/L)</w:t>
            </w:r>
          </w:p>
        </w:tc>
        <w:tc>
          <w:tcPr>
            <w:tcW w:w="1520" w:type="dxa"/>
            <w:tcBorders>
              <w:top w:val="nil"/>
              <w:left w:val="nil"/>
              <w:bottom w:val="single" w:sz="4" w:space="0" w:color="auto"/>
              <w:right w:val="nil"/>
            </w:tcBorders>
            <w:vAlign w:val="center"/>
          </w:tcPr>
          <w:p w14:paraId="123476C7" w14:textId="77777777" w:rsidR="00825AF4" w:rsidRDefault="00825AF4" w:rsidP="007C1323">
            <w:pPr>
              <w:spacing w:line="240" w:lineRule="auto"/>
              <w:jc w:val="center"/>
            </w:pPr>
            <w:r>
              <w:t>(mg/L)</w:t>
            </w:r>
          </w:p>
        </w:tc>
      </w:tr>
      <w:tr w:rsidR="00825AF4" w:rsidRPr="0041408A" w14:paraId="08310872" w14:textId="77777777" w:rsidTr="007C1323">
        <w:trPr>
          <w:trHeight w:val="720"/>
          <w:jc w:val="center"/>
        </w:trPr>
        <w:tc>
          <w:tcPr>
            <w:tcW w:w="1522" w:type="dxa"/>
            <w:tcBorders>
              <w:top w:val="nil"/>
              <w:left w:val="nil"/>
              <w:right w:val="nil"/>
            </w:tcBorders>
            <w:shd w:val="clear" w:color="auto" w:fill="auto"/>
            <w:noWrap/>
            <w:vAlign w:val="center"/>
          </w:tcPr>
          <w:p w14:paraId="59EE4B22" w14:textId="77777777" w:rsidR="00825AF4" w:rsidRPr="00007259" w:rsidRDefault="00825AF4" w:rsidP="007C1323">
            <w:pPr>
              <w:spacing w:line="240" w:lineRule="auto"/>
              <w:jc w:val="center"/>
              <w:rPr>
                <w:rFonts w:eastAsia="Times New Roman" w:cs="Times New Roman"/>
                <w:szCs w:val="24"/>
              </w:rPr>
            </w:pPr>
            <w:r w:rsidRPr="00007259">
              <w:rPr>
                <w:rFonts w:eastAsia="Times New Roman" w:cs="Times New Roman"/>
                <w:szCs w:val="24"/>
              </w:rPr>
              <w:t>FW22</w:t>
            </w:r>
            <w:r>
              <w:rPr>
                <w:rFonts w:eastAsia="Times New Roman" w:cs="Times New Roman"/>
                <w:szCs w:val="24"/>
              </w:rPr>
              <w:t>2</w:t>
            </w:r>
          </w:p>
        </w:tc>
        <w:tc>
          <w:tcPr>
            <w:tcW w:w="1753" w:type="dxa"/>
            <w:tcBorders>
              <w:top w:val="nil"/>
              <w:left w:val="nil"/>
              <w:right w:val="nil"/>
            </w:tcBorders>
            <w:vAlign w:val="center"/>
          </w:tcPr>
          <w:p w14:paraId="25C540EE" w14:textId="77777777" w:rsidR="00825AF4" w:rsidRPr="00CE3274" w:rsidRDefault="00825AF4" w:rsidP="007C1323">
            <w:pPr>
              <w:spacing w:line="240" w:lineRule="auto"/>
              <w:jc w:val="center"/>
            </w:pPr>
            <w:r>
              <w:t>6</w:t>
            </w:r>
            <w:r w:rsidRPr="00DA3683">
              <w:t>.</w:t>
            </w:r>
            <w:r>
              <w:t>9x10</w:t>
            </w:r>
            <w:r w:rsidRPr="004D764C">
              <w:rPr>
                <w:vertAlign w:val="superscript"/>
              </w:rPr>
              <w:t>-6</w:t>
            </w:r>
          </w:p>
        </w:tc>
        <w:tc>
          <w:tcPr>
            <w:tcW w:w="1521" w:type="dxa"/>
            <w:tcBorders>
              <w:top w:val="nil"/>
              <w:left w:val="nil"/>
              <w:right w:val="nil"/>
            </w:tcBorders>
            <w:vAlign w:val="center"/>
          </w:tcPr>
          <w:p w14:paraId="1B58B252" w14:textId="77777777" w:rsidR="00825AF4" w:rsidRPr="00CE3274" w:rsidRDefault="00825AF4" w:rsidP="007C1323">
            <w:pPr>
              <w:spacing w:line="240" w:lineRule="auto"/>
              <w:jc w:val="center"/>
            </w:pPr>
            <w:r>
              <w:t>3.3</w:t>
            </w:r>
          </w:p>
        </w:tc>
        <w:tc>
          <w:tcPr>
            <w:tcW w:w="1520" w:type="dxa"/>
            <w:tcBorders>
              <w:top w:val="nil"/>
              <w:left w:val="nil"/>
              <w:right w:val="nil"/>
            </w:tcBorders>
            <w:vAlign w:val="center"/>
          </w:tcPr>
          <w:p w14:paraId="34BDAEAF" w14:textId="77777777" w:rsidR="00825AF4" w:rsidRDefault="00825AF4" w:rsidP="007C1323">
            <w:pPr>
              <w:spacing w:line="240" w:lineRule="auto"/>
              <w:jc w:val="center"/>
            </w:pPr>
            <w:r>
              <w:t>6.2</w:t>
            </w:r>
          </w:p>
        </w:tc>
        <w:tc>
          <w:tcPr>
            <w:tcW w:w="1520" w:type="dxa"/>
            <w:tcBorders>
              <w:top w:val="nil"/>
              <w:left w:val="nil"/>
              <w:right w:val="nil"/>
            </w:tcBorders>
            <w:vAlign w:val="center"/>
          </w:tcPr>
          <w:p w14:paraId="6BE34092" w14:textId="77777777" w:rsidR="00825AF4" w:rsidRPr="00DA3683" w:rsidRDefault="00825AF4" w:rsidP="007C1323">
            <w:pPr>
              <w:spacing w:line="240" w:lineRule="auto"/>
              <w:jc w:val="center"/>
            </w:pPr>
            <w:r>
              <w:t>9.6</w:t>
            </w:r>
          </w:p>
        </w:tc>
      </w:tr>
      <w:tr w:rsidR="00825AF4" w:rsidRPr="0041408A" w14:paraId="5B4C7DEF" w14:textId="77777777" w:rsidTr="007C1323">
        <w:trPr>
          <w:trHeight w:val="720"/>
          <w:jc w:val="center"/>
        </w:trPr>
        <w:tc>
          <w:tcPr>
            <w:tcW w:w="1522" w:type="dxa"/>
            <w:tcBorders>
              <w:top w:val="nil"/>
              <w:left w:val="nil"/>
              <w:bottom w:val="single" w:sz="4" w:space="0" w:color="auto"/>
              <w:right w:val="nil"/>
            </w:tcBorders>
            <w:shd w:val="clear" w:color="auto" w:fill="auto"/>
            <w:noWrap/>
            <w:vAlign w:val="center"/>
          </w:tcPr>
          <w:p w14:paraId="5C1DA400" w14:textId="77777777" w:rsidR="00825AF4" w:rsidRPr="00007259" w:rsidRDefault="00825AF4" w:rsidP="007C1323">
            <w:pPr>
              <w:spacing w:line="240" w:lineRule="auto"/>
              <w:jc w:val="center"/>
              <w:rPr>
                <w:rFonts w:eastAsia="Times New Roman" w:cs="Times New Roman"/>
                <w:szCs w:val="24"/>
              </w:rPr>
            </w:pPr>
            <w:r w:rsidRPr="00007259">
              <w:rPr>
                <w:rFonts w:eastAsia="Times New Roman" w:cs="Times New Roman"/>
                <w:szCs w:val="24"/>
              </w:rPr>
              <w:t>FW22</w:t>
            </w:r>
            <w:r>
              <w:rPr>
                <w:rFonts w:eastAsia="Times New Roman" w:cs="Times New Roman"/>
                <w:szCs w:val="24"/>
              </w:rPr>
              <w:t>4</w:t>
            </w:r>
          </w:p>
        </w:tc>
        <w:tc>
          <w:tcPr>
            <w:tcW w:w="1753" w:type="dxa"/>
            <w:tcBorders>
              <w:top w:val="nil"/>
              <w:left w:val="nil"/>
              <w:bottom w:val="single" w:sz="4" w:space="0" w:color="auto"/>
              <w:right w:val="nil"/>
            </w:tcBorders>
            <w:vAlign w:val="center"/>
          </w:tcPr>
          <w:p w14:paraId="782982BE" w14:textId="77777777" w:rsidR="00825AF4" w:rsidRPr="00CE3274" w:rsidRDefault="00825AF4" w:rsidP="007C1323">
            <w:pPr>
              <w:spacing w:line="240" w:lineRule="auto"/>
              <w:jc w:val="center"/>
            </w:pPr>
            <w:r>
              <w:t>1</w:t>
            </w:r>
            <w:r w:rsidRPr="00DA3683">
              <w:t>.</w:t>
            </w:r>
            <w:r>
              <w:t>8x10</w:t>
            </w:r>
            <w:r w:rsidRPr="00591A56">
              <w:rPr>
                <w:vertAlign w:val="superscript"/>
              </w:rPr>
              <w:t>-</w:t>
            </w:r>
            <w:r>
              <w:rPr>
                <w:vertAlign w:val="superscript"/>
              </w:rPr>
              <w:t>5</w:t>
            </w:r>
          </w:p>
        </w:tc>
        <w:tc>
          <w:tcPr>
            <w:tcW w:w="1521" w:type="dxa"/>
            <w:tcBorders>
              <w:top w:val="nil"/>
              <w:left w:val="nil"/>
              <w:bottom w:val="single" w:sz="4" w:space="0" w:color="auto"/>
              <w:right w:val="nil"/>
            </w:tcBorders>
            <w:vAlign w:val="center"/>
          </w:tcPr>
          <w:p w14:paraId="6B899EB1" w14:textId="77777777" w:rsidR="00825AF4" w:rsidRPr="00CE3274" w:rsidRDefault="00825AF4" w:rsidP="007C1323">
            <w:pPr>
              <w:spacing w:line="240" w:lineRule="auto"/>
              <w:jc w:val="center"/>
            </w:pPr>
            <w:r>
              <w:t>2.9</w:t>
            </w:r>
          </w:p>
        </w:tc>
        <w:tc>
          <w:tcPr>
            <w:tcW w:w="1520" w:type="dxa"/>
            <w:tcBorders>
              <w:top w:val="nil"/>
              <w:left w:val="nil"/>
              <w:bottom w:val="single" w:sz="4" w:space="0" w:color="auto"/>
              <w:right w:val="nil"/>
            </w:tcBorders>
            <w:vAlign w:val="center"/>
          </w:tcPr>
          <w:p w14:paraId="1999ED41" w14:textId="77777777" w:rsidR="00825AF4" w:rsidRPr="00117DF4" w:rsidRDefault="00825AF4" w:rsidP="007C1323">
            <w:pPr>
              <w:spacing w:line="240" w:lineRule="auto"/>
              <w:jc w:val="center"/>
            </w:pPr>
            <w:r>
              <w:t>6.2</w:t>
            </w:r>
          </w:p>
        </w:tc>
        <w:tc>
          <w:tcPr>
            <w:tcW w:w="1520" w:type="dxa"/>
            <w:tcBorders>
              <w:top w:val="nil"/>
              <w:left w:val="nil"/>
              <w:bottom w:val="single" w:sz="4" w:space="0" w:color="auto"/>
              <w:right w:val="nil"/>
            </w:tcBorders>
            <w:vAlign w:val="center"/>
          </w:tcPr>
          <w:p w14:paraId="412FA151" w14:textId="77777777" w:rsidR="00825AF4" w:rsidRPr="00DA3683" w:rsidRDefault="00825AF4" w:rsidP="007C1323">
            <w:pPr>
              <w:spacing w:line="240" w:lineRule="auto"/>
              <w:jc w:val="center"/>
            </w:pPr>
            <w:r>
              <w:t>9.6</w:t>
            </w:r>
          </w:p>
        </w:tc>
      </w:tr>
    </w:tbl>
    <w:p w14:paraId="20882E0A" w14:textId="77777777" w:rsidR="00825AF4" w:rsidRDefault="00825AF4" w:rsidP="00825AF4"/>
    <w:p w14:paraId="235B04E9" w14:textId="77777777" w:rsidR="00825AF4" w:rsidRPr="00825AF4" w:rsidRDefault="00825AF4" w:rsidP="00825AF4"/>
    <w:p w14:paraId="75D818DC" w14:textId="77777777" w:rsidR="004E4BBF" w:rsidRDefault="004E4BBF" w:rsidP="004E4BBF">
      <w:pPr>
        <w:jc w:val="both"/>
      </w:pPr>
    </w:p>
    <w:p w14:paraId="7E3EB54A" w14:textId="77777777" w:rsidR="004E4BBF" w:rsidRDefault="004E4BBF" w:rsidP="004E4BBF">
      <w:pPr>
        <w:jc w:val="both"/>
      </w:pPr>
    </w:p>
    <w:p w14:paraId="46BDE460" w14:textId="77777777" w:rsidR="004E4BBF" w:rsidRDefault="004E4BBF" w:rsidP="004E4BBF">
      <w:pPr>
        <w:jc w:val="both"/>
      </w:pPr>
    </w:p>
    <w:p w14:paraId="7DEF0087" w14:textId="77777777" w:rsidR="004E4BBF" w:rsidRDefault="004E4BBF" w:rsidP="004E4BBF">
      <w:pPr>
        <w:jc w:val="both"/>
      </w:pPr>
    </w:p>
    <w:p w14:paraId="54F42A16" w14:textId="77777777" w:rsidR="004E4BBF" w:rsidRDefault="004E4BBF" w:rsidP="004E4BBF">
      <w:pPr>
        <w:jc w:val="both"/>
      </w:pPr>
    </w:p>
    <w:p w14:paraId="35FF6F53" w14:textId="77777777" w:rsidR="004E4BBF" w:rsidRDefault="004E4BBF" w:rsidP="004E4BBF">
      <w:pPr>
        <w:jc w:val="both"/>
      </w:pPr>
    </w:p>
    <w:p w14:paraId="235E9B1F" w14:textId="77777777" w:rsidR="004E4BBF" w:rsidRDefault="004E4BBF" w:rsidP="004E4BBF">
      <w:pPr>
        <w:jc w:val="both"/>
      </w:pPr>
    </w:p>
    <w:p w14:paraId="7F71B12D" w14:textId="77777777" w:rsidR="004E4BBF" w:rsidRDefault="004E4BBF" w:rsidP="004E4BBF">
      <w:pPr>
        <w:jc w:val="both"/>
      </w:pPr>
    </w:p>
    <w:p w14:paraId="47A6FF09" w14:textId="77777777" w:rsidR="004E4BBF" w:rsidRDefault="004E4BBF" w:rsidP="004E4BBF">
      <w:pPr>
        <w:jc w:val="both"/>
      </w:pPr>
    </w:p>
    <w:p w14:paraId="6C92E77D" w14:textId="77777777" w:rsidR="004E4BBF" w:rsidRDefault="004E4BBF" w:rsidP="004E4BBF">
      <w:pPr>
        <w:jc w:val="both"/>
      </w:pPr>
    </w:p>
    <w:p w14:paraId="5AC7A3D7" w14:textId="77777777" w:rsidR="004E4BBF" w:rsidRDefault="004E4BBF" w:rsidP="004E4BBF">
      <w:pPr>
        <w:jc w:val="both"/>
      </w:pPr>
    </w:p>
    <w:p w14:paraId="37E54BA5" w14:textId="77777777" w:rsidR="004E4BBF" w:rsidRDefault="004E4BBF" w:rsidP="004E4BBF">
      <w:pPr>
        <w:jc w:val="both"/>
      </w:pPr>
    </w:p>
    <w:p w14:paraId="7293B8ED" w14:textId="77777777" w:rsidR="004E4BBF" w:rsidRDefault="004E4BBF" w:rsidP="004E4BBF">
      <w:pPr>
        <w:jc w:val="both"/>
      </w:pPr>
    </w:p>
    <w:p w14:paraId="282A60F3" w14:textId="77777777" w:rsidR="00492BA7" w:rsidRDefault="00492BA7" w:rsidP="00492BA7"/>
    <w:p w14:paraId="7CD5FFB3" w14:textId="77777777" w:rsidR="00956B8A" w:rsidRDefault="00F04A64" w:rsidP="00956B8A">
      <w:pPr>
        <w:pStyle w:val="Heading3"/>
      </w:pPr>
      <w:bookmarkStart w:id="184" w:name="_Toc498505071"/>
      <w:r>
        <w:lastRenderedPageBreak/>
        <w:t>5.3.2.</w:t>
      </w:r>
      <w:r>
        <w:tab/>
      </w:r>
      <w:r w:rsidR="00664C0E">
        <w:t>Substrate e</w:t>
      </w:r>
      <w:r w:rsidR="00956B8A">
        <w:t>xposure tests</w:t>
      </w:r>
      <w:bookmarkEnd w:id="184"/>
    </w:p>
    <w:p w14:paraId="38BF636C" w14:textId="77777777" w:rsidR="00664C0E" w:rsidRDefault="00664C0E" w:rsidP="007B3BA5">
      <w:pPr>
        <w:ind w:firstLine="720"/>
      </w:pPr>
      <w:r w:rsidRPr="00664C0E">
        <w:t xml:space="preserve">Exposure tests were conducted using the single-well push-pull test method (Istok 2013). During a push-pull test, a volume of water which contains a known mass of one or more non-reactive and reactive tracers is injected into and then extracted from a single groundwater monitoring well. The concentrations of the tracers and potential byproducts are then analyzed versus the volume extracted and/or time elapsed, i.e., breakthrough curves, to characterize the fate, transport, and reactivity processes within the groundwater system. The stepwise mixing model (SWiMM) by Paradis et al. (2017a) can be used to compare the model-derived breakthrough curves, as predicted by non-reactive mixing of the injection and aquifer fluids, versus the data-derived breakthrough curves. The comparison of the predicted versus the measured breakthrough curves can characterize the microbial-mediated activity. The single-well push-pull test method and analysis described here has been successfully utilized at the study site in previous studies (Paradis et al. 2017a; Paradis et al. 2016; Paradis et al. 2017b). </w:t>
      </w:r>
    </w:p>
    <w:p w14:paraId="21560792" w14:textId="63505C43" w:rsidR="00664C0E" w:rsidRDefault="00664C0E" w:rsidP="00664C0E">
      <w:pPr>
        <w:ind w:firstLine="720"/>
      </w:pPr>
      <w:r w:rsidRPr="00664C0E">
        <w:t>For this study, a volume of groundwater (5 to 40 L) was collected from up-gradient well FW229 (</w:t>
      </w:r>
      <w:r w:rsidR="0077468C">
        <w:fldChar w:fldCharType="begin"/>
      </w:r>
      <w:r w:rsidR="0077468C">
        <w:instrText xml:space="preserve"> REF _Ref487024241 \h </w:instrText>
      </w:r>
      <w:r w:rsidR="0077468C">
        <w:fldChar w:fldCharType="separate"/>
      </w:r>
      <w:r w:rsidR="0077468C">
        <w:t xml:space="preserve">Figure </w:t>
      </w:r>
      <w:r w:rsidR="0077468C">
        <w:rPr>
          <w:noProof/>
        </w:rPr>
        <w:t>5</w:t>
      </w:r>
      <w:r w:rsidR="0077468C">
        <w:t>.</w:t>
      </w:r>
      <w:r w:rsidR="0077468C">
        <w:rPr>
          <w:noProof/>
        </w:rPr>
        <w:t>1</w:t>
      </w:r>
      <w:r w:rsidR="0077468C">
        <w:fldChar w:fldCharType="end"/>
      </w:r>
      <w:r w:rsidRPr="00664C0E">
        <w:t>) using a peristaltic pump and stored in a plastic carboy. A mass of potassium bromide (KBr) (Sigma-Aldrich) and ethanol (C2H6O) (Sigma-Aldrich) was added to the injection solution and mixed by re-circulation using a peristaltic pump for a target concentration of 200 mg/L bromide and 200 mg/L ethanol. Bromide was added as a non-reactive tracer whereas ethanol was added as a reactive tracer. The addition of ethanol at the study site was previously shown to serve as a substrate, i.e., a carbon and electron donor source, to stimulate microbial-mediated transformations, i.e., reduction, of nitrate, uranium, and sulfate (Paradis et al. 2016). The injection solution was then injected into the test well, followed by a 20-min resting period, and then periodically sampled over the course of four hours. Immediately prior to, and</w:t>
      </w:r>
      <w:r>
        <w:t xml:space="preserve"> </w:t>
      </w:r>
      <w:r w:rsidRPr="00664C0E">
        <w:lastRenderedPageBreak/>
        <w:t xml:space="preserve">after mixing of the injection solution, three samples were collected, filtered (0.2 </w:t>
      </w:r>
      <w:proofErr w:type="spellStart"/>
      <w:r w:rsidRPr="00664C0E">
        <w:t>μm</w:t>
      </w:r>
      <w:proofErr w:type="spellEnd"/>
      <w:r w:rsidRPr="00664C0E">
        <w:t xml:space="preserve"> filter), stored in 20 mL scintillation vials, preserved at 4°C, and promptly analyzed for bromide, nitrate, sulfate, and acetate by ion chromatography (</w:t>
      </w:r>
      <w:proofErr w:type="spellStart"/>
      <w:r w:rsidRPr="00664C0E">
        <w:t>Dionex</w:t>
      </w:r>
      <w:proofErr w:type="spellEnd"/>
      <w:r w:rsidRPr="00664C0E">
        <w:t xml:space="preserve"> ICS-5000+) and for ethanol by gas chromatography (Agilent 6890). Acetate was previously shown to be the predominant metabolite of microbial-mediated oxidation of ethanol under anaerobic conditions from sediments collected within Area 2 at the OR-IFRC (</w:t>
      </w:r>
      <w:proofErr w:type="spellStart"/>
      <w:r w:rsidRPr="00664C0E">
        <w:t>Jin</w:t>
      </w:r>
      <w:proofErr w:type="spellEnd"/>
      <w:r w:rsidRPr="00664C0E">
        <w:t xml:space="preserve"> and </w:t>
      </w:r>
      <w:proofErr w:type="spellStart"/>
      <w:r w:rsidRPr="00664C0E">
        <w:t>Roden</w:t>
      </w:r>
      <w:proofErr w:type="spellEnd"/>
      <w:r w:rsidRPr="00664C0E">
        <w:t xml:space="preserve"> 2011). Three samples were also collected from the injection well immediately prior to injection and analyzed</w:t>
      </w:r>
      <w:r w:rsidR="000A5750">
        <w:t xml:space="preserve">. </w:t>
      </w:r>
    </w:p>
    <w:p w14:paraId="7C6D1DA3" w14:textId="77777777" w:rsidR="00956B8A" w:rsidRDefault="00664C0E" w:rsidP="004E4BBF">
      <w:pPr>
        <w:jc w:val="both"/>
      </w:pPr>
      <w:r>
        <w:tab/>
      </w:r>
      <w:r w:rsidRPr="00664C0E">
        <w:t>A series of seven exposure tests were conducted in test well FW222 (substrate treatment) and one exposure test was conducted in test well FW224 (substrate control) (</w:t>
      </w:r>
      <w:r w:rsidR="0077468C">
        <w:fldChar w:fldCharType="begin"/>
      </w:r>
      <w:r w:rsidR="0077468C">
        <w:instrText xml:space="preserve"> REF _Ref487024490 \h </w:instrText>
      </w:r>
      <w:r w:rsidR="0077468C">
        <w:fldChar w:fldCharType="separate"/>
      </w:r>
      <w:r w:rsidR="0077468C">
        <w:t xml:space="preserve">Table </w:t>
      </w:r>
      <w:r w:rsidR="0077468C">
        <w:rPr>
          <w:noProof/>
        </w:rPr>
        <w:t>5</w:t>
      </w:r>
      <w:r w:rsidR="0077468C">
        <w:t>.</w:t>
      </w:r>
      <w:r w:rsidR="0077468C">
        <w:rPr>
          <w:noProof/>
        </w:rPr>
        <w:t>2</w:t>
      </w:r>
      <w:r w:rsidR="0077468C">
        <w:fldChar w:fldCharType="end"/>
      </w:r>
      <w:r w:rsidRPr="00664C0E">
        <w:t>). The treatment was exposed to ethanol for six consecutive weeks (weeks two through seven) followed by six consecutive weeks (weeks eight through thirteen) of no exposure to ethanol (</w:t>
      </w:r>
      <w:r w:rsidR="0077468C">
        <w:fldChar w:fldCharType="begin"/>
      </w:r>
      <w:r w:rsidR="0077468C">
        <w:instrText xml:space="preserve"> REF _Ref487024490 \h </w:instrText>
      </w:r>
      <w:r w:rsidR="0077468C">
        <w:fldChar w:fldCharType="separate"/>
      </w:r>
      <w:r w:rsidR="0077468C">
        <w:t xml:space="preserve">Table </w:t>
      </w:r>
      <w:r w:rsidR="0077468C">
        <w:rPr>
          <w:noProof/>
        </w:rPr>
        <w:t>5</w:t>
      </w:r>
      <w:r w:rsidR="0077468C">
        <w:t>.</w:t>
      </w:r>
      <w:r w:rsidR="0077468C">
        <w:rPr>
          <w:noProof/>
        </w:rPr>
        <w:t>2</w:t>
      </w:r>
      <w:r w:rsidR="0077468C">
        <w:fldChar w:fldCharType="end"/>
      </w:r>
      <w:r w:rsidRPr="00664C0E">
        <w:t>). During week fourteen, both the substrate treatment and substrate control were exposed to ethanol (</w:t>
      </w:r>
      <w:r w:rsidR="0077468C">
        <w:fldChar w:fldCharType="begin"/>
      </w:r>
      <w:r w:rsidR="0077468C">
        <w:instrText xml:space="preserve"> REF _Ref487024490 \h </w:instrText>
      </w:r>
      <w:r w:rsidR="0077468C">
        <w:fldChar w:fldCharType="separate"/>
      </w:r>
      <w:r w:rsidR="0077468C">
        <w:t xml:space="preserve">Table </w:t>
      </w:r>
      <w:r w:rsidR="0077468C">
        <w:rPr>
          <w:noProof/>
        </w:rPr>
        <w:t>5</w:t>
      </w:r>
      <w:r w:rsidR="0077468C">
        <w:t>.</w:t>
      </w:r>
      <w:r w:rsidR="0077468C">
        <w:rPr>
          <w:noProof/>
        </w:rPr>
        <w:t>2</w:t>
      </w:r>
      <w:r w:rsidR="0077468C">
        <w:fldChar w:fldCharType="end"/>
      </w:r>
      <w:r w:rsidRPr="00664C0E">
        <w:t>). The exposure tests allowed for comparing the effects of exposure history (substrate treatment) versus no exposure history (substrate control) in terms of microbial mediated transformations of substrates, e.g., ethanol, nitrate, and sulfate, in groundwater. The breakthrough curves of bromide, ethanol, acetate, nitrate, and sulfate, were analyzed according to the methodology of Paradis et al. (2017a) to characterize the microbial-mediated activity within the groundwater system</w:t>
      </w:r>
      <w:r>
        <w:t>.</w:t>
      </w:r>
    </w:p>
    <w:p w14:paraId="0116FFDD" w14:textId="77777777" w:rsidR="00664C0E" w:rsidRDefault="00664C0E" w:rsidP="004E4BBF">
      <w:pPr>
        <w:jc w:val="both"/>
      </w:pPr>
    </w:p>
    <w:p w14:paraId="6A626852" w14:textId="77777777" w:rsidR="00664C0E" w:rsidRDefault="00664C0E" w:rsidP="004E4BBF">
      <w:pPr>
        <w:jc w:val="both"/>
      </w:pPr>
    </w:p>
    <w:p w14:paraId="5C4903FB" w14:textId="77777777" w:rsidR="00664C0E" w:rsidRDefault="00664C0E" w:rsidP="004E4BBF">
      <w:pPr>
        <w:jc w:val="both"/>
      </w:pPr>
    </w:p>
    <w:p w14:paraId="782A9297" w14:textId="77777777" w:rsidR="00664C0E" w:rsidRDefault="00664C0E" w:rsidP="004E4BBF">
      <w:pPr>
        <w:jc w:val="both"/>
      </w:pPr>
    </w:p>
    <w:p w14:paraId="1446A5F7" w14:textId="77777777" w:rsidR="00664C0E" w:rsidRDefault="00664C0E" w:rsidP="004E4BBF">
      <w:pPr>
        <w:jc w:val="both"/>
      </w:pPr>
    </w:p>
    <w:p w14:paraId="7559B8FD" w14:textId="77777777" w:rsidR="004E4BBF" w:rsidRDefault="00982FF1" w:rsidP="00982FF1">
      <w:pPr>
        <w:pStyle w:val="Caption"/>
        <w:rPr>
          <w:b w:val="0"/>
        </w:rPr>
      </w:pPr>
      <w:bookmarkStart w:id="185" w:name="_Ref487024490"/>
      <w:bookmarkStart w:id="186" w:name="_Toc498504890"/>
      <w:r>
        <w:lastRenderedPageBreak/>
        <w:t xml:space="preserve">Table </w:t>
      </w:r>
      <w:r w:rsidR="00CA2C3C">
        <w:fldChar w:fldCharType="begin"/>
      </w:r>
      <w:r w:rsidR="00CA2C3C">
        <w:instrText xml:space="preserve"> STYLEREF 1 \s </w:instrText>
      </w:r>
      <w:r w:rsidR="00CA2C3C">
        <w:fldChar w:fldCharType="separate"/>
      </w:r>
      <w:r w:rsidR="002105EE">
        <w:rPr>
          <w:noProof/>
        </w:rPr>
        <w:t>5</w:t>
      </w:r>
      <w:r w:rsidR="00CA2C3C">
        <w:rPr>
          <w:noProof/>
        </w:rPr>
        <w:fldChar w:fldCharType="end"/>
      </w:r>
      <w:r w:rsidR="002105EE">
        <w:t>.</w:t>
      </w:r>
      <w:r w:rsidR="00CA2C3C">
        <w:fldChar w:fldCharType="begin"/>
      </w:r>
      <w:r w:rsidR="00CA2C3C">
        <w:instrText xml:space="preserve"> SEQ Table \* ARABIC \s 1 </w:instrText>
      </w:r>
      <w:r w:rsidR="00CA2C3C">
        <w:fldChar w:fldCharType="separate"/>
      </w:r>
      <w:r w:rsidR="002105EE">
        <w:rPr>
          <w:noProof/>
        </w:rPr>
        <w:t>2</w:t>
      </w:r>
      <w:r w:rsidR="00CA2C3C">
        <w:rPr>
          <w:noProof/>
        </w:rPr>
        <w:fldChar w:fldCharType="end"/>
      </w:r>
      <w:bookmarkEnd w:id="185"/>
      <w:r>
        <w:t xml:space="preserve"> </w:t>
      </w:r>
      <w:r w:rsidR="00664C0E" w:rsidRPr="00664C0E">
        <w:rPr>
          <w:b w:val="0"/>
        </w:rPr>
        <w:t>Experimental design of ethanol exposure tests for substrate treatment (FW222) and substrate control (FW224) wells, EtOH = ethanol</w:t>
      </w:r>
      <w:r w:rsidR="00DD1D4A">
        <w:rPr>
          <w:b w:val="0"/>
        </w:rPr>
        <w:t>.</w:t>
      </w:r>
      <w:bookmarkEnd w:id="186"/>
    </w:p>
    <w:tbl>
      <w:tblPr>
        <w:tblStyle w:val="TableGrid"/>
        <w:tblW w:w="9360" w:type="dxa"/>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3180"/>
        <w:gridCol w:w="2909"/>
        <w:gridCol w:w="3271"/>
      </w:tblGrid>
      <w:tr w:rsidR="007B3BA5" w:rsidRPr="00DC2DE3" w14:paraId="439D3B67" w14:textId="77777777" w:rsidTr="00E2040C">
        <w:trPr>
          <w:trHeight w:val="432"/>
          <w:jc w:val="center"/>
        </w:trPr>
        <w:tc>
          <w:tcPr>
            <w:tcW w:w="3180" w:type="dxa"/>
            <w:tcBorders>
              <w:top w:val="single" w:sz="8" w:space="0" w:color="auto"/>
              <w:bottom w:val="single" w:sz="8" w:space="0" w:color="auto"/>
            </w:tcBorders>
            <w:vAlign w:val="center"/>
          </w:tcPr>
          <w:p w14:paraId="0E1AADF6" w14:textId="77777777" w:rsidR="007B3BA5" w:rsidRPr="00DC2DE3" w:rsidRDefault="007B3BA5" w:rsidP="00E2040C">
            <w:pPr>
              <w:pStyle w:val="NoSpacing"/>
              <w:jc w:val="center"/>
              <w:rPr>
                <w:rFonts w:ascii="Times New Roman" w:hAnsi="Times New Roman" w:cs="Times New Roman"/>
                <w:sz w:val="24"/>
                <w:szCs w:val="24"/>
              </w:rPr>
            </w:pPr>
            <w:r w:rsidRPr="00DC2DE3">
              <w:rPr>
                <w:rFonts w:ascii="Times New Roman" w:hAnsi="Times New Roman" w:cs="Times New Roman"/>
                <w:sz w:val="24"/>
                <w:szCs w:val="24"/>
              </w:rPr>
              <w:t>Week</w:t>
            </w:r>
          </w:p>
        </w:tc>
        <w:tc>
          <w:tcPr>
            <w:tcW w:w="2909" w:type="dxa"/>
            <w:tcBorders>
              <w:top w:val="single" w:sz="8" w:space="0" w:color="auto"/>
              <w:bottom w:val="single" w:sz="8" w:space="0" w:color="auto"/>
            </w:tcBorders>
            <w:vAlign w:val="center"/>
          </w:tcPr>
          <w:p w14:paraId="30906726" w14:textId="77777777" w:rsidR="007B3BA5" w:rsidRPr="00DC2DE3" w:rsidRDefault="007B3BA5" w:rsidP="00E2040C">
            <w:pPr>
              <w:pStyle w:val="NoSpacing"/>
              <w:jc w:val="center"/>
              <w:rPr>
                <w:rFonts w:ascii="Times New Roman" w:hAnsi="Times New Roman" w:cs="Times New Roman"/>
                <w:sz w:val="24"/>
                <w:szCs w:val="24"/>
              </w:rPr>
            </w:pPr>
            <w:r w:rsidRPr="00DC2DE3">
              <w:rPr>
                <w:rFonts w:ascii="Times New Roman" w:hAnsi="Times New Roman" w:cs="Times New Roman"/>
                <w:sz w:val="24"/>
                <w:szCs w:val="24"/>
              </w:rPr>
              <w:t>FW222</w:t>
            </w:r>
          </w:p>
        </w:tc>
        <w:tc>
          <w:tcPr>
            <w:tcW w:w="3271" w:type="dxa"/>
            <w:tcBorders>
              <w:top w:val="single" w:sz="8" w:space="0" w:color="auto"/>
              <w:bottom w:val="single" w:sz="8" w:space="0" w:color="auto"/>
            </w:tcBorders>
            <w:vAlign w:val="center"/>
          </w:tcPr>
          <w:p w14:paraId="2ED1D9CC" w14:textId="77777777" w:rsidR="007B3BA5" w:rsidRPr="00DC2DE3" w:rsidRDefault="007B3BA5" w:rsidP="00E2040C">
            <w:pPr>
              <w:pStyle w:val="NoSpacing"/>
              <w:jc w:val="center"/>
              <w:rPr>
                <w:rFonts w:ascii="Times New Roman" w:hAnsi="Times New Roman" w:cs="Times New Roman"/>
                <w:sz w:val="24"/>
                <w:szCs w:val="24"/>
              </w:rPr>
            </w:pPr>
            <w:r w:rsidRPr="00DC2DE3">
              <w:rPr>
                <w:rFonts w:ascii="Times New Roman" w:hAnsi="Times New Roman" w:cs="Times New Roman"/>
                <w:sz w:val="24"/>
                <w:szCs w:val="24"/>
              </w:rPr>
              <w:t>FW224</w:t>
            </w:r>
          </w:p>
        </w:tc>
      </w:tr>
      <w:tr w:rsidR="007B3BA5" w:rsidRPr="00DC2DE3" w14:paraId="0E39EFC9" w14:textId="77777777" w:rsidTr="00E2040C">
        <w:trPr>
          <w:trHeight w:val="432"/>
          <w:jc w:val="center"/>
        </w:trPr>
        <w:tc>
          <w:tcPr>
            <w:tcW w:w="3180" w:type="dxa"/>
            <w:tcBorders>
              <w:top w:val="nil"/>
              <w:bottom w:val="nil"/>
            </w:tcBorders>
            <w:vAlign w:val="center"/>
          </w:tcPr>
          <w:p w14:paraId="01FCC586" w14:textId="77777777" w:rsidR="007B3BA5" w:rsidRPr="00DC2DE3" w:rsidRDefault="007B3BA5" w:rsidP="00E2040C">
            <w:pPr>
              <w:pStyle w:val="NoSpacing"/>
              <w:jc w:val="center"/>
              <w:rPr>
                <w:rFonts w:ascii="Times New Roman" w:hAnsi="Times New Roman" w:cs="Times New Roman"/>
                <w:sz w:val="24"/>
                <w:szCs w:val="24"/>
              </w:rPr>
            </w:pPr>
            <w:r w:rsidRPr="00DC2DE3">
              <w:rPr>
                <w:rFonts w:ascii="Times New Roman" w:hAnsi="Times New Roman" w:cs="Times New Roman"/>
                <w:sz w:val="24"/>
                <w:szCs w:val="24"/>
              </w:rPr>
              <w:t>01</w:t>
            </w:r>
          </w:p>
        </w:tc>
        <w:tc>
          <w:tcPr>
            <w:tcW w:w="2909" w:type="dxa"/>
            <w:tcBorders>
              <w:top w:val="nil"/>
              <w:bottom w:val="nil"/>
            </w:tcBorders>
            <w:vAlign w:val="center"/>
          </w:tcPr>
          <w:p w14:paraId="593256C2" w14:textId="77777777" w:rsidR="007B3BA5" w:rsidRPr="00DC2DE3" w:rsidRDefault="007B3BA5" w:rsidP="00E2040C">
            <w:pPr>
              <w:pStyle w:val="NoSpacing"/>
              <w:jc w:val="center"/>
              <w:rPr>
                <w:rFonts w:ascii="Times New Roman" w:hAnsi="Times New Roman" w:cs="Times New Roman"/>
                <w:sz w:val="24"/>
                <w:szCs w:val="24"/>
              </w:rPr>
            </w:pPr>
            <w:r w:rsidRPr="00DC2DE3">
              <w:rPr>
                <w:rFonts w:ascii="Times New Roman" w:hAnsi="Times New Roman" w:cs="Times New Roman"/>
                <w:sz w:val="24"/>
                <w:szCs w:val="24"/>
              </w:rPr>
              <w:t>DNA</w:t>
            </w:r>
          </w:p>
        </w:tc>
        <w:tc>
          <w:tcPr>
            <w:tcW w:w="3271" w:type="dxa"/>
            <w:tcBorders>
              <w:top w:val="nil"/>
              <w:bottom w:val="nil"/>
            </w:tcBorders>
            <w:vAlign w:val="center"/>
          </w:tcPr>
          <w:p w14:paraId="7B372957" w14:textId="77777777" w:rsidR="007B3BA5" w:rsidRPr="00DC2DE3" w:rsidRDefault="007B3BA5" w:rsidP="00E2040C">
            <w:pPr>
              <w:pStyle w:val="NoSpacing"/>
              <w:jc w:val="center"/>
              <w:rPr>
                <w:rFonts w:ascii="Times New Roman" w:hAnsi="Times New Roman" w:cs="Times New Roman"/>
                <w:sz w:val="24"/>
                <w:szCs w:val="24"/>
              </w:rPr>
            </w:pPr>
            <w:r w:rsidRPr="00DC2DE3">
              <w:rPr>
                <w:rFonts w:ascii="Times New Roman" w:hAnsi="Times New Roman" w:cs="Times New Roman"/>
                <w:sz w:val="24"/>
                <w:szCs w:val="24"/>
              </w:rPr>
              <w:t>DNA</w:t>
            </w:r>
          </w:p>
        </w:tc>
      </w:tr>
      <w:tr w:rsidR="007B3BA5" w:rsidRPr="00DC2DE3" w14:paraId="0C407E7F" w14:textId="77777777" w:rsidTr="00E2040C">
        <w:trPr>
          <w:trHeight w:val="432"/>
          <w:jc w:val="center"/>
        </w:trPr>
        <w:tc>
          <w:tcPr>
            <w:tcW w:w="3180" w:type="dxa"/>
            <w:tcBorders>
              <w:top w:val="nil"/>
              <w:bottom w:val="nil"/>
            </w:tcBorders>
            <w:vAlign w:val="center"/>
          </w:tcPr>
          <w:p w14:paraId="5FB0AB30" w14:textId="77777777" w:rsidR="007B3BA5" w:rsidRPr="00DC2DE3" w:rsidRDefault="007B3BA5" w:rsidP="00E2040C">
            <w:pPr>
              <w:pStyle w:val="NoSpacing"/>
              <w:jc w:val="center"/>
              <w:rPr>
                <w:rFonts w:ascii="Times New Roman" w:hAnsi="Times New Roman" w:cs="Times New Roman"/>
                <w:sz w:val="24"/>
                <w:szCs w:val="24"/>
              </w:rPr>
            </w:pPr>
            <w:r w:rsidRPr="00DC2DE3">
              <w:rPr>
                <w:rFonts w:ascii="Times New Roman" w:hAnsi="Times New Roman" w:cs="Times New Roman"/>
                <w:sz w:val="24"/>
                <w:szCs w:val="24"/>
              </w:rPr>
              <w:t>02</w:t>
            </w:r>
          </w:p>
        </w:tc>
        <w:tc>
          <w:tcPr>
            <w:tcW w:w="2909" w:type="dxa"/>
            <w:tcBorders>
              <w:top w:val="nil"/>
              <w:bottom w:val="nil"/>
            </w:tcBorders>
            <w:vAlign w:val="center"/>
          </w:tcPr>
          <w:p w14:paraId="17A440FC" w14:textId="77777777" w:rsidR="007B3BA5" w:rsidRPr="00DC2DE3" w:rsidRDefault="007B3BA5" w:rsidP="00E2040C">
            <w:pPr>
              <w:pStyle w:val="NoSpacing"/>
              <w:jc w:val="center"/>
              <w:rPr>
                <w:rFonts w:ascii="Times New Roman" w:hAnsi="Times New Roman" w:cs="Times New Roman"/>
                <w:sz w:val="24"/>
                <w:szCs w:val="24"/>
              </w:rPr>
            </w:pPr>
            <w:r w:rsidRPr="00DC2DE3">
              <w:rPr>
                <w:rFonts w:ascii="Times New Roman" w:hAnsi="Times New Roman" w:cs="Times New Roman"/>
                <w:sz w:val="24"/>
                <w:szCs w:val="24"/>
              </w:rPr>
              <w:t>EtOH 1</w:t>
            </w:r>
          </w:p>
        </w:tc>
        <w:tc>
          <w:tcPr>
            <w:tcW w:w="3271" w:type="dxa"/>
            <w:tcBorders>
              <w:top w:val="nil"/>
              <w:bottom w:val="nil"/>
            </w:tcBorders>
            <w:vAlign w:val="center"/>
          </w:tcPr>
          <w:p w14:paraId="135DB048" w14:textId="77777777" w:rsidR="007B3BA5" w:rsidRPr="00DC2DE3" w:rsidRDefault="007B3BA5" w:rsidP="00E2040C">
            <w:pPr>
              <w:pStyle w:val="NoSpacing"/>
              <w:jc w:val="center"/>
              <w:rPr>
                <w:rFonts w:ascii="Times New Roman" w:hAnsi="Times New Roman" w:cs="Times New Roman"/>
                <w:sz w:val="24"/>
                <w:szCs w:val="24"/>
              </w:rPr>
            </w:pPr>
            <w:r w:rsidRPr="00DC2DE3">
              <w:rPr>
                <w:rFonts w:ascii="Times New Roman" w:hAnsi="Times New Roman" w:cs="Times New Roman"/>
                <w:sz w:val="24"/>
                <w:szCs w:val="24"/>
              </w:rPr>
              <w:t>-</w:t>
            </w:r>
          </w:p>
        </w:tc>
      </w:tr>
      <w:tr w:rsidR="007B3BA5" w:rsidRPr="00DC2DE3" w14:paraId="15A747FC" w14:textId="77777777" w:rsidTr="00E2040C">
        <w:trPr>
          <w:trHeight w:val="432"/>
          <w:jc w:val="center"/>
        </w:trPr>
        <w:tc>
          <w:tcPr>
            <w:tcW w:w="3180" w:type="dxa"/>
            <w:tcBorders>
              <w:top w:val="nil"/>
              <w:bottom w:val="nil"/>
            </w:tcBorders>
            <w:vAlign w:val="center"/>
          </w:tcPr>
          <w:p w14:paraId="2141746D" w14:textId="77777777" w:rsidR="007B3BA5" w:rsidRPr="00DC2DE3" w:rsidRDefault="007B3BA5" w:rsidP="00E2040C">
            <w:pPr>
              <w:pStyle w:val="NoSpacing"/>
              <w:jc w:val="center"/>
              <w:rPr>
                <w:rFonts w:ascii="Times New Roman" w:hAnsi="Times New Roman" w:cs="Times New Roman"/>
                <w:sz w:val="24"/>
                <w:szCs w:val="24"/>
              </w:rPr>
            </w:pPr>
            <w:r w:rsidRPr="00DC2DE3">
              <w:rPr>
                <w:rFonts w:ascii="Times New Roman" w:hAnsi="Times New Roman" w:cs="Times New Roman"/>
                <w:sz w:val="24"/>
                <w:szCs w:val="24"/>
              </w:rPr>
              <w:t>03</w:t>
            </w:r>
          </w:p>
        </w:tc>
        <w:tc>
          <w:tcPr>
            <w:tcW w:w="2909" w:type="dxa"/>
            <w:tcBorders>
              <w:top w:val="nil"/>
              <w:bottom w:val="nil"/>
            </w:tcBorders>
            <w:vAlign w:val="center"/>
          </w:tcPr>
          <w:p w14:paraId="671C4C77" w14:textId="77777777" w:rsidR="007B3BA5" w:rsidRPr="00DC2DE3" w:rsidRDefault="007B3BA5" w:rsidP="00E2040C">
            <w:pPr>
              <w:pStyle w:val="NoSpacing"/>
              <w:jc w:val="center"/>
              <w:rPr>
                <w:rFonts w:ascii="Times New Roman" w:hAnsi="Times New Roman" w:cs="Times New Roman"/>
                <w:sz w:val="24"/>
                <w:szCs w:val="24"/>
              </w:rPr>
            </w:pPr>
            <w:r w:rsidRPr="00DC2DE3">
              <w:rPr>
                <w:rFonts w:ascii="Times New Roman" w:hAnsi="Times New Roman" w:cs="Times New Roman"/>
                <w:sz w:val="24"/>
                <w:szCs w:val="24"/>
              </w:rPr>
              <w:t>EtOH 2</w:t>
            </w:r>
          </w:p>
        </w:tc>
        <w:tc>
          <w:tcPr>
            <w:tcW w:w="3271" w:type="dxa"/>
            <w:tcBorders>
              <w:top w:val="nil"/>
              <w:bottom w:val="nil"/>
            </w:tcBorders>
            <w:vAlign w:val="center"/>
          </w:tcPr>
          <w:p w14:paraId="43AE6D63" w14:textId="77777777" w:rsidR="007B3BA5" w:rsidRPr="00DC2DE3" w:rsidRDefault="007B3BA5" w:rsidP="00E2040C">
            <w:pPr>
              <w:pStyle w:val="NoSpacing"/>
              <w:jc w:val="center"/>
              <w:rPr>
                <w:rFonts w:ascii="Times New Roman" w:hAnsi="Times New Roman" w:cs="Times New Roman"/>
                <w:sz w:val="24"/>
                <w:szCs w:val="24"/>
              </w:rPr>
            </w:pPr>
            <w:r w:rsidRPr="00DC2DE3">
              <w:rPr>
                <w:rFonts w:ascii="Times New Roman" w:hAnsi="Times New Roman" w:cs="Times New Roman"/>
                <w:sz w:val="24"/>
                <w:szCs w:val="24"/>
              </w:rPr>
              <w:t>-</w:t>
            </w:r>
          </w:p>
        </w:tc>
      </w:tr>
      <w:tr w:rsidR="007B3BA5" w:rsidRPr="00DC2DE3" w14:paraId="24085FE5" w14:textId="77777777" w:rsidTr="00E2040C">
        <w:trPr>
          <w:trHeight w:val="432"/>
          <w:jc w:val="center"/>
        </w:trPr>
        <w:tc>
          <w:tcPr>
            <w:tcW w:w="3180" w:type="dxa"/>
            <w:tcBorders>
              <w:top w:val="nil"/>
              <w:bottom w:val="nil"/>
            </w:tcBorders>
            <w:vAlign w:val="center"/>
          </w:tcPr>
          <w:p w14:paraId="4D8139EE" w14:textId="77777777" w:rsidR="007B3BA5" w:rsidRPr="00DC2DE3" w:rsidRDefault="007B3BA5" w:rsidP="00E2040C">
            <w:pPr>
              <w:pStyle w:val="NoSpacing"/>
              <w:jc w:val="center"/>
              <w:rPr>
                <w:rFonts w:ascii="Times New Roman" w:hAnsi="Times New Roman" w:cs="Times New Roman"/>
                <w:sz w:val="24"/>
                <w:szCs w:val="24"/>
              </w:rPr>
            </w:pPr>
            <w:r w:rsidRPr="00DC2DE3">
              <w:rPr>
                <w:rFonts w:ascii="Times New Roman" w:hAnsi="Times New Roman" w:cs="Times New Roman"/>
                <w:sz w:val="24"/>
                <w:szCs w:val="24"/>
              </w:rPr>
              <w:t>04</w:t>
            </w:r>
          </w:p>
        </w:tc>
        <w:tc>
          <w:tcPr>
            <w:tcW w:w="2909" w:type="dxa"/>
            <w:tcBorders>
              <w:top w:val="nil"/>
              <w:bottom w:val="nil"/>
            </w:tcBorders>
            <w:vAlign w:val="center"/>
          </w:tcPr>
          <w:p w14:paraId="71983FD1" w14:textId="77777777" w:rsidR="007B3BA5" w:rsidRPr="00DC2DE3" w:rsidRDefault="007B3BA5" w:rsidP="00E2040C">
            <w:pPr>
              <w:pStyle w:val="NoSpacing"/>
              <w:jc w:val="center"/>
              <w:rPr>
                <w:rFonts w:ascii="Times New Roman" w:hAnsi="Times New Roman" w:cs="Times New Roman"/>
                <w:sz w:val="24"/>
                <w:szCs w:val="24"/>
              </w:rPr>
            </w:pPr>
            <w:r w:rsidRPr="00DC2DE3">
              <w:rPr>
                <w:rFonts w:ascii="Times New Roman" w:hAnsi="Times New Roman" w:cs="Times New Roman"/>
                <w:sz w:val="24"/>
                <w:szCs w:val="24"/>
              </w:rPr>
              <w:t>EtOH 3, DNA</w:t>
            </w:r>
          </w:p>
        </w:tc>
        <w:tc>
          <w:tcPr>
            <w:tcW w:w="3271" w:type="dxa"/>
            <w:tcBorders>
              <w:top w:val="nil"/>
              <w:bottom w:val="nil"/>
            </w:tcBorders>
            <w:vAlign w:val="center"/>
          </w:tcPr>
          <w:p w14:paraId="78D52564" w14:textId="77777777" w:rsidR="007B3BA5" w:rsidRPr="00DC2DE3" w:rsidRDefault="007B3BA5" w:rsidP="00E2040C">
            <w:pPr>
              <w:pStyle w:val="NoSpacing"/>
              <w:jc w:val="center"/>
              <w:rPr>
                <w:rFonts w:ascii="Times New Roman" w:hAnsi="Times New Roman" w:cs="Times New Roman"/>
                <w:sz w:val="24"/>
                <w:szCs w:val="24"/>
              </w:rPr>
            </w:pPr>
            <w:r w:rsidRPr="00DC2DE3">
              <w:rPr>
                <w:rFonts w:ascii="Times New Roman" w:hAnsi="Times New Roman" w:cs="Times New Roman"/>
                <w:sz w:val="24"/>
                <w:szCs w:val="24"/>
              </w:rPr>
              <w:t>DNA</w:t>
            </w:r>
          </w:p>
        </w:tc>
      </w:tr>
      <w:tr w:rsidR="007B3BA5" w:rsidRPr="00DC2DE3" w14:paraId="713AA5C6" w14:textId="77777777" w:rsidTr="00E2040C">
        <w:trPr>
          <w:trHeight w:val="432"/>
          <w:jc w:val="center"/>
        </w:trPr>
        <w:tc>
          <w:tcPr>
            <w:tcW w:w="3180" w:type="dxa"/>
            <w:tcBorders>
              <w:top w:val="nil"/>
              <w:bottom w:val="nil"/>
            </w:tcBorders>
            <w:vAlign w:val="center"/>
          </w:tcPr>
          <w:p w14:paraId="7053A3B0" w14:textId="77777777" w:rsidR="007B3BA5" w:rsidRPr="00DC2DE3" w:rsidRDefault="007B3BA5" w:rsidP="00E2040C">
            <w:pPr>
              <w:pStyle w:val="NoSpacing"/>
              <w:jc w:val="center"/>
              <w:rPr>
                <w:rFonts w:ascii="Times New Roman" w:hAnsi="Times New Roman" w:cs="Times New Roman"/>
                <w:sz w:val="24"/>
                <w:szCs w:val="24"/>
              </w:rPr>
            </w:pPr>
            <w:r w:rsidRPr="00DC2DE3">
              <w:rPr>
                <w:rFonts w:ascii="Times New Roman" w:hAnsi="Times New Roman" w:cs="Times New Roman"/>
                <w:sz w:val="24"/>
                <w:szCs w:val="24"/>
              </w:rPr>
              <w:t>05</w:t>
            </w:r>
          </w:p>
        </w:tc>
        <w:tc>
          <w:tcPr>
            <w:tcW w:w="2909" w:type="dxa"/>
            <w:tcBorders>
              <w:top w:val="nil"/>
              <w:bottom w:val="nil"/>
            </w:tcBorders>
            <w:vAlign w:val="center"/>
          </w:tcPr>
          <w:p w14:paraId="53BB8C6D" w14:textId="77777777" w:rsidR="007B3BA5" w:rsidRPr="00DC2DE3" w:rsidRDefault="007B3BA5" w:rsidP="00E2040C">
            <w:pPr>
              <w:pStyle w:val="NoSpacing"/>
              <w:jc w:val="center"/>
              <w:rPr>
                <w:rFonts w:ascii="Times New Roman" w:hAnsi="Times New Roman" w:cs="Times New Roman"/>
                <w:sz w:val="24"/>
                <w:szCs w:val="24"/>
              </w:rPr>
            </w:pPr>
            <w:r w:rsidRPr="00DC2DE3">
              <w:rPr>
                <w:rFonts w:ascii="Times New Roman" w:hAnsi="Times New Roman" w:cs="Times New Roman"/>
                <w:sz w:val="24"/>
                <w:szCs w:val="24"/>
              </w:rPr>
              <w:t>EtOH 4</w:t>
            </w:r>
          </w:p>
        </w:tc>
        <w:tc>
          <w:tcPr>
            <w:tcW w:w="3271" w:type="dxa"/>
            <w:tcBorders>
              <w:top w:val="nil"/>
              <w:bottom w:val="nil"/>
            </w:tcBorders>
            <w:vAlign w:val="center"/>
          </w:tcPr>
          <w:p w14:paraId="5D07043E" w14:textId="77777777" w:rsidR="007B3BA5" w:rsidRPr="00DC2DE3" w:rsidRDefault="007B3BA5" w:rsidP="00E2040C">
            <w:pPr>
              <w:pStyle w:val="NoSpacing"/>
              <w:jc w:val="center"/>
              <w:rPr>
                <w:rFonts w:ascii="Times New Roman" w:hAnsi="Times New Roman" w:cs="Times New Roman"/>
                <w:sz w:val="24"/>
                <w:szCs w:val="24"/>
              </w:rPr>
            </w:pPr>
            <w:r w:rsidRPr="00DC2DE3">
              <w:rPr>
                <w:rFonts w:ascii="Times New Roman" w:hAnsi="Times New Roman" w:cs="Times New Roman"/>
                <w:sz w:val="24"/>
                <w:szCs w:val="24"/>
              </w:rPr>
              <w:t>-</w:t>
            </w:r>
          </w:p>
        </w:tc>
      </w:tr>
      <w:tr w:rsidR="007B3BA5" w:rsidRPr="00DC2DE3" w14:paraId="2757FE70" w14:textId="77777777" w:rsidTr="00E2040C">
        <w:trPr>
          <w:trHeight w:val="432"/>
          <w:jc w:val="center"/>
        </w:trPr>
        <w:tc>
          <w:tcPr>
            <w:tcW w:w="3180" w:type="dxa"/>
            <w:tcBorders>
              <w:top w:val="nil"/>
              <w:bottom w:val="nil"/>
            </w:tcBorders>
            <w:vAlign w:val="center"/>
          </w:tcPr>
          <w:p w14:paraId="71F6824E" w14:textId="77777777" w:rsidR="007B3BA5" w:rsidRPr="00DC2DE3" w:rsidRDefault="007B3BA5" w:rsidP="00E2040C">
            <w:pPr>
              <w:pStyle w:val="NoSpacing"/>
              <w:jc w:val="center"/>
              <w:rPr>
                <w:rFonts w:ascii="Times New Roman" w:hAnsi="Times New Roman" w:cs="Times New Roman"/>
                <w:sz w:val="24"/>
                <w:szCs w:val="24"/>
              </w:rPr>
            </w:pPr>
            <w:r w:rsidRPr="00DC2DE3">
              <w:rPr>
                <w:rFonts w:ascii="Times New Roman" w:hAnsi="Times New Roman" w:cs="Times New Roman"/>
                <w:sz w:val="24"/>
                <w:szCs w:val="24"/>
              </w:rPr>
              <w:t>06</w:t>
            </w:r>
          </w:p>
        </w:tc>
        <w:tc>
          <w:tcPr>
            <w:tcW w:w="2909" w:type="dxa"/>
            <w:tcBorders>
              <w:top w:val="nil"/>
              <w:bottom w:val="nil"/>
            </w:tcBorders>
            <w:vAlign w:val="center"/>
          </w:tcPr>
          <w:p w14:paraId="18F1E166" w14:textId="77777777" w:rsidR="007B3BA5" w:rsidRPr="00DC2DE3" w:rsidRDefault="007B3BA5" w:rsidP="00E2040C">
            <w:pPr>
              <w:pStyle w:val="NoSpacing"/>
              <w:jc w:val="center"/>
              <w:rPr>
                <w:rFonts w:ascii="Times New Roman" w:hAnsi="Times New Roman" w:cs="Times New Roman"/>
                <w:sz w:val="24"/>
                <w:szCs w:val="24"/>
              </w:rPr>
            </w:pPr>
            <w:r w:rsidRPr="00DC2DE3">
              <w:rPr>
                <w:rFonts w:ascii="Times New Roman" w:hAnsi="Times New Roman" w:cs="Times New Roman"/>
                <w:sz w:val="24"/>
                <w:szCs w:val="24"/>
              </w:rPr>
              <w:t>EtOH 5</w:t>
            </w:r>
          </w:p>
        </w:tc>
        <w:tc>
          <w:tcPr>
            <w:tcW w:w="3271" w:type="dxa"/>
            <w:tcBorders>
              <w:top w:val="nil"/>
              <w:bottom w:val="nil"/>
            </w:tcBorders>
            <w:vAlign w:val="center"/>
          </w:tcPr>
          <w:p w14:paraId="1260D1A9" w14:textId="77777777" w:rsidR="007B3BA5" w:rsidRPr="00DC2DE3" w:rsidRDefault="007B3BA5" w:rsidP="00E2040C">
            <w:pPr>
              <w:pStyle w:val="NoSpacing"/>
              <w:jc w:val="center"/>
              <w:rPr>
                <w:rFonts w:ascii="Times New Roman" w:hAnsi="Times New Roman" w:cs="Times New Roman"/>
                <w:sz w:val="24"/>
                <w:szCs w:val="24"/>
              </w:rPr>
            </w:pPr>
            <w:r w:rsidRPr="00DC2DE3">
              <w:rPr>
                <w:rFonts w:ascii="Times New Roman" w:hAnsi="Times New Roman" w:cs="Times New Roman"/>
                <w:sz w:val="24"/>
                <w:szCs w:val="24"/>
              </w:rPr>
              <w:t>-</w:t>
            </w:r>
          </w:p>
        </w:tc>
      </w:tr>
      <w:tr w:rsidR="007B3BA5" w:rsidRPr="00DC2DE3" w14:paraId="1C3D7F87" w14:textId="77777777" w:rsidTr="00E2040C">
        <w:trPr>
          <w:trHeight w:val="432"/>
          <w:jc w:val="center"/>
        </w:trPr>
        <w:tc>
          <w:tcPr>
            <w:tcW w:w="3180" w:type="dxa"/>
            <w:tcBorders>
              <w:top w:val="nil"/>
              <w:bottom w:val="nil"/>
            </w:tcBorders>
            <w:vAlign w:val="center"/>
          </w:tcPr>
          <w:p w14:paraId="75C8D172" w14:textId="77777777" w:rsidR="007B3BA5" w:rsidRPr="00DC2DE3" w:rsidRDefault="007B3BA5" w:rsidP="00E2040C">
            <w:pPr>
              <w:pStyle w:val="NoSpacing"/>
              <w:jc w:val="center"/>
              <w:rPr>
                <w:rFonts w:ascii="Times New Roman" w:hAnsi="Times New Roman" w:cs="Times New Roman"/>
                <w:sz w:val="24"/>
                <w:szCs w:val="24"/>
              </w:rPr>
            </w:pPr>
            <w:r w:rsidRPr="00DC2DE3">
              <w:rPr>
                <w:rFonts w:ascii="Times New Roman" w:hAnsi="Times New Roman" w:cs="Times New Roman"/>
                <w:sz w:val="24"/>
                <w:szCs w:val="24"/>
              </w:rPr>
              <w:t>07</w:t>
            </w:r>
          </w:p>
        </w:tc>
        <w:tc>
          <w:tcPr>
            <w:tcW w:w="2909" w:type="dxa"/>
            <w:tcBorders>
              <w:top w:val="nil"/>
              <w:bottom w:val="nil"/>
            </w:tcBorders>
            <w:vAlign w:val="center"/>
          </w:tcPr>
          <w:p w14:paraId="3417FC8C" w14:textId="77777777" w:rsidR="007B3BA5" w:rsidRPr="00DC2DE3" w:rsidRDefault="007B3BA5" w:rsidP="00E2040C">
            <w:pPr>
              <w:pStyle w:val="NoSpacing"/>
              <w:jc w:val="center"/>
              <w:rPr>
                <w:rFonts w:ascii="Times New Roman" w:hAnsi="Times New Roman" w:cs="Times New Roman"/>
                <w:sz w:val="24"/>
                <w:szCs w:val="24"/>
              </w:rPr>
            </w:pPr>
            <w:r w:rsidRPr="00DC2DE3">
              <w:rPr>
                <w:rFonts w:ascii="Times New Roman" w:hAnsi="Times New Roman" w:cs="Times New Roman"/>
                <w:sz w:val="24"/>
                <w:szCs w:val="24"/>
              </w:rPr>
              <w:t>EtOH 6, DNA</w:t>
            </w:r>
          </w:p>
        </w:tc>
        <w:tc>
          <w:tcPr>
            <w:tcW w:w="3271" w:type="dxa"/>
            <w:tcBorders>
              <w:top w:val="nil"/>
              <w:bottom w:val="nil"/>
            </w:tcBorders>
            <w:vAlign w:val="center"/>
          </w:tcPr>
          <w:p w14:paraId="174063B3" w14:textId="77777777" w:rsidR="007B3BA5" w:rsidRPr="00DC2DE3" w:rsidRDefault="007B3BA5" w:rsidP="00E2040C">
            <w:pPr>
              <w:pStyle w:val="NoSpacing"/>
              <w:jc w:val="center"/>
              <w:rPr>
                <w:rFonts w:ascii="Times New Roman" w:hAnsi="Times New Roman" w:cs="Times New Roman"/>
                <w:sz w:val="24"/>
                <w:szCs w:val="24"/>
              </w:rPr>
            </w:pPr>
            <w:r w:rsidRPr="00DC2DE3">
              <w:rPr>
                <w:rFonts w:ascii="Times New Roman" w:hAnsi="Times New Roman" w:cs="Times New Roman"/>
                <w:sz w:val="24"/>
                <w:szCs w:val="24"/>
              </w:rPr>
              <w:t>DNA</w:t>
            </w:r>
          </w:p>
        </w:tc>
      </w:tr>
      <w:tr w:rsidR="007B3BA5" w:rsidRPr="00DC2DE3" w14:paraId="279D62FB" w14:textId="77777777" w:rsidTr="00E2040C">
        <w:trPr>
          <w:trHeight w:val="432"/>
          <w:jc w:val="center"/>
        </w:trPr>
        <w:tc>
          <w:tcPr>
            <w:tcW w:w="3180" w:type="dxa"/>
            <w:tcBorders>
              <w:top w:val="nil"/>
              <w:bottom w:val="nil"/>
            </w:tcBorders>
            <w:vAlign w:val="center"/>
          </w:tcPr>
          <w:p w14:paraId="7E522C0A" w14:textId="77777777" w:rsidR="007B3BA5" w:rsidRPr="00DC2DE3" w:rsidRDefault="007B3BA5" w:rsidP="00E2040C">
            <w:pPr>
              <w:pStyle w:val="NoSpacing"/>
              <w:jc w:val="center"/>
              <w:rPr>
                <w:rFonts w:ascii="Times New Roman" w:hAnsi="Times New Roman" w:cs="Times New Roman"/>
                <w:sz w:val="24"/>
                <w:szCs w:val="24"/>
              </w:rPr>
            </w:pPr>
            <w:r w:rsidRPr="00DC2DE3">
              <w:rPr>
                <w:rFonts w:ascii="Times New Roman" w:hAnsi="Times New Roman" w:cs="Times New Roman"/>
                <w:sz w:val="24"/>
                <w:szCs w:val="24"/>
              </w:rPr>
              <w:t>08</w:t>
            </w:r>
          </w:p>
        </w:tc>
        <w:tc>
          <w:tcPr>
            <w:tcW w:w="2909" w:type="dxa"/>
            <w:tcBorders>
              <w:top w:val="nil"/>
              <w:bottom w:val="nil"/>
            </w:tcBorders>
            <w:vAlign w:val="center"/>
          </w:tcPr>
          <w:p w14:paraId="31707F35" w14:textId="77777777" w:rsidR="007B3BA5" w:rsidRPr="00DC2DE3" w:rsidRDefault="007B3BA5" w:rsidP="00E2040C">
            <w:pPr>
              <w:pStyle w:val="NoSpacing"/>
              <w:jc w:val="center"/>
              <w:rPr>
                <w:rFonts w:ascii="Times New Roman" w:hAnsi="Times New Roman" w:cs="Times New Roman"/>
                <w:sz w:val="24"/>
                <w:szCs w:val="24"/>
              </w:rPr>
            </w:pPr>
            <w:r w:rsidRPr="00DC2DE3">
              <w:rPr>
                <w:rFonts w:ascii="Times New Roman" w:hAnsi="Times New Roman" w:cs="Times New Roman"/>
                <w:sz w:val="24"/>
                <w:szCs w:val="24"/>
              </w:rPr>
              <w:t>DNA</w:t>
            </w:r>
          </w:p>
        </w:tc>
        <w:tc>
          <w:tcPr>
            <w:tcW w:w="3271" w:type="dxa"/>
            <w:tcBorders>
              <w:top w:val="nil"/>
              <w:bottom w:val="nil"/>
            </w:tcBorders>
            <w:vAlign w:val="center"/>
          </w:tcPr>
          <w:p w14:paraId="43CCEC98" w14:textId="77777777" w:rsidR="007B3BA5" w:rsidRPr="00DC2DE3" w:rsidRDefault="007B3BA5" w:rsidP="00E2040C">
            <w:pPr>
              <w:pStyle w:val="NoSpacing"/>
              <w:jc w:val="center"/>
              <w:rPr>
                <w:rFonts w:ascii="Times New Roman" w:hAnsi="Times New Roman" w:cs="Times New Roman"/>
                <w:sz w:val="24"/>
                <w:szCs w:val="24"/>
              </w:rPr>
            </w:pPr>
            <w:r w:rsidRPr="00DC2DE3">
              <w:rPr>
                <w:rFonts w:ascii="Times New Roman" w:hAnsi="Times New Roman" w:cs="Times New Roman"/>
                <w:sz w:val="24"/>
                <w:szCs w:val="24"/>
              </w:rPr>
              <w:t>DNA</w:t>
            </w:r>
          </w:p>
        </w:tc>
      </w:tr>
      <w:tr w:rsidR="007B3BA5" w:rsidRPr="00DC2DE3" w14:paraId="6540C718" w14:textId="77777777" w:rsidTr="00E2040C">
        <w:trPr>
          <w:trHeight w:val="432"/>
          <w:jc w:val="center"/>
        </w:trPr>
        <w:tc>
          <w:tcPr>
            <w:tcW w:w="3180" w:type="dxa"/>
            <w:tcBorders>
              <w:top w:val="nil"/>
              <w:bottom w:val="nil"/>
            </w:tcBorders>
            <w:vAlign w:val="center"/>
          </w:tcPr>
          <w:p w14:paraId="5BEAEFE7" w14:textId="77777777" w:rsidR="007B3BA5" w:rsidRPr="00DC2DE3" w:rsidRDefault="007B3BA5" w:rsidP="00E2040C">
            <w:pPr>
              <w:pStyle w:val="NoSpacing"/>
              <w:jc w:val="center"/>
              <w:rPr>
                <w:rFonts w:ascii="Times New Roman" w:hAnsi="Times New Roman" w:cs="Times New Roman"/>
                <w:sz w:val="24"/>
                <w:szCs w:val="24"/>
              </w:rPr>
            </w:pPr>
            <w:r w:rsidRPr="00DC2DE3">
              <w:rPr>
                <w:rFonts w:ascii="Times New Roman" w:hAnsi="Times New Roman" w:cs="Times New Roman"/>
                <w:sz w:val="24"/>
                <w:szCs w:val="24"/>
              </w:rPr>
              <w:t>09</w:t>
            </w:r>
          </w:p>
        </w:tc>
        <w:tc>
          <w:tcPr>
            <w:tcW w:w="2909" w:type="dxa"/>
            <w:tcBorders>
              <w:top w:val="nil"/>
              <w:bottom w:val="nil"/>
            </w:tcBorders>
            <w:vAlign w:val="center"/>
          </w:tcPr>
          <w:p w14:paraId="5F025E03" w14:textId="77777777" w:rsidR="007B3BA5" w:rsidRPr="00DC2DE3" w:rsidRDefault="007B3BA5" w:rsidP="00E2040C">
            <w:pPr>
              <w:pStyle w:val="NoSpacing"/>
              <w:jc w:val="center"/>
              <w:rPr>
                <w:rFonts w:ascii="Times New Roman" w:hAnsi="Times New Roman" w:cs="Times New Roman"/>
                <w:sz w:val="24"/>
                <w:szCs w:val="24"/>
              </w:rPr>
            </w:pPr>
            <w:r w:rsidRPr="00DC2DE3">
              <w:rPr>
                <w:rFonts w:ascii="Times New Roman" w:hAnsi="Times New Roman" w:cs="Times New Roman"/>
                <w:sz w:val="24"/>
                <w:szCs w:val="24"/>
              </w:rPr>
              <w:t>DNA</w:t>
            </w:r>
          </w:p>
        </w:tc>
        <w:tc>
          <w:tcPr>
            <w:tcW w:w="3271" w:type="dxa"/>
            <w:tcBorders>
              <w:top w:val="nil"/>
              <w:bottom w:val="nil"/>
            </w:tcBorders>
            <w:vAlign w:val="center"/>
          </w:tcPr>
          <w:p w14:paraId="78DD84E9" w14:textId="77777777" w:rsidR="007B3BA5" w:rsidRPr="00DC2DE3" w:rsidRDefault="007B3BA5" w:rsidP="00E2040C">
            <w:pPr>
              <w:pStyle w:val="NoSpacing"/>
              <w:jc w:val="center"/>
              <w:rPr>
                <w:rFonts w:ascii="Times New Roman" w:hAnsi="Times New Roman" w:cs="Times New Roman"/>
                <w:sz w:val="24"/>
                <w:szCs w:val="24"/>
              </w:rPr>
            </w:pPr>
            <w:r w:rsidRPr="00DC2DE3">
              <w:rPr>
                <w:rFonts w:ascii="Times New Roman" w:hAnsi="Times New Roman" w:cs="Times New Roman"/>
                <w:sz w:val="24"/>
                <w:szCs w:val="24"/>
              </w:rPr>
              <w:t>DNA</w:t>
            </w:r>
          </w:p>
        </w:tc>
      </w:tr>
      <w:tr w:rsidR="007B3BA5" w:rsidRPr="00DC2DE3" w14:paraId="550188CB" w14:textId="77777777" w:rsidTr="00E2040C">
        <w:trPr>
          <w:trHeight w:val="432"/>
          <w:jc w:val="center"/>
        </w:trPr>
        <w:tc>
          <w:tcPr>
            <w:tcW w:w="3180" w:type="dxa"/>
            <w:tcBorders>
              <w:top w:val="nil"/>
              <w:bottom w:val="nil"/>
            </w:tcBorders>
            <w:vAlign w:val="center"/>
          </w:tcPr>
          <w:p w14:paraId="0122C5A7" w14:textId="77777777" w:rsidR="007B3BA5" w:rsidRPr="00DC2DE3" w:rsidRDefault="007B3BA5" w:rsidP="00E2040C">
            <w:pPr>
              <w:pStyle w:val="NoSpacing"/>
              <w:jc w:val="center"/>
              <w:rPr>
                <w:rFonts w:ascii="Times New Roman" w:hAnsi="Times New Roman" w:cs="Times New Roman"/>
                <w:sz w:val="24"/>
                <w:szCs w:val="24"/>
              </w:rPr>
            </w:pPr>
            <w:r w:rsidRPr="00DC2DE3">
              <w:rPr>
                <w:rFonts w:ascii="Times New Roman" w:hAnsi="Times New Roman" w:cs="Times New Roman"/>
                <w:sz w:val="24"/>
                <w:szCs w:val="24"/>
              </w:rPr>
              <w:t>10</w:t>
            </w:r>
          </w:p>
        </w:tc>
        <w:tc>
          <w:tcPr>
            <w:tcW w:w="2909" w:type="dxa"/>
            <w:tcBorders>
              <w:top w:val="nil"/>
              <w:bottom w:val="nil"/>
            </w:tcBorders>
            <w:vAlign w:val="center"/>
          </w:tcPr>
          <w:p w14:paraId="2E055AA8" w14:textId="77777777" w:rsidR="007B3BA5" w:rsidRPr="00DC2DE3" w:rsidRDefault="007B3BA5" w:rsidP="00E2040C">
            <w:pPr>
              <w:pStyle w:val="NoSpacing"/>
              <w:jc w:val="center"/>
              <w:rPr>
                <w:rFonts w:ascii="Times New Roman" w:hAnsi="Times New Roman" w:cs="Times New Roman"/>
                <w:sz w:val="24"/>
                <w:szCs w:val="24"/>
              </w:rPr>
            </w:pPr>
            <w:r w:rsidRPr="00DC2DE3">
              <w:rPr>
                <w:rFonts w:ascii="Times New Roman" w:hAnsi="Times New Roman" w:cs="Times New Roman"/>
                <w:sz w:val="24"/>
                <w:szCs w:val="24"/>
              </w:rPr>
              <w:t>DNA</w:t>
            </w:r>
          </w:p>
        </w:tc>
        <w:tc>
          <w:tcPr>
            <w:tcW w:w="3271" w:type="dxa"/>
            <w:tcBorders>
              <w:top w:val="nil"/>
              <w:bottom w:val="nil"/>
            </w:tcBorders>
            <w:vAlign w:val="center"/>
          </w:tcPr>
          <w:p w14:paraId="1E73A159" w14:textId="77777777" w:rsidR="007B3BA5" w:rsidRPr="00DC2DE3" w:rsidRDefault="007B3BA5" w:rsidP="00E2040C">
            <w:pPr>
              <w:pStyle w:val="NoSpacing"/>
              <w:jc w:val="center"/>
              <w:rPr>
                <w:rFonts w:ascii="Times New Roman" w:hAnsi="Times New Roman" w:cs="Times New Roman"/>
                <w:sz w:val="24"/>
                <w:szCs w:val="24"/>
              </w:rPr>
            </w:pPr>
            <w:r w:rsidRPr="00DC2DE3">
              <w:rPr>
                <w:rFonts w:ascii="Times New Roman" w:hAnsi="Times New Roman" w:cs="Times New Roman"/>
                <w:sz w:val="24"/>
                <w:szCs w:val="24"/>
              </w:rPr>
              <w:t>DNA</w:t>
            </w:r>
          </w:p>
        </w:tc>
      </w:tr>
      <w:tr w:rsidR="007B3BA5" w:rsidRPr="00DC2DE3" w14:paraId="33FA26EB" w14:textId="77777777" w:rsidTr="00E2040C">
        <w:trPr>
          <w:trHeight w:val="432"/>
          <w:jc w:val="center"/>
        </w:trPr>
        <w:tc>
          <w:tcPr>
            <w:tcW w:w="3180" w:type="dxa"/>
            <w:tcBorders>
              <w:top w:val="nil"/>
              <w:bottom w:val="nil"/>
            </w:tcBorders>
            <w:vAlign w:val="center"/>
          </w:tcPr>
          <w:p w14:paraId="36E9B172" w14:textId="77777777" w:rsidR="007B3BA5" w:rsidRPr="00DC2DE3" w:rsidRDefault="007B3BA5" w:rsidP="00E2040C">
            <w:pPr>
              <w:pStyle w:val="NoSpacing"/>
              <w:jc w:val="center"/>
              <w:rPr>
                <w:rFonts w:ascii="Times New Roman" w:hAnsi="Times New Roman" w:cs="Times New Roman"/>
                <w:sz w:val="24"/>
                <w:szCs w:val="24"/>
              </w:rPr>
            </w:pPr>
            <w:r w:rsidRPr="00DC2DE3">
              <w:rPr>
                <w:rFonts w:ascii="Times New Roman" w:hAnsi="Times New Roman" w:cs="Times New Roman"/>
                <w:sz w:val="24"/>
                <w:szCs w:val="24"/>
              </w:rPr>
              <w:t>11</w:t>
            </w:r>
          </w:p>
        </w:tc>
        <w:tc>
          <w:tcPr>
            <w:tcW w:w="2909" w:type="dxa"/>
            <w:tcBorders>
              <w:top w:val="nil"/>
              <w:bottom w:val="nil"/>
            </w:tcBorders>
            <w:vAlign w:val="center"/>
          </w:tcPr>
          <w:p w14:paraId="3E492E8B" w14:textId="77777777" w:rsidR="007B3BA5" w:rsidRPr="00DC2DE3" w:rsidRDefault="007B3BA5" w:rsidP="00E2040C">
            <w:pPr>
              <w:pStyle w:val="NoSpacing"/>
              <w:jc w:val="center"/>
              <w:rPr>
                <w:rFonts w:ascii="Times New Roman" w:hAnsi="Times New Roman" w:cs="Times New Roman"/>
                <w:sz w:val="24"/>
                <w:szCs w:val="24"/>
              </w:rPr>
            </w:pPr>
            <w:r w:rsidRPr="00DC2DE3">
              <w:rPr>
                <w:rFonts w:ascii="Times New Roman" w:hAnsi="Times New Roman" w:cs="Times New Roman"/>
                <w:sz w:val="24"/>
                <w:szCs w:val="24"/>
              </w:rPr>
              <w:t>-</w:t>
            </w:r>
          </w:p>
        </w:tc>
        <w:tc>
          <w:tcPr>
            <w:tcW w:w="3271" w:type="dxa"/>
            <w:tcBorders>
              <w:top w:val="nil"/>
              <w:bottom w:val="nil"/>
            </w:tcBorders>
            <w:vAlign w:val="center"/>
          </w:tcPr>
          <w:p w14:paraId="188B52F4" w14:textId="77777777" w:rsidR="007B3BA5" w:rsidRPr="00DC2DE3" w:rsidRDefault="007B3BA5" w:rsidP="00E2040C">
            <w:pPr>
              <w:pStyle w:val="NoSpacing"/>
              <w:jc w:val="center"/>
              <w:rPr>
                <w:rFonts w:ascii="Times New Roman" w:hAnsi="Times New Roman" w:cs="Times New Roman"/>
                <w:sz w:val="24"/>
                <w:szCs w:val="24"/>
              </w:rPr>
            </w:pPr>
            <w:r w:rsidRPr="00DC2DE3">
              <w:rPr>
                <w:rFonts w:ascii="Times New Roman" w:hAnsi="Times New Roman" w:cs="Times New Roman"/>
                <w:sz w:val="24"/>
                <w:szCs w:val="24"/>
              </w:rPr>
              <w:t>-</w:t>
            </w:r>
          </w:p>
        </w:tc>
      </w:tr>
      <w:tr w:rsidR="007B3BA5" w:rsidRPr="00DC2DE3" w14:paraId="5FDE5E67" w14:textId="77777777" w:rsidTr="00E2040C">
        <w:trPr>
          <w:trHeight w:val="432"/>
          <w:jc w:val="center"/>
        </w:trPr>
        <w:tc>
          <w:tcPr>
            <w:tcW w:w="3180" w:type="dxa"/>
            <w:tcBorders>
              <w:top w:val="nil"/>
              <w:bottom w:val="nil"/>
            </w:tcBorders>
            <w:vAlign w:val="center"/>
          </w:tcPr>
          <w:p w14:paraId="1EB3DBC4" w14:textId="77777777" w:rsidR="007B3BA5" w:rsidRPr="00DC2DE3" w:rsidRDefault="007B3BA5" w:rsidP="00E2040C">
            <w:pPr>
              <w:pStyle w:val="NoSpacing"/>
              <w:jc w:val="center"/>
              <w:rPr>
                <w:rFonts w:ascii="Times New Roman" w:hAnsi="Times New Roman" w:cs="Times New Roman"/>
                <w:sz w:val="24"/>
                <w:szCs w:val="24"/>
              </w:rPr>
            </w:pPr>
            <w:r w:rsidRPr="00DC2DE3">
              <w:rPr>
                <w:rFonts w:ascii="Times New Roman" w:hAnsi="Times New Roman" w:cs="Times New Roman"/>
                <w:sz w:val="24"/>
                <w:szCs w:val="24"/>
              </w:rPr>
              <w:t>12</w:t>
            </w:r>
          </w:p>
        </w:tc>
        <w:tc>
          <w:tcPr>
            <w:tcW w:w="2909" w:type="dxa"/>
            <w:tcBorders>
              <w:top w:val="nil"/>
              <w:bottom w:val="nil"/>
            </w:tcBorders>
            <w:vAlign w:val="center"/>
          </w:tcPr>
          <w:p w14:paraId="7502B23C" w14:textId="77777777" w:rsidR="007B3BA5" w:rsidRPr="00DC2DE3" w:rsidRDefault="007B3BA5" w:rsidP="00E2040C">
            <w:pPr>
              <w:pStyle w:val="NoSpacing"/>
              <w:jc w:val="center"/>
              <w:rPr>
                <w:rFonts w:ascii="Times New Roman" w:hAnsi="Times New Roman" w:cs="Times New Roman"/>
                <w:sz w:val="24"/>
                <w:szCs w:val="24"/>
              </w:rPr>
            </w:pPr>
            <w:r w:rsidRPr="00DC2DE3">
              <w:rPr>
                <w:rFonts w:ascii="Times New Roman" w:hAnsi="Times New Roman" w:cs="Times New Roman"/>
                <w:sz w:val="24"/>
                <w:szCs w:val="24"/>
              </w:rPr>
              <w:t>-</w:t>
            </w:r>
          </w:p>
        </w:tc>
        <w:tc>
          <w:tcPr>
            <w:tcW w:w="3271" w:type="dxa"/>
            <w:tcBorders>
              <w:top w:val="nil"/>
              <w:bottom w:val="nil"/>
            </w:tcBorders>
            <w:vAlign w:val="center"/>
          </w:tcPr>
          <w:p w14:paraId="037CA54E" w14:textId="77777777" w:rsidR="007B3BA5" w:rsidRPr="00DC2DE3" w:rsidRDefault="007B3BA5" w:rsidP="00E2040C">
            <w:pPr>
              <w:pStyle w:val="NoSpacing"/>
              <w:jc w:val="center"/>
              <w:rPr>
                <w:rFonts w:ascii="Times New Roman" w:hAnsi="Times New Roman" w:cs="Times New Roman"/>
                <w:sz w:val="24"/>
                <w:szCs w:val="24"/>
              </w:rPr>
            </w:pPr>
            <w:r w:rsidRPr="00DC2DE3">
              <w:rPr>
                <w:rFonts w:ascii="Times New Roman" w:hAnsi="Times New Roman" w:cs="Times New Roman"/>
                <w:sz w:val="24"/>
                <w:szCs w:val="24"/>
              </w:rPr>
              <w:t>-</w:t>
            </w:r>
          </w:p>
        </w:tc>
      </w:tr>
      <w:tr w:rsidR="007B3BA5" w:rsidRPr="00DC2DE3" w14:paraId="2B65CB9D" w14:textId="77777777" w:rsidTr="00E2040C">
        <w:trPr>
          <w:trHeight w:val="432"/>
          <w:jc w:val="center"/>
        </w:trPr>
        <w:tc>
          <w:tcPr>
            <w:tcW w:w="3180" w:type="dxa"/>
            <w:tcBorders>
              <w:top w:val="nil"/>
              <w:bottom w:val="nil"/>
            </w:tcBorders>
            <w:vAlign w:val="center"/>
          </w:tcPr>
          <w:p w14:paraId="70D870AE" w14:textId="77777777" w:rsidR="007B3BA5" w:rsidRPr="00DC2DE3" w:rsidRDefault="007B3BA5" w:rsidP="00E2040C">
            <w:pPr>
              <w:pStyle w:val="NoSpacing"/>
              <w:jc w:val="center"/>
              <w:rPr>
                <w:rFonts w:ascii="Times New Roman" w:hAnsi="Times New Roman" w:cs="Times New Roman"/>
                <w:sz w:val="24"/>
                <w:szCs w:val="24"/>
              </w:rPr>
            </w:pPr>
            <w:r w:rsidRPr="00DC2DE3">
              <w:rPr>
                <w:rFonts w:ascii="Times New Roman" w:hAnsi="Times New Roman" w:cs="Times New Roman"/>
                <w:sz w:val="24"/>
                <w:szCs w:val="24"/>
              </w:rPr>
              <w:t>13</w:t>
            </w:r>
          </w:p>
        </w:tc>
        <w:tc>
          <w:tcPr>
            <w:tcW w:w="2909" w:type="dxa"/>
            <w:tcBorders>
              <w:top w:val="nil"/>
              <w:bottom w:val="nil"/>
            </w:tcBorders>
            <w:vAlign w:val="center"/>
          </w:tcPr>
          <w:p w14:paraId="3A67A631" w14:textId="77777777" w:rsidR="007B3BA5" w:rsidRPr="00DC2DE3" w:rsidRDefault="007B3BA5" w:rsidP="00E2040C">
            <w:pPr>
              <w:pStyle w:val="NoSpacing"/>
              <w:jc w:val="center"/>
              <w:rPr>
                <w:rFonts w:ascii="Times New Roman" w:hAnsi="Times New Roman" w:cs="Times New Roman"/>
                <w:sz w:val="24"/>
                <w:szCs w:val="24"/>
              </w:rPr>
            </w:pPr>
            <w:r w:rsidRPr="00DC2DE3">
              <w:rPr>
                <w:rFonts w:ascii="Times New Roman" w:hAnsi="Times New Roman" w:cs="Times New Roman"/>
                <w:sz w:val="24"/>
                <w:szCs w:val="24"/>
              </w:rPr>
              <w:t>-</w:t>
            </w:r>
          </w:p>
        </w:tc>
        <w:tc>
          <w:tcPr>
            <w:tcW w:w="3271" w:type="dxa"/>
            <w:tcBorders>
              <w:top w:val="nil"/>
              <w:bottom w:val="nil"/>
            </w:tcBorders>
            <w:vAlign w:val="center"/>
          </w:tcPr>
          <w:p w14:paraId="355F7DB1" w14:textId="77777777" w:rsidR="007B3BA5" w:rsidRPr="00DC2DE3" w:rsidRDefault="007B3BA5" w:rsidP="00E2040C">
            <w:pPr>
              <w:pStyle w:val="NoSpacing"/>
              <w:jc w:val="center"/>
              <w:rPr>
                <w:rFonts w:ascii="Times New Roman" w:hAnsi="Times New Roman" w:cs="Times New Roman"/>
                <w:sz w:val="24"/>
                <w:szCs w:val="24"/>
              </w:rPr>
            </w:pPr>
            <w:r w:rsidRPr="00DC2DE3">
              <w:rPr>
                <w:rFonts w:ascii="Times New Roman" w:hAnsi="Times New Roman" w:cs="Times New Roman"/>
                <w:sz w:val="24"/>
                <w:szCs w:val="24"/>
              </w:rPr>
              <w:t>-</w:t>
            </w:r>
          </w:p>
        </w:tc>
      </w:tr>
      <w:tr w:rsidR="007B3BA5" w:rsidRPr="00DC2DE3" w14:paraId="739C8401" w14:textId="77777777" w:rsidTr="00E2040C">
        <w:trPr>
          <w:trHeight w:val="432"/>
          <w:jc w:val="center"/>
        </w:trPr>
        <w:tc>
          <w:tcPr>
            <w:tcW w:w="3180" w:type="dxa"/>
            <w:tcBorders>
              <w:top w:val="nil"/>
            </w:tcBorders>
            <w:vAlign w:val="center"/>
          </w:tcPr>
          <w:p w14:paraId="7B41177B" w14:textId="77777777" w:rsidR="007B3BA5" w:rsidRPr="00DC2DE3" w:rsidRDefault="007B3BA5" w:rsidP="00E2040C">
            <w:pPr>
              <w:pStyle w:val="NoSpacing"/>
              <w:jc w:val="center"/>
              <w:rPr>
                <w:rFonts w:ascii="Times New Roman" w:hAnsi="Times New Roman" w:cs="Times New Roman"/>
                <w:sz w:val="24"/>
                <w:szCs w:val="24"/>
              </w:rPr>
            </w:pPr>
            <w:r w:rsidRPr="00DC2DE3">
              <w:rPr>
                <w:rFonts w:ascii="Times New Roman" w:hAnsi="Times New Roman" w:cs="Times New Roman"/>
                <w:sz w:val="24"/>
                <w:szCs w:val="24"/>
              </w:rPr>
              <w:t>14</w:t>
            </w:r>
          </w:p>
        </w:tc>
        <w:tc>
          <w:tcPr>
            <w:tcW w:w="2909" w:type="dxa"/>
            <w:tcBorders>
              <w:top w:val="nil"/>
            </w:tcBorders>
            <w:vAlign w:val="center"/>
          </w:tcPr>
          <w:p w14:paraId="0B2EB489" w14:textId="77777777" w:rsidR="007B3BA5" w:rsidRPr="00DC2DE3" w:rsidRDefault="007B3BA5" w:rsidP="00E2040C">
            <w:pPr>
              <w:pStyle w:val="NoSpacing"/>
              <w:jc w:val="center"/>
              <w:rPr>
                <w:rFonts w:ascii="Times New Roman" w:hAnsi="Times New Roman" w:cs="Times New Roman"/>
                <w:sz w:val="24"/>
                <w:szCs w:val="24"/>
              </w:rPr>
            </w:pPr>
            <w:r w:rsidRPr="00DC2DE3">
              <w:rPr>
                <w:rFonts w:ascii="Times New Roman" w:hAnsi="Times New Roman" w:cs="Times New Roman"/>
                <w:sz w:val="24"/>
                <w:szCs w:val="24"/>
              </w:rPr>
              <w:t>DNA, EtOH 7, DNA</w:t>
            </w:r>
          </w:p>
        </w:tc>
        <w:tc>
          <w:tcPr>
            <w:tcW w:w="3271" w:type="dxa"/>
            <w:tcBorders>
              <w:top w:val="nil"/>
            </w:tcBorders>
            <w:vAlign w:val="center"/>
          </w:tcPr>
          <w:p w14:paraId="19D0A026" w14:textId="77777777" w:rsidR="007B3BA5" w:rsidRPr="00DC2DE3" w:rsidRDefault="007B3BA5" w:rsidP="00E2040C">
            <w:pPr>
              <w:pStyle w:val="NoSpacing"/>
              <w:jc w:val="center"/>
              <w:rPr>
                <w:rFonts w:ascii="Times New Roman" w:hAnsi="Times New Roman" w:cs="Times New Roman"/>
                <w:sz w:val="24"/>
                <w:szCs w:val="24"/>
              </w:rPr>
            </w:pPr>
            <w:r w:rsidRPr="00DC2DE3">
              <w:rPr>
                <w:rFonts w:ascii="Times New Roman" w:hAnsi="Times New Roman" w:cs="Times New Roman"/>
                <w:sz w:val="24"/>
                <w:szCs w:val="24"/>
              </w:rPr>
              <w:t>DNA, EtOH 1, DNA</w:t>
            </w:r>
          </w:p>
        </w:tc>
      </w:tr>
    </w:tbl>
    <w:p w14:paraId="56810F07" w14:textId="77777777" w:rsidR="007B3BA5" w:rsidRDefault="007B3BA5" w:rsidP="007B3BA5"/>
    <w:p w14:paraId="302A5257" w14:textId="77777777" w:rsidR="007B3BA5" w:rsidRPr="007B3BA5" w:rsidRDefault="007B3BA5" w:rsidP="007B3BA5"/>
    <w:p w14:paraId="62A5A26E" w14:textId="77777777" w:rsidR="004E4BBF" w:rsidRDefault="004E4BBF" w:rsidP="004E4BBF">
      <w:pPr>
        <w:jc w:val="both"/>
      </w:pPr>
    </w:p>
    <w:p w14:paraId="0755331A" w14:textId="77777777" w:rsidR="004E4BBF" w:rsidRDefault="004E4BBF" w:rsidP="004E4BBF">
      <w:pPr>
        <w:jc w:val="both"/>
      </w:pPr>
    </w:p>
    <w:p w14:paraId="6A961774" w14:textId="77777777" w:rsidR="004E4BBF" w:rsidRDefault="004E4BBF" w:rsidP="004E4BBF">
      <w:pPr>
        <w:jc w:val="both"/>
      </w:pPr>
    </w:p>
    <w:p w14:paraId="1B0EA106" w14:textId="77777777" w:rsidR="004E4BBF" w:rsidRDefault="004E4BBF" w:rsidP="004E4BBF">
      <w:pPr>
        <w:jc w:val="both"/>
      </w:pPr>
    </w:p>
    <w:p w14:paraId="1B441B87" w14:textId="77777777" w:rsidR="004E4BBF" w:rsidRDefault="004E4BBF" w:rsidP="004E4BBF">
      <w:pPr>
        <w:jc w:val="both"/>
      </w:pPr>
    </w:p>
    <w:p w14:paraId="1EE0D44D" w14:textId="77777777" w:rsidR="004E4BBF" w:rsidRDefault="004E4BBF" w:rsidP="004E4BBF">
      <w:pPr>
        <w:jc w:val="both"/>
      </w:pPr>
    </w:p>
    <w:p w14:paraId="323D41AD" w14:textId="77777777" w:rsidR="00664C0E" w:rsidRDefault="00664C0E" w:rsidP="004E4BBF">
      <w:pPr>
        <w:jc w:val="both"/>
      </w:pPr>
    </w:p>
    <w:p w14:paraId="730D4A0F" w14:textId="77777777" w:rsidR="00664C0E" w:rsidRDefault="00664C0E" w:rsidP="004E4BBF">
      <w:pPr>
        <w:jc w:val="both"/>
      </w:pPr>
    </w:p>
    <w:p w14:paraId="5FDF14D6" w14:textId="77777777" w:rsidR="001135F7" w:rsidRDefault="001135F7" w:rsidP="001135F7">
      <w:pPr>
        <w:pStyle w:val="Heading3"/>
      </w:pPr>
      <w:bookmarkStart w:id="187" w:name="_Toc498505072"/>
      <w:r>
        <w:lastRenderedPageBreak/>
        <w:t>5.3.3</w:t>
      </w:r>
      <w:r w:rsidR="006322C1">
        <w:t>.</w:t>
      </w:r>
      <w:r w:rsidR="006322C1">
        <w:tab/>
      </w:r>
      <w:r>
        <w:t>Microbial community structure</w:t>
      </w:r>
      <w:bookmarkEnd w:id="187"/>
    </w:p>
    <w:p w14:paraId="0C2F4B75" w14:textId="77777777" w:rsidR="001135F7" w:rsidRDefault="001135F7" w:rsidP="001135F7">
      <w:pPr>
        <w:ind w:firstLine="720"/>
      </w:pPr>
      <w:r>
        <w:t xml:space="preserve">The test wells were sampled for microbial community structure according to the general methodology of Smith et al. (2015). A volume of groundwater (5 to 10 L) was collected from the wells prior to and following the exposure tests. The groundwater was filtered, in series, through a 10 µm and a 0.2 µm filter, and preserved at -80°C. Microbial DNA was extracted from the 0.2 µm filter using a modified Miller method (Hazen et al. 2010; Miller et al. 1999; Smith et al. 2015) and shipped to the Institute for Environmental Genomics (Norman, OK, USA) for analysis of microbial DNA. </w:t>
      </w:r>
    </w:p>
    <w:p w14:paraId="0D6E88B2" w14:textId="77777777" w:rsidR="001135F7" w:rsidRDefault="001135F7" w:rsidP="001135F7">
      <w:pPr>
        <w:ind w:firstLine="720"/>
      </w:pPr>
      <w:r>
        <w:t xml:space="preserve">Extracted DNA was amplified as described in Wu et al. (2015). DNA was PCR amplified using a two-step PCR. In the first step, 16S rDNA was amplified for 10 cycles using primers 515F and 806R. In the second step, product from the first step was amplified for an additional 20 cycles using primers containing spacers to increase base diversity, barcodes, Illumina adaptor and sequencing primers, and the target primers, 515F and 806R. Amplification efficiency was evaluated by agarose gel electrophoresis. PCR products were pooled in equal molality and purified. Sequencing libraries were prepared according to the </w:t>
      </w:r>
      <w:proofErr w:type="spellStart"/>
      <w:r>
        <w:t>MiSeqTM</w:t>
      </w:r>
      <w:proofErr w:type="spellEnd"/>
      <w:r>
        <w:t xml:space="preserve"> Reagent Kit Preparation Guide (Illumina, San Diego, CA, USA) (</w:t>
      </w:r>
      <w:proofErr w:type="spellStart"/>
      <w:r>
        <w:t>Caporaso</w:t>
      </w:r>
      <w:proofErr w:type="spellEnd"/>
      <w:r>
        <w:t xml:space="preserve"> et al. 2012). Sequencing was performed for 251, 12, and 251 cycles for forward, index, and reverse reads, respectively, on an Illumina MiSeq using a 500-cycle v2 MiSeq reagent cartridge.</w:t>
      </w:r>
    </w:p>
    <w:p w14:paraId="647EC930" w14:textId="77777777" w:rsidR="001135F7" w:rsidRDefault="001135F7" w:rsidP="001135F7">
      <w:pPr>
        <w:ind w:firstLine="720"/>
      </w:pPr>
      <w:r>
        <w:t>The resulting DNA sequences were analyzed according to the general methodology of Techtmann et al. (2015). DNA sequences were analyzed using the QIIME version 1.8.0-dev pipeline (</w:t>
      </w:r>
      <w:proofErr w:type="spellStart"/>
      <w:r>
        <w:t>Caporaso</w:t>
      </w:r>
      <w:proofErr w:type="spellEnd"/>
      <w:r>
        <w:t xml:space="preserve"> et al. 2012) and paired-end raw reads were assembled using </w:t>
      </w:r>
      <w:proofErr w:type="spellStart"/>
      <w:r>
        <w:t>fastq</w:t>
      </w:r>
      <w:proofErr w:type="spellEnd"/>
      <w:r>
        <w:t>-join (</w:t>
      </w:r>
      <w:proofErr w:type="spellStart"/>
      <w:r>
        <w:t>Aronesty</w:t>
      </w:r>
      <w:proofErr w:type="spellEnd"/>
      <w:r>
        <w:t xml:space="preserve"> 2015). The assembled sequences were demultiplexed and quality filtered in QIIME to remove reads with </w:t>
      </w:r>
      <w:proofErr w:type="spellStart"/>
      <w:r>
        <w:t>phred</w:t>
      </w:r>
      <w:proofErr w:type="spellEnd"/>
      <w:r>
        <w:t xml:space="preserve"> scores below 20. Chimera detection was then performed on assembled </w:t>
      </w:r>
      <w:r>
        <w:lastRenderedPageBreak/>
        <w:t xml:space="preserve">reads using UCHIME (Edgar 2010; Edgar et al. 2011). Assembled, quality-filtered and chimera-checked sequences were deposited at MG-RAST. Sequences were clustered into operational taxonomic units (OTUs, 97% similarity) with UCLUST (Edgar 2010) using the open reference clustering protocol. The resulting representative sequences were aligned using </w:t>
      </w:r>
      <w:proofErr w:type="spellStart"/>
      <w:r>
        <w:t>PyNAST</w:t>
      </w:r>
      <w:proofErr w:type="spellEnd"/>
      <w:r>
        <w:t xml:space="preserve"> (</w:t>
      </w:r>
      <w:proofErr w:type="spellStart"/>
      <w:r>
        <w:t>Caporaso</w:t>
      </w:r>
      <w:proofErr w:type="spellEnd"/>
      <w:r>
        <w:t xml:space="preserve"> et al. 2010) and given a taxonomic assignment using RDP (Wang et al. 2007) retrained with the May 2013 Greengenes release. The resulting OTU table was filtered to keep OTUs that were present at greater than 0.005%, and then rarified to 13,753 sequences per sample (the minimum number of remaining sequences in the samples). </w:t>
      </w:r>
    </w:p>
    <w:p w14:paraId="6EF91CF0" w14:textId="77777777" w:rsidR="002C615A" w:rsidRPr="00B744AB" w:rsidRDefault="001135F7" w:rsidP="001135F7">
      <w:pPr>
        <w:ind w:firstLine="720"/>
      </w:pPr>
      <w:r>
        <w:t xml:space="preserve">To test the hypothesis that exposure to ethanol influenced community structure, non-metric multi-dimensional scaling (NMDS) and hierarchical clustering analysis (HCA) were performed. A Bray-Curtis dissimilarity matrix was constructed using the </w:t>
      </w:r>
      <w:proofErr w:type="gramStart"/>
      <w:r>
        <w:t>scipy.spatial</w:t>
      </w:r>
      <w:proofErr w:type="gramEnd"/>
      <w:r>
        <w:t xml:space="preserve">.distance methods from the SciPy library (Jones et al. 2001) in Python (Python 2017) and used as input for NMDS and HCA. NMDS was performed using the </w:t>
      </w:r>
      <w:proofErr w:type="gramStart"/>
      <w:r>
        <w:t>sklearn.manifold</w:t>
      </w:r>
      <w:proofErr w:type="gramEnd"/>
      <w:r>
        <w:t xml:space="preserve"> methods from the Scikit-learn library (</w:t>
      </w:r>
      <w:proofErr w:type="spellStart"/>
      <w:r>
        <w:t>Pedregosa</w:t>
      </w:r>
      <w:proofErr w:type="spellEnd"/>
      <w:r>
        <w:t xml:space="preserve"> et al. 2011). HCA was performed with the </w:t>
      </w:r>
      <w:proofErr w:type="gramStart"/>
      <w:r>
        <w:t>scipy.cluster</w:t>
      </w:r>
      <w:proofErr w:type="gramEnd"/>
      <w:r>
        <w:t>.hierarchy methods using the average linkage method. The number of dimensions was increased starting from two to identify the minimum number of dimensions necessary to achieve a reasonable stress value. A breakpoint was identified at three dimensions, above which ordination stress did not decrease substantially.</w:t>
      </w:r>
    </w:p>
    <w:p w14:paraId="65D80F9B" w14:textId="77777777" w:rsidR="00DE20E5" w:rsidRDefault="00A63544" w:rsidP="005E0EC6">
      <w:pPr>
        <w:pStyle w:val="Heading2"/>
      </w:pPr>
      <w:bookmarkStart w:id="188" w:name="_Toc498505073"/>
      <w:r>
        <w:t>5</w:t>
      </w:r>
      <w:r w:rsidR="00B93721">
        <w:t>.4.</w:t>
      </w:r>
      <w:r w:rsidR="00B93721">
        <w:tab/>
      </w:r>
      <w:r w:rsidR="00DE20E5">
        <w:t xml:space="preserve">Results </w:t>
      </w:r>
      <w:r w:rsidR="005E0EC6">
        <w:t>and discussion</w:t>
      </w:r>
      <w:bookmarkEnd w:id="188"/>
    </w:p>
    <w:p w14:paraId="2CDBA738" w14:textId="77777777" w:rsidR="00862AF2" w:rsidRDefault="00862AF2" w:rsidP="00862AF2">
      <w:pPr>
        <w:pStyle w:val="Heading3"/>
      </w:pPr>
      <w:bookmarkStart w:id="189" w:name="_Toc498505074"/>
      <w:r>
        <w:t>5.4.1.</w:t>
      </w:r>
      <w:r w:rsidR="006322C1">
        <w:tab/>
      </w:r>
      <w:r>
        <w:t>Substrate exposure tests</w:t>
      </w:r>
      <w:bookmarkEnd w:id="189"/>
    </w:p>
    <w:p w14:paraId="01AAD721" w14:textId="77777777" w:rsidR="00324CEE" w:rsidRPr="00324CEE" w:rsidRDefault="00324CEE" w:rsidP="00324CEE">
      <w:pPr>
        <w:ind w:firstLine="720"/>
      </w:pPr>
      <w:r w:rsidRPr="00324CEE">
        <w:t>The treatment was exposed to ethanol once per week for six consecutive weeks (</w:t>
      </w:r>
      <w:r w:rsidR="00615FCD">
        <w:fldChar w:fldCharType="begin"/>
      </w:r>
      <w:r w:rsidR="00615FCD">
        <w:instrText xml:space="preserve"> REF _Ref487024490 \h </w:instrText>
      </w:r>
      <w:r w:rsidR="00615FCD">
        <w:fldChar w:fldCharType="separate"/>
      </w:r>
      <w:r w:rsidR="00615FCD">
        <w:t xml:space="preserve">Table </w:t>
      </w:r>
      <w:r w:rsidR="00615FCD">
        <w:rPr>
          <w:noProof/>
        </w:rPr>
        <w:t>5</w:t>
      </w:r>
      <w:r w:rsidR="00615FCD">
        <w:t>.</w:t>
      </w:r>
      <w:r w:rsidR="00615FCD">
        <w:rPr>
          <w:noProof/>
        </w:rPr>
        <w:t>2</w:t>
      </w:r>
      <w:r w:rsidR="00615FCD">
        <w:fldChar w:fldCharType="end"/>
      </w:r>
      <w:r w:rsidRPr="00324CEE">
        <w:t xml:space="preserve">) to establish a natural microbial community adapted to </w:t>
      </w:r>
      <w:r w:rsidR="00615FCD">
        <w:t xml:space="preserve">transform substrates within the </w:t>
      </w:r>
      <w:r w:rsidRPr="00324CEE">
        <w:t>groundwater system. The substrate control was not exposed to ethanol during this time (</w:t>
      </w:r>
      <w:r w:rsidR="00615FCD">
        <w:fldChar w:fldCharType="begin"/>
      </w:r>
      <w:r w:rsidR="00615FCD">
        <w:instrText xml:space="preserve"> REF _Ref487024490 \h </w:instrText>
      </w:r>
      <w:r w:rsidR="00615FCD">
        <w:fldChar w:fldCharType="separate"/>
      </w:r>
      <w:r w:rsidR="00615FCD">
        <w:t xml:space="preserve">Table </w:t>
      </w:r>
      <w:r w:rsidR="00615FCD">
        <w:rPr>
          <w:noProof/>
        </w:rPr>
        <w:lastRenderedPageBreak/>
        <w:t>5</w:t>
      </w:r>
      <w:r w:rsidR="00615FCD">
        <w:t>.</w:t>
      </w:r>
      <w:r w:rsidR="00615FCD">
        <w:rPr>
          <w:noProof/>
        </w:rPr>
        <w:t>2</w:t>
      </w:r>
      <w:r w:rsidR="00615FCD">
        <w:fldChar w:fldCharType="end"/>
      </w:r>
      <w:r w:rsidRPr="00324CEE">
        <w:t>). The breakthrough curves of ethanol, acetate, nitrate, and sulfate for exposure one in the treatment indicated that processes in addition to non-reactive mixing occurred, as evident by notable differences in the predicted versus measured data (</w:t>
      </w:r>
      <w:r w:rsidR="00615FCD">
        <w:fldChar w:fldCharType="begin"/>
      </w:r>
      <w:r w:rsidR="00615FCD">
        <w:instrText xml:space="preserve"> REF _Ref487024756 \h </w:instrText>
      </w:r>
      <w:r w:rsidR="00615FCD">
        <w:fldChar w:fldCharType="separate"/>
      </w:r>
      <w:r w:rsidR="00615FCD">
        <w:t xml:space="preserve">Figure </w:t>
      </w:r>
      <w:r w:rsidR="00615FCD">
        <w:rPr>
          <w:noProof/>
        </w:rPr>
        <w:t>5</w:t>
      </w:r>
      <w:r w:rsidR="00615FCD">
        <w:t>.</w:t>
      </w:r>
      <w:r w:rsidR="00615FCD">
        <w:rPr>
          <w:noProof/>
        </w:rPr>
        <w:t>2</w:t>
      </w:r>
      <w:r w:rsidR="00615FCD">
        <w:fldChar w:fldCharType="end"/>
      </w:r>
      <w:r w:rsidRPr="00324CEE">
        <w:t>). Although the breakthrough curves of ethanol were nearly identical, those for acetate clearly indicated a net production and those for nitrate and sulfate a net removal that non-reactive mixing could not account for (</w:t>
      </w:r>
      <w:r w:rsidR="00615FCD">
        <w:fldChar w:fldCharType="begin"/>
      </w:r>
      <w:r w:rsidR="00615FCD">
        <w:instrText xml:space="preserve"> REF _Ref487024756 \h </w:instrText>
      </w:r>
      <w:r w:rsidR="00615FCD">
        <w:fldChar w:fldCharType="separate"/>
      </w:r>
      <w:r w:rsidR="00615FCD">
        <w:t xml:space="preserve">Figure </w:t>
      </w:r>
      <w:r w:rsidR="00615FCD">
        <w:rPr>
          <w:noProof/>
        </w:rPr>
        <w:t>5</w:t>
      </w:r>
      <w:r w:rsidR="00615FCD">
        <w:t>.</w:t>
      </w:r>
      <w:r w:rsidR="00615FCD">
        <w:rPr>
          <w:noProof/>
        </w:rPr>
        <w:t>2</w:t>
      </w:r>
      <w:r w:rsidR="00615FCD">
        <w:fldChar w:fldCharType="end"/>
      </w:r>
      <w:r w:rsidRPr="00324CEE">
        <w:t>). Therefore, it is likely that some extent of microbial-mediated transformations of ethanol, nitrate, and sulfate occurred during exposure one. Microbial-mediated oxidation of ethanol to acetate and reduction of nitrate and sulfate has been well documented at the study site (Wu et al. 2006; Wu et al. 2007) and abroad (</w:t>
      </w:r>
      <w:proofErr w:type="spellStart"/>
      <w:r w:rsidRPr="00324CEE">
        <w:t>Feris</w:t>
      </w:r>
      <w:proofErr w:type="spellEnd"/>
      <w:r w:rsidRPr="00324CEE">
        <w:t xml:space="preserve"> et al. 2008; Rodriguez-</w:t>
      </w:r>
      <w:proofErr w:type="spellStart"/>
      <w:r w:rsidRPr="00324CEE">
        <w:t>Escales</w:t>
      </w:r>
      <w:proofErr w:type="spellEnd"/>
      <w:r w:rsidRPr="00324CEE">
        <w:t xml:space="preserve"> et al. 2016; Vidal-</w:t>
      </w:r>
      <w:proofErr w:type="spellStart"/>
      <w:r w:rsidRPr="00324CEE">
        <w:t>Gavilan</w:t>
      </w:r>
      <w:proofErr w:type="spellEnd"/>
      <w:r w:rsidRPr="00324CEE">
        <w:t xml:space="preserve"> et al. 2014). The breakthrough curves for exposures two and three demonstrated much stronger evidence of microbial activity as shown by substantial and sustained production of acetate and removal of ethanol, nitrate, and sulfate (</w:t>
      </w:r>
      <w:r w:rsidR="00615FCD">
        <w:fldChar w:fldCharType="begin"/>
      </w:r>
      <w:r w:rsidR="00615FCD">
        <w:instrText xml:space="preserve"> REF _Ref487024756 \h </w:instrText>
      </w:r>
      <w:r w:rsidR="00615FCD">
        <w:fldChar w:fldCharType="separate"/>
      </w:r>
      <w:r w:rsidR="00615FCD">
        <w:t xml:space="preserve">Figure </w:t>
      </w:r>
      <w:r w:rsidR="00615FCD">
        <w:rPr>
          <w:noProof/>
        </w:rPr>
        <w:t>5</w:t>
      </w:r>
      <w:r w:rsidR="00615FCD">
        <w:t>.</w:t>
      </w:r>
      <w:r w:rsidR="00615FCD">
        <w:rPr>
          <w:noProof/>
        </w:rPr>
        <w:t>2</w:t>
      </w:r>
      <w:r w:rsidR="00615FCD">
        <w:fldChar w:fldCharType="end"/>
      </w:r>
      <w:r w:rsidRPr="00324CEE">
        <w:t>). The relative increase in microbial activity during subsequent exposures to ethanol, i.e., adaptation, was expected based on previous studies (Kline et al. 2011). The breakthrough curves for exposures four, five, and six showed relatively rapid non-reactive mixing of ethanol to concentrations below the minimum detection limit (≈20 mg/L) within one hour (data not shown). The relatively rapid non-reactive mixing during exposures four, five, and six was due to an unexpected and sustained increase in groundwater flow which resulted in a substantial increase in dilution of the injection fluid. Therefore, it was not possible</w:t>
      </w:r>
      <w:r>
        <w:t xml:space="preserve"> </w:t>
      </w:r>
      <w:r w:rsidRPr="00324CEE">
        <w:t>to analyze the breakthrough curves for exposures four, five, and six. However, it is most certain that ethanol was added to the treatment and rapidly diluted during exposures four, five, and six.</w:t>
      </w:r>
    </w:p>
    <w:p w14:paraId="120BC0EB" w14:textId="77777777" w:rsidR="002C615A" w:rsidRDefault="00435BAE" w:rsidP="00B744AB">
      <w:r>
        <w:rPr>
          <w:noProof/>
          <w:lang w:eastAsia="zh-CN" w:bidi="ar-SA"/>
        </w:rPr>
        <w:lastRenderedPageBreak/>
        <w:drawing>
          <wp:inline distT="0" distB="0" distL="0" distR="0" wp14:anchorId="7D05433D" wp14:editId="4DF17FC8">
            <wp:extent cx="5943600" cy="554291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5542915"/>
                    </a:xfrm>
                    <a:prstGeom prst="rect">
                      <a:avLst/>
                    </a:prstGeom>
                    <a:noFill/>
                  </pic:spPr>
                </pic:pic>
              </a:graphicData>
            </a:graphic>
          </wp:inline>
        </w:drawing>
      </w:r>
    </w:p>
    <w:p w14:paraId="67F4A620" w14:textId="77777777" w:rsidR="002C615A" w:rsidRDefault="008A04C0" w:rsidP="00FF4314">
      <w:pPr>
        <w:pStyle w:val="Caption"/>
      </w:pPr>
      <w:bookmarkStart w:id="190" w:name="_Ref487024756"/>
      <w:bookmarkStart w:id="191" w:name="_Toc498504907"/>
      <w:r>
        <w:t xml:space="preserve">Figure </w:t>
      </w:r>
      <w:r w:rsidR="00CA2C3C">
        <w:fldChar w:fldCharType="begin"/>
      </w:r>
      <w:r w:rsidR="00CA2C3C">
        <w:instrText xml:space="preserve"> STYLEREF 1 \s </w:instrText>
      </w:r>
      <w:r w:rsidR="00CA2C3C">
        <w:fldChar w:fldCharType="separate"/>
      </w:r>
      <w:r w:rsidR="00E70E91">
        <w:rPr>
          <w:noProof/>
        </w:rPr>
        <w:t>5</w:t>
      </w:r>
      <w:r w:rsidR="00CA2C3C">
        <w:rPr>
          <w:noProof/>
        </w:rPr>
        <w:fldChar w:fldCharType="end"/>
      </w:r>
      <w:r w:rsidR="00E70E91">
        <w:t>.</w:t>
      </w:r>
      <w:r w:rsidR="00CA2C3C">
        <w:fldChar w:fldCharType="begin"/>
      </w:r>
      <w:r w:rsidR="00CA2C3C">
        <w:instrText xml:space="preserve"> SEQ Figure \* ARABIC \s 1 </w:instrText>
      </w:r>
      <w:r w:rsidR="00CA2C3C">
        <w:fldChar w:fldCharType="separate"/>
      </w:r>
      <w:r w:rsidR="00E70E91">
        <w:rPr>
          <w:noProof/>
        </w:rPr>
        <w:t>2</w:t>
      </w:r>
      <w:r w:rsidR="00CA2C3C">
        <w:rPr>
          <w:noProof/>
        </w:rPr>
        <w:fldChar w:fldCharType="end"/>
      </w:r>
      <w:bookmarkEnd w:id="190"/>
      <w:r>
        <w:t xml:space="preserve"> </w:t>
      </w:r>
      <w:r w:rsidR="00435BAE" w:rsidRPr="00435BAE">
        <w:rPr>
          <w:b w:val="0"/>
        </w:rPr>
        <w:t>Breakthrough curves of ethanol, acetate, nitrate, and sulfate for exposures 1, 2, 3, and 7 for the substrate treatment (STE1, STE2, STE3, STE7) and for exposure 1 for the substrate control (SCE1), open circles represent simulated data (model) for non-reactive mixing of the injection and aquifer fluids, closed circles represent field data (data), exposures 4, 5, and 6 for the substrate treatment are omitted due to rapid (within one hour) dilution of ethanol to levels below the minimum detection limit (</w:t>
      </w:r>
      <w:r w:rsidR="00435BAE" w:rsidRPr="00435BAE">
        <w:rPr>
          <w:rFonts w:cs="Times New Roman"/>
          <w:b w:val="0"/>
        </w:rPr>
        <w:t>≈</w:t>
      </w:r>
      <w:r w:rsidR="00435BAE" w:rsidRPr="00435BAE">
        <w:rPr>
          <w:b w:val="0"/>
        </w:rPr>
        <w:t>20 mg/L)</w:t>
      </w:r>
      <w:r w:rsidR="00DD1D4A">
        <w:rPr>
          <w:b w:val="0"/>
        </w:rPr>
        <w:t>.</w:t>
      </w:r>
      <w:bookmarkEnd w:id="191"/>
    </w:p>
    <w:p w14:paraId="2F9617A8" w14:textId="77777777" w:rsidR="00435BAE" w:rsidRDefault="00435BAE" w:rsidP="00825490"/>
    <w:p w14:paraId="2C164F71" w14:textId="77777777" w:rsidR="00055F62" w:rsidRDefault="00D3502B" w:rsidP="00D3502B">
      <w:pPr>
        <w:ind w:firstLine="720"/>
      </w:pPr>
      <w:r w:rsidRPr="00D3502B">
        <w:lastRenderedPageBreak/>
        <w:t>The treatment was not exposed to ethanol for six additional weeks (</w:t>
      </w:r>
      <w:r w:rsidR="00615FCD">
        <w:fldChar w:fldCharType="begin"/>
      </w:r>
      <w:r w:rsidR="00615FCD">
        <w:instrText xml:space="preserve"> REF _Ref487024490 \h </w:instrText>
      </w:r>
      <w:r w:rsidR="00615FCD">
        <w:fldChar w:fldCharType="separate"/>
      </w:r>
      <w:r w:rsidR="00615FCD">
        <w:t xml:space="preserve">Table </w:t>
      </w:r>
      <w:r w:rsidR="00615FCD">
        <w:rPr>
          <w:noProof/>
        </w:rPr>
        <w:t>5</w:t>
      </w:r>
      <w:r w:rsidR="00615FCD">
        <w:t>.</w:t>
      </w:r>
      <w:r w:rsidR="00615FCD">
        <w:rPr>
          <w:noProof/>
        </w:rPr>
        <w:t>2</w:t>
      </w:r>
      <w:r w:rsidR="00615FCD">
        <w:fldChar w:fldCharType="end"/>
      </w:r>
      <w:r w:rsidRPr="00D3502B">
        <w:t>) to constrain the duration of adaptation. The substrate control was also not exposed to ethanol during this time (</w:t>
      </w:r>
      <w:r w:rsidR="00615FCD">
        <w:fldChar w:fldCharType="begin"/>
      </w:r>
      <w:r w:rsidR="00615FCD">
        <w:instrText xml:space="preserve"> REF _Ref487024490 \h </w:instrText>
      </w:r>
      <w:r w:rsidR="00615FCD">
        <w:fldChar w:fldCharType="separate"/>
      </w:r>
      <w:r w:rsidR="00615FCD">
        <w:t xml:space="preserve">Table </w:t>
      </w:r>
      <w:r w:rsidR="00615FCD">
        <w:rPr>
          <w:noProof/>
        </w:rPr>
        <w:t>5</w:t>
      </w:r>
      <w:r w:rsidR="00615FCD">
        <w:t>.</w:t>
      </w:r>
      <w:r w:rsidR="00615FCD">
        <w:rPr>
          <w:noProof/>
        </w:rPr>
        <w:t>2</w:t>
      </w:r>
      <w:r w:rsidR="00615FCD">
        <w:fldChar w:fldCharType="end"/>
      </w:r>
      <w:r w:rsidRPr="00D3502B">
        <w:t>). Both the substrate treatment and substrate control were exposed to ethanol during week 14 to compare the activities of previously adapted versus non-adapted natural microbial communities (</w:t>
      </w:r>
      <w:r w:rsidR="00615FCD">
        <w:fldChar w:fldCharType="begin"/>
      </w:r>
      <w:r w:rsidR="00615FCD">
        <w:instrText xml:space="preserve"> REF _Ref487024490 \h </w:instrText>
      </w:r>
      <w:r w:rsidR="00615FCD">
        <w:fldChar w:fldCharType="separate"/>
      </w:r>
      <w:r w:rsidR="00615FCD">
        <w:t xml:space="preserve">Table </w:t>
      </w:r>
      <w:r w:rsidR="00615FCD">
        <w:rPr>
          <w:noProof/>
        </w:rPr>
        <w:t>5</w:t>
      </w:r>
      <w:r w:rsidR="00615FCD">
        <w:t>.</w:t>
      </w:r>
      <w:r w:rsidR="00615FCD">
        <w:rPr>
          <w:noProof/>
        </w:rPr>
        <w:t>2</w:t>
      </w:r>
      <w:r w:rsidR="00615FCD">
        <w:fldChar w:fldCharType="end"/>
      </w:r>
      <w:r w:rsidRPr="00D3502B">
        <w:t>). The breakthrough curves for exposure seven (week 14) in the treatment indicated a net removal of ethanol and nitrate and a net production of acetate (</w:t>
      </w:r>
      <w:r w:rsidR="00615FCD">
        <w:fldChar w:fldCharType="begin"/>
      </w:r>
      <w:r w:rsidR="00615FCD">
        <w:instrText xml:space="preserve"> REF _Ref487024756 \h </w:instrText>
      </w:r>
      <w:r w:rsidR="00615FCD">
        <w:fldChar w:fldCharType="separate"/>
      </w:r>
      <w:r w:rsidR="00615FCD">
        <w:t xml:space="preserve">Figure </w:t>
      </w:r>
      <w:r w:rsidR="00615FCD">
        <w:rPr>
          <w:noProof/>
        </w:rPr>
        <w:t>5</w:t>
      </w:r>
      <w:r w:rsidR="00615FCD">
        <w:t>.</w:t>
      </w:r>
      <w:r w:rsidR="00615FCD">
        <w:rPr>
          <w:noProof/>
        </w:rPr>
        <w:t>2</w:t>
      </w:r>
      <w:r w:rsidR="00615FCD">
        <w:fldChar w:fldCharType="end"/>
      </w:r>
      <w:r w:rsidRPr="00D3502B">
        <w:t>). The breakthrough curves for exposure one (week 14) in the substrate control also indicated a net removal of ethanol and a net production of acetate (</w:t>
      </w:r>
      <w:r w:rsidR="00615FCD">
        <w:fldChar w:fldCharType="begin"/>
      </w:r>
      <w:r w:rsidR="00615FCD">
        <w:instrText xml:space="preserve"> REF _Ref487024756 \h </w:instrText>
      </w:r>
      <w:r w:rsidR="00615FCD">
        <w:fldChar w:fldCharType="separate"/>
      </w:r>
      <w:r w:rsidR="00615FCD">
        <w:t xml:space="preserve">Figure </w:t>
      </w:r>
      <w:r w:rsidR="00615FCD">
        <w:rPr>
          <w:noProof/>
        </w:rPr>
        <w:t>5</w:t>
      </w:r>
      <w:r w:rsidR="00615FCD">
        <w:t>.</w:t>
      </w:r>
      <w:r w:rsidR="00615FCD">
        <w:rPr>
          <w:noProof/>
        </w:rPr>
        <w:t>2</w:t>
      </w:r>
      <w:r w:rsidR="00615FCD">
        <w:fldChar w:fldCharType="end"/>
      </w:r>
      <w:r w:rsidRPr="00D3502B">
        <w:t>). However, the extent of ethanol removal and acetate production was substantially greater in the substrate treatment as compared to the substrate control (</w:t>
      </w:r>
      <w:r w:rsidR="00615FCD">
        <w:fldChar w:fldCharType="begin"/>
      </w:r>
      <w:r w:rsidR="00615FCD">
        <w:instrText xml:space="preserve"> REF _Ref487024756 \h </w:instrText>
      </w:r>
      <w:r w:rsidR="00615FCD">
        <w:fldChar w:fldCharType="separate"/>
      </w:r>
      <w:r w:rsidR="00615FCD">
        <w:t xml:space="preserve">Figure </w:t>
      </w:r>
      <w:r w:rsidR="00615FCD">
        <w:rPr>
          <w:noProof/>
        </w:rPr>
        <w:t>5</w:t>
      </w:r>
      <w:r w:rsidR="00615FCD">
        <w:t>.</w:t>
      </w:r>
      <w:r w:rsidR="00615FCD">
        <w:rPr>
          <w:noProof/>
        </w:rPr>
        <w:t>2</w:t>
      </w:r>
      <w:r w:rsidR="00615FCD">
        <w:fldChar w:fldCharType="end"/>
      </w:r>
      <w:r w:rsidRPr="00D3502B">
        <w:t>). Moreover, nitrate removal occurred in the substrate treatment whereas nitrate removal did not occur in the substrate control (</w:t>
      </w:r>
      <w:r w:rsidR="00615FCD">
        <w:fldChar w:fldCharType="begin"/>
      </w:r>
      <w:r w:rsidR="00615FCD">
        <w:instrText xml:space="preserve"> REF _Ref487024756 \h </w:instrText>
      </w:r>
      <w:r w:rsidR="00615FCD">
        <w:fldChar w:fldCharType="separate"/>
      </w:r>
      <w:r w:rsidR="00615FCD">
        <w:t xml:space="preserve">Figure </w:t>
      </w:r>
      <w:r w:rsidR="00615FCD">
        <w:rPr>
          <w:noProof/>
        </w:rPr>
        <w:t>5</w:t>
      </w:r>
      <w:r w:rsidR="00615FCD">
        <w:t>.</w:t>
      </w:r>
      <w:r w:rsidR="00615FCD">
        <w:rPr>
          <w:noProof/>
        </w:rPr>
        <w:t>2</w:t>
      </w:r>
      <w:r w:rsidR="00615FCD">
        <w:fldChar w:fldCharType="end"/>
      </w:r>
      <w:r w:rsidRPr="00D3502B">
        <w:t xml:space="preserve">). These results strongly suggested that the substrate treatment sustained its adaptation for ethanol-induced microbial activity. The results of the substrate exposure tests clearly established a natural microbial community adapted to transform substrates within a groundwater system and constrained the duration of adaptation to at least six weeks in the absence of the substrate. It is conceivable that the duration of adaptation could have lasted much longer than six weeks in the absence of the substrate. Therefore, additional </w:t>
      </w:r>
      <w:r w:rsidR="00AF4FA9">
        <w:rPr>
          <w:i/>
          <w:iCs/>
        </w:rPr>
        <w:t>in situ</w:t>
      </w:r>
      <w:r w:rsidR="00AF4FA9">
        <w:t xml:space="preserve"> </w:t>
      </w:r>
      <w:r w:rsidRPr="00D3502B">
        <w:t>studies are needed to constrain an upper limit on the duration of adaptation.</w:t>
      </w:r>
    </w:p>
    <w:p w14:paraId="6EF2597F" w14:textId="77777777" w:rsidR="00965072" w:rsidRDefault="00965072" w:rsidP="00965072">
      <w:pPr>
        <w:pStyle w:val="Heading3"/>
      </w:pPr>
      <w:bookmarkStart w:id="192" w:name="_Toc498505075"/>
      <w:r>
        <w:t>5.4.2.</w:t>
      </w:r>
      <w:r>
        <w:tab/>
        <w:t>Microbial community structure</w:t>
      </w:r>
      <w:bookmarkEnd w:id="192"/>
    </w:p>
    <w:p w14:paraId="626046DC" w14:textId="12FCEB03" w:rsidR="00D92678" w:rsidRDefault="00D92678" w:rsidP="00D92678">
      <w:pPr>
        <w:ind w:firstLine="720"/>
      </w:pPr>
      <w:r>
        <w:t>The substrate treatment and substrate control were periodically sampled throughout the 14-week experiment (</w:t>
      </w:r>
      <w:r w:rsidR="00E6754C">
        <w:fldChar w:fldCharType="begin"/>
      </w:r>
      <w:r w:rsidR="00E6754C">
        <w:instrText xml:space="preserve"> REF _Ref487024490 \h </w:instrText>
      </w:r>
      <w:r w:rsidR="00E6754C">
        <w:fldChar w:fldCharType="separate"/>
      </w:r>
      <w:r w:rsidR="00E6754C">
        <w:t xml:space="preserve">Table </w:t>
      </w:r>
      <w:r w:rsidR="00E6754C">
        <w:rPr>
          <w:noProof/>
        </w:rPr>
        <w:t>5</w:t>
      </w:r>
      <w:r w:rsidR="00E6754C">
        <w:t>.</w:t>
      </w:r>
      <w:r w:rsidR="00E6754C">
        <w:rPr>
          <w:noProof/>
        </w:rPr>
        <w:t>2</w:t>
      </w:r>
      <w:r w:rsidR="00E6754C">
        <w:fldChar w:fldCharType="end"/>
      </w:r>
      <w:r>
        <w:t>) to assess the changes in the structure of the microbial communities. NMDS was conducted to assess the similarity of the natural microbial communities at the level of operational taxonomical unit (OTU) (</w:t>
      </w:r>
      <w:r w:rsidR="00BF7D64">
        <w:fldChar w:fldCharType="begin"/>
      </w:r>
      <w:r w:rsidR="00BF7D64">
        <w:instrText xml:space="preserve"> REF _Ref497722720 \h </w:instrText>
      </w:r>
      <w:r w:rsidR="00BF7D64">
        <w:fldChar w:fldCharType="separate"/>
      </w:r>
      <w:r w:rsidR="00BF7D64">
        <w:t xml:space="preserve">Figure </w:t>
      </w:r>
      <w:r w:rsidR="00BF7D64">
        <w:rPr>
          <w:noProof/>
        </w:rPr>
        <w:t>5</w:t>
      </w:r>
      <w:r w:rsidR="00BF7D64">
        <w:t>.</w:t>
      </w:r>
      <w:r w:rsidR="00BF7D64">
        <w:rPr>
          <w:noProof/>
        </w:rPr>
        <w:t>3</w:t>
      </w:r>
      <w:r w:rsidR="00BF7D64">
        <w:fldChar w:fldCharType="end"/>
      </w:r>
      <w:r>
        <w:t xml:space="preserve">). The number of </w:t>
      </w:r>
      <w:r>
        <w:lastRenderedPageBreak/>
        <w:t>dimensions was increased from two to three at which the ordination stress decreased from approximately 4 to 0.5 and remained below 0.5 up to at least seven dimensions (screen plot not shown). The NMDS plots showed that the substrate control clustered more closely as compared to substrate treatment (</w:t>
      </w:r>
      <w:r w:rsidR="00BF7D64">
        <w:fldChar w:fldCharType="begin"/>
      </w:r>
      <w:r w:rsidR="00BF7D64">
        <w:instrText xml:space="preserve"> REF _Ref497722720 \h </w:instrText>
      </w:r>
      <w:r w:rsidR="00BF7D64">
        <w:fldChar w:fldCharType="separate"/>
      </w:r>
      <w:r w:rsidR="00BF7D64">
        <w:t xml:space="preserve">Figure </w:t>
      </w:r>
      <w:r w:rsidR="00BF7D64">
        <w:rPr>
          <w:noProof/>
        </w:rPr>
        <w:t>5</w:t>
      </w:r>
      <w:r w:rsidR="00BF7D64">
        <w:t>.</w:t>
      </w:r>
      <w:r w:rsidR="00BF7D64">
        <w:rPr>
          <w:noProof/>
        </w:rPr>
        <w:t>3</w:t>
      </w:r>
      <w:r w:rsidR="00BF7D64">
        <w:fldChar w:fldCharType="end"/>
      </w:r>
      <w:r>
        <w:t>). These results suggested that exposure to ethanol caused a notable shift in the microbial community as compared to no exposure to ethanol. The microbial community in the substrate control at week four (W04) and after exposure to ethanol at week 14 (W14*) were notably dissimilar to the other time points (</w:t>
      </w:r>
      <w:r w:rsidR="00BF7D64">
        <w:fldChar w:fldCharType="begin"/>
      </w:r>
      <w:r w:rsidR="00BF7D64">
        <w:instrText xml:space="preserve"> REF _Ref497722720 \h </w:instrText>
      </w:r>
      <w:r w:rsidR="00BF7D64">
        <w:fldChar w:fldCharType="separate"/>
      </w:r>
      <w:r w:rsidR="00BF7D64">
        <w:t xml:space="preserve">Figure </w:t>
      </w:r>
      <w:r w:rsidR="00BF7D64">
        <w:rPr>
          <w:noProof/>
        </w:rPr>
        <w:t>5</w:t>
      </w:r>
      <w:r w:rsidR="00BF7D64">
        <w:t>.</w:t>
      </w:r>
      <w:r w:rsidR="00BF7D64">
        <w:rPr>
          <w:noProof/>
        </w:rPr>
        <w:t>3</w:t>
      </w:r>
      <w:r w:rsidR="00BF7D64">
        <w:fldChar w:fldCharType="end"/>
      </w:r>
      <w:r>
        <w:t>). These results suggested that the microbial community shifted in response to no substrate (W04) and added substrate (W14*) conditions</w:t>
      </w:r>
      <w:r w:rsidR="000A5750">
        <w:t xml:space="preserve">. </w:t>
      </w:r>
      <w:r>
        <w:t>However, the microbial communities in both the substrate treatment and substrate control were notably similar at weeks 14 (W14) and one (W01) (</w:t>
      </w:r>
      <w:r w:rsidR="00BF7D64">
        <w:fldChar w:fldCharType="begin"/>
      </w:r>
      <w:r w:rsidR="00BF7D64">
        <w:instrText xml:space="preserve"> REF _Ref497722720 \h </w:instrText>
      </w:r>
      <w:r w:rsidR="00BF7D64">
        <w:fldChar w:fldCharType="separate"/>
      </w:r>
      <w:r w:rsidR="00BF7D64">
        <w:t xml:space="preserve">Figure </w:t>
      </w:r>
      <w:r w:rsidR="00BF7D64">
        <w:rPr>
          <w:noProof/>
        </w:rPr>
        <w:t>5</w:t>
      </w:r>
      <w:r w:rsidR="00BF7D64">
        <w:t>.</w:t>
      </w:r>
      <w:r w:rsidR="00BF7D64">
        <w:rPr>
          <w:noProof/>
        </w:rPr>
        <w:t>3</w:t>
      </w:r>
      <w:r w:rsidR="00BF7D64">
        <w:fldChar w:fldCharType="end"/>
      </w:r>
      <w:r>
        <w:t>)</w:t>
      </w:r>
      <w:r w:rsidR="000A5750">
        <w:t xml:space="preserve">. </w:t>
      </w:r>
      <w:r>
        <w:t xml:space="preserve">These results suggested that by week 14 (W14) both microbial communities shifted back to a structure that was notably </w:t>
      </w:r>
      <w:proofErr w:type="gramStart"/>
      <w:r>
        <w:t>similar to</w:t>
      </w:r>
      <w:proofErr w:type="gramEnd"/>
      <w:r>
        <w:t xml:space="preserve"> their initial condition at week one (W01)</w:t>
      </w:r>
      <w:r w:rsidR="000A5750">
        <w:t xml:space="preserve">. </w:t>
      </w:r>
      <w:r>
        <w:t>These results were particularly surprising when considering that the substrate treatment was exposed to six consecutive weeks of ethanol whereas the substrate treatment was not</w:t>
      </w:r>
      <w:r w:rsidR="000A5750">
        <w:t xml:space="preserve">. </w:t>
      </w:r>
    </w:p>
    <w:p w14:paraId="228B4B27" w14:textId="5BDA03BD" w:rsidR="005E75DE" w:rsidRDefault="00D92678" w:rsidP="00D92678">
      <w:pPr>
        <w:ind w:firstLine="720"/>
      </w:pPr>
      <w:r>
        <w:t>HCA was conducted to further assess the similarity of the natural microbial communities at the level of OTU (</w:t>
      </w:r>
      <w:r w:rsidR="00BF7D64">
        <w:fldChar w:fldCharType="begin"/>
      </w:r>
      <w:r w:rsidR="00BF7D64">
        <w:instrText xml:space="preserve"> REF _Ref497722747 \h </w:instrText>
      </w:r>
      <w:r w:rsidR="00BF7D64">
        <w:fldChar w:fldCharType="separate"/>
      </w:r>
      <w:r w:rsidR="00BF7D64">
        <w:t xml:space="preserve">Figure </w:t>
      </w:r>
      <w:r w:rsidR="00BF7D64">
        <w:rPr>
          <w:noProof/>
        </w:rPr>
        <w:t>5</w:t>
      </w:r>
      <w:r w:rsidR="00BF7D64">
        <w:t>.</w:t>
      </w:r>
      <w:r w:rsidR="00BF7D64">
        <w:rPr>
          <w:noProof/>
        </w:rPr>
        <w:t>4</w:t>
      </w:r>
      <w:r w:rsidR="00BF7D64">
        <w:fldChar w:fldCharType="end"/>
      </w:r>
      <w:r>
        <w:t>). The communities clustered into four distinct groups (G1 through G4) (</w:t>
      </w:r>
      <w:r w:rsidR="00BF7D64">
        <w:fldChar w:fldCharType="begin"/>
      </w:r>
      <w:r w:rsidR="00BF7D64">
        <w:instrText xml:space="preserve"> REF _Ref497722747 \h </w:instrText>
      </w:r>
      <w:r w:rsidR="00BF7D64">
        <w:fldChar w:fldCharType="separate"/>
      </w:r>
      <w:r w:rsidR="00BF7D64">
        <w:t xml:space="preserve">Figure </w:t>
      </w:r>
      <w:r w:rsidR="00BF7D64">
        <w:rPr>
          <w:noProof/>
        </w:rPr>
        <w:t>5</w:t>
      </w:r>
      <w:r w:rsidR="00BF7D64">
        <w:t>.</w:t>
      </w:r>
      <w:r w:rsidR="00BF7D64">
        <w:rPr>
          <w:noProof/>
        </w:rPr>
        <w:t>4</w:t>
      </w:r>
      <w:r w:rsidR="00BF7D64">
        <w:fldChar w:fldCharType="end"/>
      </w:r>
      <w:r>
        <w:t>). Group 1 consisted entirely of the substrate control whereas groups 2, 3, and 4 consisted entirely of the substrate treatment (</w:t>
      </w:r>
      <w:r w:rsidR="00BF7D64">
        <w:fldChar w:fldCharType="begin"/>
      </w:r>
      <w:r w:rsidR="00BF7D64">
        <w:instrText xml:space="preserve"> REF _Ref497722747 \h </w:instrText>
      </w:r>
      <w:r w:rsidR="00BF7D64">
        <w:fldChar w:fldCharType="separate"/>
      </w:r>
      <w:r w:rsidR="00BF7D64">
        <w:t xml:space="preserve">Figure </w:t>
      </w:r>
      <w:r w:rsidR="00BF7D64">
        <w:rPr>
          <w:noProof/>
        </w:rPr>
        <w:t>5</w:t>
      </w:r>
      <w:r w:rsidR="00BF7D64">
        <w:t>.</w:t>
      </w:r>
      <w:r w:rsidR="00BF7D64">
        <w:rPr>
          <w:noProof/>
        </w:rPr>
        <w:t>4</w:t>
      </w:r>
      <w:r w:rsidR="00BF7D64">
        <w:fldChar w:fldCharType="end"/>
      </w:r>
      <w:r>
        <w:t>). Within the substrate control (G1), the community after exposure to ethanol (W14*) was most dissimilar as indicated by the dendrogram (</w:t>
      </w:r>
      <w:r w:rsidR="00BF7D64">
        <w:fldChar w:fldCharType="begin"/>
      </w:r>
      <w:r w:rsidR="00BF7D64">
        <w:instrText xml:space="preserve"> REF _Ref497722747 \h </w:instrText>
      </w:r>
      <w:r w:rsidR="00BF7D64">
        <w:fldChar w:fldCharType="separate"/>
      </w:r>
      <w:r w:rsidR="00BF7D64">
        <w:t xml:space="preserve">Figure </w:t>
      </w:r>
      <w:r w:rsidR="00BF7D64">
        <w:rPr>
          <w:noProof/>
        </w:rPr>
        <w:t>5</w:t>
      </w:r>
      <w:r w:rsidR="00BF7D64">
        <w:t>.</w:t>
      </w:r>
      <w:r w:rsidR="00BF7D64">
        <w:rPr>
          <w:noProof/>
        </w:rPr>
        <w:t>4</w:t>
      </w:r>
      <w:r w:rsidR="00BF7D64">
        <w:fldChar w:fldCharType="end"/>
      </w:r>
      <w:r>
        <w:t>)</w:t>
      </w:r>
      <w:r w:rsidR="000A5750">
        <w:t xml:space="preserve">. </w:t>
      </w:r>
      <w:r>
        <w:t>This result was expected based on the NMDS plots (</w:t>
      </w:r>
      <w:r w:rsidR="00BF7D64">
        <w:fldChar w:fldCharType="begin"/>
      </w:r>
      <w:r w:rsidR="00BF7D64">
        <w:instrText xml:space="preserve"> REF _Ref497722720 \h </w:instrText>
      </w:r>
      <w:r w:rsidR="00BF7D64">
        <w:fldChar w:fldCharType="separate"/>
      </w:r>
      <w:r w:rsidR="00BF7D64">
        <w:t xml:space="preserve">Figure </w:t>
      </w:r>
      <w:r w:rsidR="00BF7D64">
        <w:rPr>
          <w:noProof/>
        </w:rPr>
        <w:t>5</w:t>
      </w:r>
      <w:r w:rsidR="00BF7D64">
        <w:t>.</w:t>
      </w:r>
      <w:r w:rsidR="00BF7D64">
        <w:rPr>
          <w:noProof/>
        </w:rPr>
        <w:t>3</w:t>
      </w:r>
      <w:r w:rsidR="00BF7D64">
        <w:fldChar w:fldCharType="end"/>
      </w:r>
      <w:r>
        <w:t>). Group 2 consisted of the substrate treatment at weeks one (W01) and the beginning of week 14</w:t>
      </w:r>
      <w:r w:rsidR="00A431C9">
        <w:t xml:space="preserve"> </w:t>
      </w:r>
      <w:r>
        <w:t xml:space="preserve">(W14), which were more </w:t>
      </w:r>
      <w:proofErr w:type="gramStart"/>
      <w:r>
        <w:t>similar to</w:t>
      </w:r>
      <w:proofErr w:type="gramEnd"/>
      <w:r>
        <w:t xml:space="preserve"> each other than they were any other time points across both substrate </w:t>
      </w:r>
    </w:p>
    <w:p w14:paraId="54CED9DA" w14:textId="77777777" w:rsidR="00CC5117" w:rsidRDefault="00A431C9" w:rsidP="00A431C9">
      <w:pPr>
        <w:jc w:val="center"/>
      </w:pPr>
      <w:r>
        <w:rPr>
          <w:noProof/>
          <w:lang w:eastAsia="zh-CN" w:bidi="ar-SA"/>
        </w:rPr>
        <w:lastRenderedPageBreak/>
        <w:drawing>
          <wp:inline distT="0" distB="0" distL="0" distR="0" wp14:anchorId="44C008FA" wp14:editId="16253930">
            <wp:extent cx="5943600" cy="58754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5875425"/>
                    </a:xfrm>
                    <a:prstGeom prst="rect">
                      <a:avLst/>
                    </a:prstGeom>
                    <a:noFill/>
                  </pic:spPr>
                </pic:pic>
              </a:graphicData>
            </a:graphic>
          </wp:inline>
        </w:drawing>
      </w:r>
    </w:p>
    <w:p w14:paraId="1E88735D" w14:textId="77777777" w:rsidR="005E75DE" w:rsidRDefault="00CC5117" w:rsidP="00CC5117">
      <w:pPr>
        <w:pStyle w:val="Caption"/>
      </w:pPr>
      <w:bookmarkStart w:id="193" w:name="_Ref497722720"/>
      <w:bookmarkStart w:id="194" w:name="_Toc498504908"/>
      <w:r>
        <w:t xml:space="preserve">Figure </w:t>
      </w:r>
      <w:r w:rsidR="00CA2C3C">
        <w:fldChar w:fldCharType="begin"/>
      </w:r>
      <w:r w:rsidR="00CA2C3C">
        <w:instrText xml:space="preserve"> STYLEREF 1 \s </w:instrText>
      </w:r>
      <w:r w:rsidR="00CA2C3C">
        <w:fldChar w:fldCharType="separate"/>
      </w:r>
      <w:r w:rsidR="00E70E91">
        <w:rPr>
          <w:noProof/>
        </w:rPr>
        <w:t>5</w:t>
      </w:r>
      <w:r w:rsidR="00CA2C3C">
        <w:rPr>
          <w:noProof/>
        </w:rPr>
        <w:fldChar w:fldCharType="end"/>
      </w:r>
      <w:r w:rsidR="00E70E91">
        <w:t>.</w:t>
      </w:r>
      <w:r w:rsidR="00CA2C3C">
        <w:fldChar w:fldCharType="begin"/>
      </w:r>
      <w:r w:rsidR="00CA2C3C">
        <w:instrText xml:space="preserve"> SEQ Figure \* ARABIC \s 1 </w:instrText>
      </w:r>
      <w:r w:rsidR="00CA2C3C">
        <w:fldChar w:fldCharType="separate"/>
      </w:r>
      <w:r w:rsidR="00E70E91">
        <w:rPr>
          <w:noProof/>
        </w:rPr>
        <w:t>3</w:t>
      </w:r>
      <w:r w:rsidR="00CA2C3C">
        <w:rPr>
          <w:noProof/>
        </w:rPr>
        <w:fldChar w:fldCharType="end"/>
      </w:r>
      <w:bookmarkEnd w:id="193"/>
      <w:r>
        <w:t xml:space="preserve"> </w:t>
      </w:r>
      <w:r w:rsidR="005E75DE" w:rsidRPr="00CC5117">
        <w:rPr>
          <w:b w:val="0"/>
        </w:rPr>
        <w:t>Non-metric multi-dimensional scaling (NMDS) plots during the 14-week experiment (W01 through W14*) for the substrate control (SC) and substrate treatment (ST), *indicates post-ethanol exposure, G1, G2, G3, and G4 indicate distinct groupings</w:t>
      </w:r>
      <w:r w:rsidR="00031906">
        <w:rPr>
          <w:b w:val="0"/>
        </w:rPr>
        <w:t xml:space="preserve">, </w:t>
      </w:r>
      <w:r w:rsidR="00DD1D4A">
        <w:rPr>
          <w:b w:val="0"/>
        </w:rPr>
        <w:t>ellipses</w:t>
      </w:r>
      <w:r w:rsidR="00031906">
        <w:rPr>
          <w:b w:val="0"/>
        </w:rPr>
        <w:t xml:space="preserve"> indicated 95% confidence intervals for w</w:t>
      </w:r>
      <w:r w:rsidR="00DD1D4A">
        <w:rPr>
          <w:b w:val="0"/>
        </w:rPr>
        <w:t>eeks one through 14 (W01 through W14)</w:t>
      </w:r>
      <w:r w:rsidR="005E75DE" w:rsidRPr="00CC5117">
        <w:rPr>
          <w:b w:val="0"/>
        </w:rPr>
        <w:t>.</w:t>
      </w:r>
      <w:bookmarkEnd w:id="194"/>
    </w:p>
    <w:p w14:paraId="73BE713A" w14:textId="77777777" w:rsidR="005E75DE" w:rsidRDefault="005E75DE" w:rsidP="005E75DE"/>
    <w:p w14:paraId="715AEA62" w14:textId="19C3AF3E" w:rsidR="005E75DE" w:rsidRDefault="005E75DE" w:rsidP="005E75DE"/>
    <w:p w14:paraId="47DEA9B6" w14:textId="77777777" w:rsidR="005E75DE" w:rsidRDefault="005E75DE" w:rsidP="005E75DE">
      <w:pPr>
        <w:jc w:val="center"/>
      </w:pPr>
      <w:r>
        <w:rPr>
          <w:noProof/>
          <w:lang w:eastAsia="zh-CN" w:bidi="ar-SA"/>
        </w:rPr>
        <w:lastRenderedPageBreak/>
        <w:drawing>
          <wp:inline distT="0" distB="0" distL="0" distR="0" wp14:anchorId="2D0F9C2A" wp14:editId="4AE6B3CD">
            <wp:extent cx="4320000" cy="6364922"/>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20000" cy="6364922"/>
                    </a:xfrm>
                    <a:prstGeom prst="rect">
                      <a:avLst/>
                    </a:prstGeom>
                    <a:noFill/>
                  </pic:spPr>
                </pic:pic>
              </a:graphicData>
            </a:graphic>
          </wp:inline>
        </w:drawing>
      </w:r>
    </w:p>
    <w:p w14:paraId="44218B8D" w14:textId="77777777" w:rsidR="005E75DE" w:rsidRDefault="00CC5117" w:rsidP="00CC5117">
      <w:pPr>
        <w:pStyle w:val="Caption"/>
      </w:pPr>
      <w:bookmarkStart w:id="195" w:name="_Ref497722747"/>
      <w:bookmarkStart w:id="196" w:name="_Toc498504909"/>
      <w:r>
        <w:t xml:space="preserve">Figure </w:t>
      </w:r>
      <w:r w:rsidR="00CA2C3C">
        <w:fldChar w:fldCharType="begin"/>
      </w:r>
      <w:r w:rsidR="00CA2C3C">
        <w:instrText xml:space="preserve"> STYLEREF 1 \s </w:instrText>
      </w:r>
      <w:r w:rsidR="00CA2C3C">
        <w:fldChar w:fldCharType="separate"/>
      </w:r>
      <w:r w:rsidR="00E70E91">
        <w:rPr>
          <w:noProof/>
        </w:rPr>
        <w:t>5</w:t>
      </w:r>
      <w:r w:rsidR="00CA2C3C">
        <w:rPr>
          <w:noProof/>
        </w:rPr>
        <w:fldChar w:fldCharType="end"/>
      </w:r>
      <w:r w:rsidR="00E70E91">
        <w:t>.</w:t>
      </w:r>
      <w:r w:rsidR="00CA2C3C">
        <w:fldChar w:fldCharType="begin"/>
      </w:r>
      <w:r w:rsidR="00CA2C3C">
        <w:instrText xml:space="preserve"> SEQ Figure \* ARABIC \s 1 </w:instrText>
      </w:r>
      <w:r w:rsidR="00CA2C3C">
        <w:fldChar w:fldCharType="separate"/>
      </w:r>
      <w:r w:rsidR="00E70E91">
        <w:rPr>
          <w:noProof/>
        </w:rPr>
        <w:t>4</w:t>
      </w:r>
      <w:r w:rsidR="00CA2C3C">
        <w:rPr>
          <w:noProof/>
        </w:rPr>
        <w:fldChar w:fldCharType="end"/>
      </w:r>
      <w:bookmarkEnd w:id="195"/>
      <w:r>
        <w:t xml:space="preserve"> </w:t>
      </w:r>
      <w:r w:rsidR="005E75DE" w:rsidRPr="00CC5117">
        <w:rPr>
          <w:b w:val="0"/>
        </w:rPr>
        <w:t>Hierarchical clustering analysis of operational taxonomic units (OTUs) during the 14-week experiment (W01 through W14*) for the substrate control (SC) and substrate treatment (ST), *indicates post-ethanol exposure, G1, G2, G3, and G4 indicate distinct groupings.</w:t>
      </w:r>
      <w:bookmarkEnd w:id="196"/>
    </w:p>
    <w:p w14:paraId="55F3714B" w14:textId="77777777" w:rsidR="005E75DE" w:rsidRDefault="005E75DE" w:rsidP="005E75DE"/>
    <w:p w14:paraId="774E389D" w14:textId="77777777" w:rsidR="005E75DE" w:rsidRDefault="005E75DE" w:rsidP="005E75DE"/>
    <w:p w14:paraId="0EDECE3B" w14:textId="77777777" w:rsidR="00D92678" w:rsidRDefault="00D92678" w:rsidP="005E75DE">
      <w:r>
        <w:lastRenderedPageBreak/>
        <w:t>treatment and substrate control (</w:t>
      </w:r>
      <w:r w:rsidR="00BF7D64">
        <w:fldChar w:fldCharType="begin"/>
      </w:r>
      <w:r w:rsidR="00BF7D64">
        <w:instrText xml:space="preserve"> REF _Ref497722747 \h </w:instrText>
      </w:r>
      <w:r w:rsidR="00BF7D64">
        <w:fldChar w:fldCharType="separate"/>
      </w:r>
      <w:r w:rsidR="00BF7D64">
        <w:t xml:space="preserve">Figure </w:t>
      </w:r>
      <w:r w:rsidR="00BF7D64">
        <w:rPr>
          <w:noProof/>
        </w:rPr>
        <w:t>5</w:t>
      </w:r>
      <w:r w:rsidR="00BF7D64">
        <w:t>.</w:t>
      </w:r>
      <w:r w:rsidR="00BF7D64">
        <w:rPr>
          <w:noProof/>
        </w:rPr>
        <w:t>4</w:t>
      </w:r>
      <w:r w:rsidR="00BF7D64">
        <w:fldChar w:fldCharType="end"/>
      </w:r>
      <w:r>
        <w:t>). This result was also expected based on the NMDS plots (</w:t>
      </w:r>
      <w:r w:rsidR="00BF7D64">
        <w:fldChar w:fldCharType="begin"/>
      </w:r>
      <w:r w:rsidR="00BF7D64">
        <w:instrText xml:space="preserve"> REF _Ref497722720 \h </w:instrText>
      </w:r>
      <w:r w:rsidR="00BF7D64">
        <w:fldChar w:fldCharType="separate"/>
      </w:r>
      <w:r w:rsidR="00BF7D64">
        <w:t xml:space="preserve">Figure </w:t>
      </w:r>
      <w:r w:rsidR="00BF7D64">
        <w:rPr>
          <w:noProof/>
        </w:rPr>
        <w:t>5</w:t>
      </w:r>
      <w:r w:rsidR="00BF7D64">
        <w:t>.</w:t>
      </w:r>
      <w:r w:rsidR="00BF7D64">
        <w:rPr>
          <w:noProof/>
        </w:rPr>
        <w:t>3</w:t>
      </w:r>
      <w:r w:rsidR="00BF7D64">
        <w:fldChar w:fldCharType="end"/>
      </w:r>
      <w:r>
        <w:t>). However, the HCA quantified the similarity as 0.67 on a scale of zero being most similar and one being least similar (</w:t>
      </w:r>
      <w:r w:rsidR="00BF7D64">
        <w:fldChar w:fldCharType="begin"/>
      </w:r>
      <w:r w:rsidR="00BF7D64">
        <w:instrText xml:space="preserve"> REF _Ref497722747 \h </w:instrText>
      </w:r>
      <w:r w:rsidR="00BF7D64">
        <w:fldChar w:fldCharType="separate"/>
      </w:r>
      <w:r w:rsidR="00BF7D64">
        <w:t xml:space="preserve">Figure </w:t>
      </w:r>
      <w:r w:rsidR="00BF7D64">
        <w:rPr>
          <w:noProof/>
        </w:rPr>
        <w:t>5</w:t>
      </w:r>
      <w:r w:rsidR="00BF7D64">
        <w:t>.</w:t>
      </w:r>
      <w:r w:rsidR="00BF7D64">
        <w:rPr>
          <w:noProof/>
        </w:rPr>
        <w:t>4</w:t>
      </w:r>
      <w:r w:rsidR="00BF7D64">
        <w:fldChar w:fldCharType="end"/>
      </w:r>
      <w:r>
        <w:t>). Therefore, both the NMDS and the HCA suggested that the microbial community in the substrate treatment did not sustain its adaptation in response to exposure to ethanol (</w:t>
      </w:r>
      <w:r w:rsidR="00BF7D64">
        <w:fldChar w:fldCharType="begin"/>
      </w:r>
      <w:r w:rsidR="00BF7D64">
        <w:instrText xml:space="preserve"> REF _Ref497722720 \h </w:instrText>
      </w:r>
      <w:r w:rsidR="00BF7D64">
        <w:fldChar w:fldCharType="separate"/>
      </w:r>
      <w:r w:rsidR="00BF7D64">
        <w:t xml:space="preserve">Figure </w:t>
      </w:r>
      <w:r w:rsidR="00BF7D64">
        <w:rPr>
          <w:noProof/>
        </w:rPr>
        <w:t>5</w:t>
      </w:r>
      <w:r w:rsidR="00BF7D64">
        <w:t>.</w:t>
      </w:r>
      <w:r w:rsidR="00BF7D64">
        <w:rPr>
          <w:noProof/>
        </w:rPr>
        <w:t>3</w:t>
      </w:r>
      <w:r w:rsidR="00BF7D64">
        <w:fldChar w:fldCharType="end"/>
      </w:r>
      <w:r w:rsidR="00BF7D64">
        <w:t xml:space="preserve"> and </w:t>
      </w:r>
      <w:r w:rsidR="00BF7D64">
        <w:fldChar w:fldCharType="begin"/>
      </w:r>
      <w:r w:rsidR="00BF7D64">
        <w:instrText xml:space="preserve"> REF _Ref497722747 \h </w:instrText>
      </w:r>
      <w:r w:rsidR="00BF7D64">
        <w:fldChar w:fldCharType="separate"/>
      </w:r>
      <w:r w:rsidR="00BF7D64">
        <w:t xml:space="preserve">Figure </w:t>
      </w:r>
      <w:r w:rsidR="00BF7D64">
        <w:rPr>
          <w:noProof/>
        </w:rPr>
        <w:t>5</w:t>
      </w:r>
      <w:r w:rsidR="00BF7D64">
        <w:t>.</w:t>
      </w:r>
      <w:r w:rsidR="00BF7D64">
        <w:rPr>
          <w:noProof/>
        </w:rPr>
        <w:t>4</w:t>
      </w:r>
      <w:r w:rsidR="00BF7D64">
        <w:fldChar w:fldCharType="end"/>
      </w:r>
      <w:r>
        <w:t>). This was particularly surprising when considering that the breakthrough curves in the substrate treatment strongly suggested that the community sustained its adaptation for ethanol-induced substrate activity (</w:t>
      </w:r>
      <w:r w:rsidR="00BF7D64">
        <w:fldChar w:fldCharType="begin"/>
      </w:r>
      <w:r w:rsidR="00BF7D64">
        <w:instrText xml:space="preserve"> REF _Ref487024756 \h </w:instrText>
      </w:r>
      <w:r w:rsidR="00BF7D64">
        <w:fldChar w:fldCharType="separate"/>
      </w:r>
      <w:r w:rsidR="00BF7D64">
        <w:t xml:space="preserve">Figure </w:t>
      </w:r>
      <w:r w:rsidR="00BF7D64">
        <w:rPr>
          <w:noProof/>
        </w:rPr>
        <w:t>5</w:t>
      </w:r>
      <w:r w:rsidR="00BF7D64">
        <w:t>.</w:t>
      </w:r>
      <w:r w:rsidR="00BF7D64">
        <w:rPr>
          <w:noProof/>
        </w:rPr>
        <w:t>2</w:t>
      </w:r>
      <w:r w:rsidR="00BF7D64">
        <w:fldChar w:fldCharType="end"/>
      </w:r>
      <w:r>
        <w:t>). Group 3 consisted of the substrate treatment at weeks eight, nine, and ten whereas group 4 consisted of the substrate treatment at weeks four, seven, and week 14* (</w:t>
      </w:r>
      <w:r w:rsidR="00BF7D64">
        <w:fldChar w:fldCharType="begin"/>
      </w:r>
      <w:r w:rsidR="00BF7D64">
        <w:instrText xml:space="preserve"> REF _Ref497722747 \h </w:instrText>
      </w:r>
      <w:r w:rsidR="00BF7D64">
        <w:fldChar w:fldCharType="separate"/>
      </w:r>
      <w:r w:rsidR="00BF7D64">
        <w:t xml:space="preserve">Figure </w:t>
      </w:r>
      <w:r w:rsidR="00BF7D64">
        <w:rPr>
          <w:noProof/>
        </w:rPr>
        <w:t>5</w:t>
      </w:r>
      <w:r w:rsidR="00BF7D64">
        <w:t>.</w:t>
      </w:r>
      <w:r w:rsidR="00BF7D64">
        <w:rPr>
          <w:noProof/>
        </w:rPr>
        <w:t>4</w:t>
      </w:r>
      <w:r w:rsidR="00BF7D64">
        <w:fldChar w:fldCharType="end"/>
      </w:r>
      <w:r>
        <w:t>). In terms of timing with respect to ethanol exposure, group 3 coincided with the six-week period of no exposure to ethanol whereas group 4 coincided with the initial and final exposure to ethanol (</w:t>
      </w:r>
      <w:r w:rsidR="00BF7D64">
        <w:fldChar w:fldCharType="begin"/>
      </w:r>
      <w:r w:rsidR="00BF7D64">
        <w:instrText xml:space="preserve"> REF _Ref497722747 \h </w:instrText>
      </w:r>
      <w:r w:rsidR="00BF7D64">
        <w:fldChar w:fldCharType="separate"/>
      </w:r>
      <w:r w:rsidR="00BF7D64">
        <w:t xml:space="preserve">Figure </w:t>
      </w:r>
      <w:r w:rsidR="00BF7D64">
        <w:rPr>
          <w:noProof/>
        </w:rPr>
        <w:t>5</w:t>
      </w:r>
      <w:r w:rsidR="00BF7D64">
        <w:t>.</w:t>
      </w:r>
      <w:r w:rsidR="00BF7D64">
        <w:rPr>
          <w:noProof/>
        </w:rPr>
        <w:t>4</w:t>
      </w:r>
      <w:r w:rsidR="00BF7D64">
        <w:fldChar w:fldCharType="end"/>
      </w:r>
      <w:r w:rsidR="00BF7D64">
        <w:t xml:space="preserve"> </w:t>
      </w:r>
      <w:r>
        <w:t xml:space="preserve">and </w:t>
      </w:r>
      <w:r w:rsidR="00BF7D64">
        <w:fldChar w:fldCharType="begin"/>
      </w:r>
      <w:r w:rsidR="00BF7D64">
        <w:instrText xml:space="preserve"> REF _Ref487024490 \h </w:instrText>
      </w:r>
      <w:r w:rsidR="00BF7D64">
        <w:fldChar w:fldCharType="separate"/>
      </w:r>
      <w:r w:rsidR="00BF7D64">
        <w:t xml:space="preserve">Table </w:t>
      </w:r>
      <w:r w:rsidR="00BF7D64">
        <w:rPr>
          <w:noProof/>
        </w:rPr>
        <w:t>5</w:t>
      </w:r>
      <w:r w:rsidR="00BF7D64">
        <w:t>.</w:t>
      </w:r>
      <w:r w:rsidR="00BF7D64">
        <w:rPr>
          <w:noProof/>
        </w:rPr>
        <w:t>2</w:t>
      </w:r>
      <w:r w:rsidR="00BF7D64">
        <w:fldChar w:fldCharType="end"/>
      </w:r>
      <w:r>
        <w:t xml:space="preserve">). These results were expected based on the timing of ethanol exposures. </w:t>
      </w:r>
    </w:p>
    <w:p w14:paraId="149A7631" w14:textId="77777777" w:rsidR="00D92678" w:rsidRDefault="00D92678" w:rsidP="00D92678">
      <w:pPr>
        <w:ind w:firstLine="720"/>
      </w:pPr>
      <w:r>
        <w:t>The most surprising result was the relatively high similarity of the community structures of the substrate treatment at week one (W01) and the beginning of week 14 (W14) (</w:t>
      </w:r>
      <w:r w:rsidR="00BF7D64">
        <w:fldChar w:fldCharType="begin"/>
      </w:r>
      <w:r w:rsidR="00BF7D64">
        <w:instrText xml:space="preserve"> REF _Ref497722720 \h </w:instrText>
      </w:r>
      <w:r w:rsidR="00BF7D64">
        <w:fldChar w:fldCharType="separate"/>
      </w:r>
      <w:r w:rsidR="00BF7D64">
        <w:t xml:space="preserve">Figure </w:t>
      </w:r>
      <w:r w:rsidR="00BF7D64">
        <w:rPr>
          <w:noProof/>
        </w:rPr>
        <w:t>5</w:t>
      </w:r>
      <w:r w:rsidR="00BF7D64">
        <w:t>.</w:t>
      </w:r>
      <w:r w:rsidR="00BF7D64">
        <w:rPr>
          <w:noProof/>
        </w:rPr>
        <w:t>3</w:t>
      </w:r>
      <w:r w:rsidR="00BF7D64">
        <w:fldChar w:fldCharType="end"/>
      </w:r>
      <w:r w:rsidR="00BF7D64">
        <w:t xml:space="preserve"> </w:t>
      </w:r>
      <w:r>
        <w:t xml:space="preserve">and </w:t>
      </w:r>
      <w:r w:rsidR="00BF7D64">
        <w:fldChar w:fldCharType="begin"/>
      </w:r>
      <w:r w:rsidR="00BF7D64">
        <w:instrText xml:space="preserve"> REF _Ref497722747 \h </w:instrText>
      </w:r>
      <w:r w:rsidR="00BF7D64">
        <w:fldChar w:fldCharType="separate"/>
      </w:r>
      <w:r w:rsidR="00BF7D64">
        <w:t xml:space="preserve">Figure </w:t>
      </w:r>
      <w:r w:rsidR="00BF7D64">
        <w:rPr>
          <w:noProof/>
        </w:rPr>
        <w:t>5</w:t>
      </w:r>
      <w:r w:rsidR="00BF7D64">
        <w:t>.</w:t>
      </w:r>
      <w:r w:rsidR="00BF7D64">
        <w:rPr>
          <w:noProof/>
        </w:rPr>
        <w:t>4</w:t>
      </w:r>
      <w:r w:rsidR="00BF7D64">
        <w:fldChar w:fldCharType="end"/>
      </w:r>
      <w:r>
        <w:t>). Although the breakthrough curves in the substrate treatment strongly suggested that the community sustained its adaptation for ethanol-induced substrate activity (</w:t>
      </w:r>
      <w:r w:rsidR="00BF7D64">
        <w:fldChar w:fldCharType="begin"/>
      </w:r>
      <w:r w:rsidR="00BF7D64">
        <w:instrText xml:space="preserve"> REF _Ref487024756 \h </w:instrText>
      </w:r>
      <w:r w:rsidR="00BF7D64">
        <w:fldChar w:fldCharType="separate"/>
      </w:r>
      <w:r w:rsidR="00BF7D64">
        <w:t xml:space="preserve">Figure </w:t>
      </w:r>
      <w:r w:rsidR="00BF7D64">
        <w:rPr>
          <w:noProof/>
        </w:rPr>
        <w:t>5</w:t>
      </w:r>
      <w:r w:rsidR="00BF7D64">
        <w:t>.</w:t>
      </w:r>
      <w:r w:rsidR="00BF7D64">
        <w:rPr>
          <w:noProof/>
        </w:rPr>
        <w:t>2</w:t>
      </w:r>
      <w:r w:rsidR="00BF7D64">
        <w:fldChar w:fldCharType="end"/>
      </w:r>
      <w:r>
        <w:t>), the NMDS plots and HCA indicated that the community structure at the beginning of week 14 (W14) was notably similar to week one (W01) (</w:t>
      </w:r>
      <w:r w:rsidR="00BF7D64">
        <w:fldChar w:fldCharType="begin"/>
      </w:r>
      <w:r w:rsidR="00BF7D64">
        <w:instrText xml:space="preserve"> REF _Ref497722720 \h </w:instrText>
      </w:r>
      <w:r w:rsidR="00BF7D64">
        <w:fldChar w:fldCharType="separate"/>
      </w:r>
      <w:r w:rsidR="00BF7D64">
        <w:t xml:space="preserve">Figure </w:t>
      </w:r>
      <w:r w:rsidR="00BF7D64">
        <w:rPr>
          <w:noProof/>
        </w:rPr>
        <w:t>5</w:t>
      </w:r>
      <w:r w:rsidR="00BF7D64">
        <w:t>.</w:t>
      </w:r>
      <w:r w:rsidR="00BF7D64">
        <w:rPr>
          <w:noProof/>
        </w:rPr>
        <w:t>3</w:t>
      </w:r>
      <w:r w:rsidR="00BF7D64">
        <w:fldChar w:fldCharType="end"/>
      </w:r>
      <w:r w:rsidR="00BF7D64">
        <w:t xml:space="preserve"> </w:t>
      </w:r>
      <w:r>
        <w:t xml:space="preserve">and </w:t>
      </w:r>
      <w:r w:rsidR="00BF7D64">
        <w:fldChar w:fldCharType="begin"/>
      </w:r>
      <w:r w:rsidR="00BF7D64">
        <w:instrText xml:space="preserve"> REF _Ref497722747 \h </w:instrText>
      </w:r>
      <w:r w:rsidR="00BF7D64">
        <w:fldChar w:fldCharType="separate"/>
      </w:r>
      <w:r w:rsidR="00BF7D64">
        <w:t xml:space="preserve">Figure </w:t>
      </w:r>
      <w:r w:rsidR="00BF7D64">
        <w:rPr>
          <w:noProof/>
        </w:rPr>
        <w:t>5</w:t>
      </w:r>
      <w:r w:rsidR="00BF7D64">
        <w:t>.</w:t>
      </w:r>
      <w:r w:rsidR="00BF7D64">
        <w:rPr>
          <w:noProof/>
        </w:rPr>
        <w:t>4</w:t>
      </w:r>
      <w:r w:rsidR="00BF7D64">
        <w:fldChar w:fldCharType="end"/>
      </w:r>
      <w:r>
        <w:t xml:space="preserve">). It is possible that the sessile microbial community adapted and sustained its adaptation but this is not known due to lack of sediment samples. It is also possible that genetic adaptations, rather than persistent changes to the community structure, were the primary mechanism that allowed the substrate treatment to respond rapidly to ethanol exposure (W14*). </w:t>
      </w:r>
    </w:p>
    <w:p w14:paraId="04B4F797" w14:textId="77777777" w:rsidR="00E70E91" w:rsidRDefault="00D92678" w:rsidP="00D92678">
      <w:pPr>
        <w:ind w:firstLine="720"/>
      </w:pPr>
      <w:r>
        <w:lastRenderedPageBreak/>
        <w:t xml:space="preserve">Relative abundance analysis was conducted to assess the shifts </w:t>
      </w:r>
      <w:proofErr w:type="gramStart"/>
      <w:r>
        <w:t>in particular taxa</w:t>
      </w:r>
      <w:proofErr w:type="gramEnd"/>
      <w:r>
        <w:t xml:space="preserve"> at the level of phylum (</w:t>
      </w:r>
      <w:r w:rsidR="00DC3912">
        <w:fldChar w:fldCharType="begin"/>
      </w:r>
      <w:r w:rsidR="00DC3912">
        <w:instrText xml:space="preserve"> REF _Ref497724052 \h </w:instrText>
      </w:r>
      <w:r w:rsidR="00DC3912">
        <w:fldChar w:fldCharType="separate"/>
      </w:r>
      <w:r w:rsidR="00DC3912">
        <w:t xml:space="preserve">Figure </w:t>
      </w:r>
      <w:r w:rsidR="00DC3912">
        <w:rPr>
          <w:noProof/>
        </w:rPr>
        <w:t>5</w:t>
      </w:r>
      <w:r w:rsidR="00DC3912">
        <w:t>.</w:t>
      </w:r>
      <w:r w:rsidR="00DC3912">
        <w:rPr>
          <w:noProof/>
        </w:rPr>
        <w:t>5</w:t>
      </w:r>
      <w:r w:rsidR="00DC3912">
        <w:fldChar w:fldCharType="end"/>
      </w:r>
      <w:r>
        <w:t>). The microbial community of the substrate control was dominated by Proteobacteria for weeks one through the beginning of 14 but showed considerable variability (</w:t>
      </w:r>
      <w:r w:rsidR="00DC3912">
        <w:fldChar w:fldCharType="begin"/>
      </w:r>
      <w:r w:rsidR="00DC3912">
        <w:instrText xml:space="preserve"> REF _Ref497724052 \h </w:instrText>
      </w:r>
      <w:r w:rsidR="00DC3912">
        <w:fldChar w:fldCharType="separate"/>
      </w:r>
      <w:r w:rsidR="00DC3912">
        <w:t xml:space="preserve">Figure </w:t>
      </w:r>
      <w:r w:rsidR="00DC3912">
        <w:rPr>
          <w:noProof/>
        </w:rPr>
        <w:t>5</w:t>
      </w:r>
      <w:r w:rsidR="00DC3912">
        <w:t>.</w:t>
      </w:r>
      <w:r w:rsidR="00DC3912">
        <w:rPr>
          <w:noProof/>
        </w:rPr>
        <w:t>5</w:t>
      </w:r>
      <w:r w:rsidR="00DC3912">
        <w:fldChar w:fldCharType="end"/>
      </w:r>
      <w:r>
        <w:t>). The relative abundance of other taxa in the substrate control, such as Nitrospirae, Firmicutes, and Woesearchaeota were also notable for weeks one through the beginning of 14 and showed considerable variability (</w:t>
      </w:r>
      <w:r w:rsidR="00DC3912">
        <w:fldChar w:fldCharType="begin"/>
      </w:r>
      <w:r w:rsidR="00DC3912">
        <w:instrText xml:space="preserve"> REF _Ref497724052 \h </w:instrText>
      </w:r>
      <w:r w:rsidR="00DC3912">
        <w:fldChar w:fldCharType="separate"/>
      </w:r>
      <w:r w:rsidR="00DC3912">
        <w:t xml:space="preserve">Figure </w:t>
      </w:r>
      <w:r w:rsidR="00DC3912">
        <w:rPr>
          <w:noProof/>
        </w:rPr>
        <w:t>5</w:t>
      </w:r>
      <w:r w:rsidR="00DC3912">
        <w:t>.</w:t>
      </w:r>
      <w:r w:rsidR="00DC3912">
        <w:rPr>
          <w:noProof/>
        </w:rPr>
        <w:t>5</w:t>
      </w:r>
      <w:r w:rsidR="00DC3912">
        <w:fldChar w:fldCharType="end"/>
      </w:r>
      <w:r>
        <w:t>). During this time, the substrate control was not exposed to ethanol (</w:t>
      </w:r>
      <w:r w:rsidR="00DC3912">
        <w:fldChar w:fldCharType="begin"/>
      </w:r>
      <w:r w:rsidR="00DC3912">
        <w:instrText xml:space="preserve"> REF _Ref487024490 \h </w:instrText>
      </w:r>
      <w:r w:rsidR="00DC3912">
        <w:fldChar w:fldCharType="separate"/>
      </w:r>
      <w:r w:rsidR="00DC3912">
        <w:t xml:space="preserve">Table </w:t>
      </w:r>
      <w:r w:rsidR="00DC3912">
        <w:rPr>
          <w:noProof/>
        </w:rPr>
        <w:t>5</w:t>
      </w:r>
      <w:r w:rsidR="00DC3912">
        <w:t>.</w:t>
      </w:r>
      <w:r w:rsidR="00DC3912">
        <w:rPr>
          <w:noProof/>
        </w:rPr>
        <w:t>2</w:t>
      </w:r>
      <w:r w:rsidR="00DC3912">
        <w:fldChar w:fldCharType="end"/>
      </w:r>
      <w:r>
        <w:t xml:space="preserve">). Therefore, the temporal changes in taxa in the substrate control for weeks one through 14 were representative of natural conditions. The high relative abundance and temporal variability of Proteobacteria, Nitrospirae, and Firmicutes under natural conditions was expected based on a recent study at the ORR by King et al. (2017). King et al. (2017) demonstrated similar results from </w:t>
      </w:r>
      <w:r w:rsidR="00AF4FA9">
        <w:rPr>
          <w:i/>
          <w:iCs/>
        </w:rPr>
        <w:t>in situ</w:t>
      </w:r>
      <w:r w:rsidR="00AF4FA9">
        <w:t xml:space="preserve"> </w:t>
      </w:r>
      <w:r>
        <w:t>above ground bioreactors and noted that such taxa are associated with low dissolved oxygen and/or representative of nitrate reducers. Both low dissolved oxygen and the presence of nitrate are characteristic of the dissolved-phase chemistry at the study site (Paradis et al. 2016). The substrate control was exposed to ethanol during the middle of week 14 (W14) and sampled for microbial community structure at the end of week 14 (W14*) (</w:t>
      </w:r>
      <w:r w:rsidR="00DC3912">
        <w:fldChar w:fldCharType="begin"/>
      </w:r>
      <w:r w:rsidR="00DC3912">
        <w:instrText xml:space="preserve"> REF _Ref487024490 \h </w:instrText>
      </w:r>
      <w:r w:rsidR="00DC3912">
        <w:fldChar w:fldCharType="separate"/>
      </w:r>
      <w:r w:rsidR="00DC3912">
        <w:t xml:space="preserve">Table </w:t>
      </w:r>
      <w:r w:rsidR="00DC3912">
        <w:rPr>
          <w:noProof/>
        </w:rPr>
        <w:t>5</w:t>
      </w:r>
      <w:r w:rsidR="00DC3912">
        <w:t>.</w:t>
      </w:r>
      <w:r w:rsidR="00DC3912">
        <w:rPr>
          <w:noProof/>
        </w:rPr>
        <w:t>2</w:t>
      </w:r>
      <w:r w:rsidR="00DC3912">
        <w:fldChar w:fldCharType="end"/>
      </w:r>
      <w:r>
        <w:t>). After exposure to ethanol (W14*), Acidobacteria substantially increased in relative abundance, replacing Proteobacteria as the dominant phylum (</w:t>
      </w:r>
      <w:r w:rsidR="00DC3912">
        <w:fldChar w:fldCharType="begin"/>
      </w:r>
      <w:r w:rsidR="00DC3912">
        <w:instrText xml:space="preserve"> REF _Ref497724052 \h </w:instrText>
      </w:r>
      <w:r w:rsidR="00DC3912">
        <w:fldChar w:fldCharType="separate"/>
      </w:r>
      <w:r w:rsidR="00DC3912">
        <w:t xml:space="preserve">Figure </w:t>
      </w:r>
      <w:r w:rsidR="00DC3912">
        <w:rPr>
          <w:noProof/>
        </w:rPr>
        <w:t>5</w:t>
      </w:r>
      <w:r w:rsidR="00DC3912">
        <w:t>.</w:t>
      </w:r>
      <w:r w:rsidR="00DC3912">
        <w:rPr>
          <w:noProof/>
        </w:rPr>
        <w:t>5</w:t>
      </w:r>
      <w:r w:rsidR="00DC3912">
        <w:fldChar w:fldCharType="end"/>
      </w:r>
      <w:r>
        <w:t xml:space="preserve">). These results were not expected when considering that previous studies at the ORR showed increases of Proteobacteria and decreases of Acidobacteria after exposure to ethanol (Cardenas et al. 2008; Spain et al. 2007). However, previous studies characterized the microbial communities associated with sediment (sessile) and after prolonged (three weeks to two years) exposures of </w:t>
      </w:r>
    </w:p>
    <w:p w14:paraId="2D8B21C4" w14:textId="77777777" w:rsidR="00E70E91" w:rsidRDefault="00E70E91" w:rsidP="00E70E91">
      <w:r>
        <w:rPr>
          <w:noProof/>
          <w:lang w:eastAsia="zh-CN" w:bidi="ar-SA"/>
        </w:rPr>
        <w:lastRenderedPageBreak/>
        <w:drawing>
          <wp:inline distT="0" distB="0" distL="0" distR="0" wp14:anchorId="0F8C9053" wp14:editId="1E897341">
            <wp:extent cx="5943600" cy="368236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3682365"/>
                    </a:xfrm>
                    <a:prstGeom prst="rect">
                      <a:avLst/>
                    </a:prstGeom>
                    <a:noFill/>
                  </pic:spPr>
                </pic:pic>
              </a:graphicData>
            </a:graphic>
          </wp:inline>
        </w:drawing>
      </w:r>
    </w:p>
    <w:p w14:paraId="4D9B21BC" w14:textId="77777777" w:rsidR="00E70E91" w:rsidRDefault="00E70E91" w:rsidP="00E70E91">
      <w:pPr>
        <w:pStyle w:val="Caption"/>
      </w:pPr>
      <w:bookmarkStart w:id="197" w:name="_Ref497724052"/>
      <w:bookmarkStart w:id="198" w:name="_Toc498504910"/>
      <w:r>
        <w:t xml:space="preserve">Figure </w:t>
      </w:r>
      <w:r w:rsidR="00CA2C3C">
        <w:fldChar w:fldCharType="begin"/>
      </w:r>
      <w:r w:rsidR="00CA2C3C">
        <w:instrText xml:space="preserve"> STYLEREF 1 \s </w:instrText>
      </w:r>
      <w:r w:rsidR="00CA2C3C">
        <w:fldChar w:fldCharType="separate"/>
      </w:r>
      <w:r>
        <w:rPr>
          <w:noProof/>
        </w:rPr>
        <w:t>5</w:t>
      </w:r>
      <w:r w:rsidR="00CA2C3C">
        <w:rPr>
          <w:noProof/>
        </w:rPr>
        <w:fldChar w:fldCharType="end"/>
      </w:r>
      <w:r>
        <w:t>.</w:t>
      </w:r>
      <w:r w:rsidR="00CA2C3C">
        <w:fldChar w:fldCharType="begin"/>
      </w:r>
      <w:r w:rsidR="00CA2C3C">
        <w:instrText xml:space="preserve"> SEQ Figure \* ARABIC \s 1 </w:instrText>
      </w:r>
      <w:r w:rsidR="00CA2C3C">
        <w:fldChar w:fldCharType="separate"/>
      </w:r>
      <w:r>
        <w:rPr>
          <w:noProof/>
        </w:rPr>
        <w:t>5</w:t>
      </w:r>
      <w:r w:rsidR="00CA2C3C">
        <w:rPr>
          <w:noProof/>
        </w:rPr>
        <w:fldChar w:fldCharType="end"/>
      </w:r>
      <w:bookmarkEnd w:id="197"/>
      <w:r>
        <w:t xml:space="preserve"> </w:t>
      </w:r>
      <w:r w:rsidRPr="00E70E91">
        <w:rPr>
          <w:b w:val="0"/>
        </w:rPr>
        <w:t>Relative abundance of microbial taxa at the phylum level during the 14-week experiment (W01 through W14) for the substrate control (SC) and substrate treatment (ST), *indicates post-ethanol exposure</w:t>
      </w:r>
      <w:r w:rsidR="00DD1D4A">
        <w:rPr>
          <w:b w:val="0"/>
        </w:rPr>
        <w:t>.</w:t>
      </w:r>
      <w:bookmarkEnd w:id="198"/>
    </w:p>
    <w:p w14:paraId="536A18B7" w14:textId="77777777" w:rsidR="00E70E91" w:rsidRDefault="00E70E91" w:rsidP="00E70E91"/>
    <w:p w14:paraId="28430225" w14:textId="77777777" w:rsidR="00E70E91" w:rsidRDefault="00E70E91" w:rsidP="00D92678">
      <w:pPr>
        <w:ind w:firstLine="720"/>
      </w:pPr>
    </w:p>
    <w:p w14:paraId="2DB5FADE" w14:textId="77777777" w:rsidR="00E70E91" w:rsidRDefault="00E70E91" w:rsidP="00D92678">
      <w:pPr>
        <w:ind w:firstLine="720"/>
      </w:pPr>
    </w:p>
    <w:p w14:paraId="3965DDAE" w14:textId="77777777" w:rsidR="00E70E91" w:rsidRDefault="00E70E91" w:rsidP="00D92678">
      <w:pPr>
        <w:ind w:firstLine="720"/>
      </w:pPr>
    </w:p>
    <w:p w14:paraId="13F63D8C" w14:textId="77777777" w:rsidR="00E70E91" w:rsidRDefault="00E70E91" w:rsidP="00D92678">
      <w:pPr>
        <w:ind w:firstLine="720"/>
      </w:pPr>
    </w:p>
    <w:p w14:paraId="68A3D576" w14:textId="77777777" w:rsidR="00E70E91" w:rsidRDefault="00E70E91" w:rsidP="00E70E91"/>
    <w:p w14:paraId="7040F325" w14:textId="77777777" w:rsidR="00E70E91" w:rsidRDefault="00E70E91" w:rsidP="00E70E91"/>
    <w:p w14:paraId="06BCC622" w14:textId="77777777" w:rsidR="00E70E91" w:rsidRDefault="00E70E91" w:rsidP="00E70E91"/>
    <w:p w14:paraId="1309CB37" w14:textId="77777777" w:rsidR="00D92678" w:rsidRDefault="00D92678" w:rsidP="00E70E91">
      <w:r>
        <w:lastRenderedPageBreak/>
        <w:t xml:space="preserve">ethanol (Cardenas et al. 2008; Spain et al. 2007) whereas this study characterized microbial communities associated with groundwater (planktonic) and after a brief (less than four hours) exposure of ethanol. It is possible that the sessile microbial community adapted in a manner consistent with previous studies, but this is not known due to lack of sediment samples. It is also possible that duration of exposure to the substrate, i.e., prolonged versus brief, had a notable effect on the relative abundance of taxa as previously demonstrated by </w:t>
      </w:r>
      <w:proofErr w:type="spellStart"/>
      <w:r>
        <w:t>Pernthaler</w:t>
      </w:r>
      <w:proofErr w:type="spellEnd"/>
      <w:r>
        <w:t xml:space="preserve"> et al. (2001). Nevertheless, these results demonstrated that the planktonic microbial community in the substrate control was relatively stable under natural conditions but rapidly changed after exposure to ethanol. </w:t>
      </w:r>
    </w:p>
    <w:p w14:paraId="79C5ADAE" w14:textId="77777777" w:rsidR="00DC4DD0" w:rsidRPr="00DC4DD0" w:rsidRDefault="00D92678" w:rsidP="008F1D3D">
      <w:pPr>
        <w:ind w:firstLine="720"/>
      </w:pPr>
      <w:r>
        <w:t>The substrate treatment was dominated by Proteobacteria for weeks one through 10 but varied considerably more than the substrate control (</w:t>
      </w:r>
      <w:r w:rsidR="00DC3912">
        <w:fldChar w:fldCharType="begin"/>
      </w:r>
      <w:r w:rsidR="00DC3912">
        <w:instrText xml:space="preserve"> REF _Ref497724052 \h </w:instrText>
      </w:r>
      <w:r w:rsidR="00DC3912">
        <w:fldChar w:fldCharType="separate"/>
      </w:r>
      <w:r w:rsidR="00DC3912">
        <w:t xml:space="preserve">Figure </w:t>
      </w:r>
      <w:r w:rsidR="00DC3912">
        <w:rPr>
          <w:noProof/>
        </w:rPr>
        <w:t>5</w:t>
      </w:r>
      <w:r w:rsidR="00DC3912">
        <w:t>.</w:t>
      </w:r>
      <w:r w:rsidR="00DC3912">
        <w:rPr>
          <w:noProof/>
        </w:rPr>
        <w:t>5</w:t>
      </w:r>
      <w:r w:rsidR="00DC3912">
        <w:fldChar w:fldCharType="end"/>
      </w:r>
      <w:r>
        <w:t>). The relative abundance of other taxa in the treatment, such as Firmicutes and Woesearchaeota were also notable for weeks one through 10 and showed considerable variability (</w:t>
      </w:r>
      <w:r w:rsidR="00DC3912">
        <w:fldChar w:fldCharType="begin"/>
      </w:r>
      <w:r w:rsidR="00DC3912">
        <w:instrText xml:space="preserve"> REF _Ref497724052 \h </w:instrText>
      </w:r>
      <w:r w:rsidR="00DC3912">
        <w:fldChar w:fldCharType="separate"/>
      </w:r>
      <w:r w:rsidR="00DC3912">
        <w:t xml:space="preserve">Figure </w:t>
      </w:r>
      <w:r w:rsidR="00DC3912">
        <w:rPr>
          <w:noProof/>
        </w:rPr>
        <w:t>5</w:t>
      </w:r>
      <w:r w:rsidR="00DC3912">
        <w:t>.</w:t>
      </w:r>
      <w:r w:rsidR="00DC3912">
        <w:rPr>
          <w:noProof/>
        </w:rPr>
        <w:t>5</w:t>
      </w:r>
      <w:r w:rsidR="00DC3912">
        <w:fldChar w:fldCharType="end"/>
      </w:r>
      <w:r>
        <w:t>). Compared to the substrate control during this time, the community in the treatment by week 10 was notably different than week one (</w:t>
      </w:r>
      <w:r w:rsidR="00DC3912">
        <w:fldChar w:fldCharType="begin"/>
      </w:r>
      <w:r w:rsidR="00DC3912">
        <w:instrText xml:space="preserve"> REF _Ref497724052 \h </w:instrText>
      </w:r>
      <w:r w:rsidR="00DC3912">
        <w:fldChar w:fldCharType="separate"/>
      </w:r>
      <w:r w:rsidR="00DC3912">
        <w:t xml:space="preserve">Figure </w:t>
      </w:r>
      <w:r w:rsidR="00DC3912">
        <w:rPr>
          <w:noProof/>
        </w:rPr>
        <w:t>5</w:t>
      </w:r>
      <w:r w:rsidR="00DC3912">
        <w:t>.</w:t>
      </w:r>
      <w:r w:rsidR="00DC3912">
        <w:rPr>
          <w:noProof/>
        </w:rPr>
        <w:t>5</w:t>
      </w:r>
      <w:r w:rsidR="00DC3912">
        <w:fldChar w:fldCharType="end"/>
      </w:r>
      <w:r>
        <w:t>). A notable change in the community in the treatment was expected because by week 10 the treatment had been exposed to six consecutive weeks of ethanol whereas the substrate control had not been exposed to ethanol (</w:t>
      </w:r>
      <w:r w:rsidR="00DC3912">
        <w:fldChar w:fldCharType="begin"/>
      </w:r>
      <w:r w:rsidR="00DC3912">
        <w:instrText xml:space="preserve"> REF _Ref487024490 \h </w:instrText>
      </w:r>
      <w:r w:rsidR="00DC3912">
        <w:fldChar w:fldCharType="separate"/>
      </w:r>
      <w:r w:rsidR="00DC3912">
        <w:t xml:space="preserve">Table </w:t>
      </w:r>
      <w:r w:rsidR="00DC3912">
        <w:rPr>
          <w:noProof/>
        </w:rPr>
        <w:t>5</w:t>
      </w:r>
      <w:r w:rsidR="00DC3912">
        <w:t>.</w:t>
      </w:r>
      <w:r w:rsidR="00DC3912">
        <w:rPr>
          <w:noProof/>
        </w:rPr>
        <w:t>2</w:t>
      </w:r>
      <w:r w:rsidR="00DC3912">
        <w:fldChar w:fldCharType="end"/>
      </w:r>
      <w:r>
        <w:t>). By the beginning of week 14, the substrate treatment had been exposed to ethanol for six consecutive weeks followed by six consecutive weeks without exposure to ethanol (</w:t>
      </w:r>
      <w:r w:rsidR="00DC3912">
        <w:fldChar w:fldCharType="begin"/>
      </w:r>
      <w:r w:rsidR="00DC3912">
        <w:instrText xml:space="preserve"> REF _Ref487024490 \h </w:instrText>
      </w:r>
      <w:r w:rsidR="00DC3912">
        <w:fldChar w:fldCharType="separate"/>
      </w:r>
      <w:r w:rsidR="00DC3912">
        <w:t xml:space="preserve">Table </w:t>
      </w:r>
      <w:r w:rsidR="00DC3912">
        <w:rPr>
          <w:noProof/>
        </w:rPr>
        <w:t>5</w:t>
      </w:r>
      <w:r w:rsidR="00DC3912">
        <w:t>.</w:t>
      </w:r>
      <w:r w:rsidR="00DC3912">
        <w:rPr>
          <w:noProof/>
        </w:rPr>
        <w:t>2</w:t>
      </w:r>
      <w:r w:rsidR="00DC3912">
        <w:fldChar w:fldCharType="end"/>
      </w:r>
      <w:r>
        <w:t>). As compared to the substrate control, the community in the substrate treatment by week 14 was notably different than week one (</w:t>
      </w:r>
      <w:r w:rsidR="00DC3912">
        <w:fldChar w:fldCharType="begin"/>
      </w:r>
      <w:r w:rsidR="00DC3912">
        <w:instrText xml:space="preserve"> REF _Ref497724052 \h </w:instrText>
      </w:r>
      <w:r w:rsidR="00DC3912">
        <w:fldChar w:fldCharType="separate"/>
      </w:r>
      <w:r w:rsidR="00DC3912">
        <w:t xml:space="preserve">Figure </w:t>
      </w:r>
      <w:r w:rsidR="00DC3912">
        <w:rPr>
          <w:noProof/>
        </w:rPr>
        <w:t>5</w:t>
      </w:r>
      <w:r w:rsidR="00DC3912">
        <w:t>.</w:t>
      </w:r>
      <w:r w:rsidR="00DC3912">
        <w:rPr>
          <w:noProof/>
        </w:rPr>
        <w:t>5</w:t>
      </w:r>
      <w:r w:rsidR="00DC3912">
        <w:fldChar w:fldCharType="end"/>
      </w:r>
      <w:r>
        <w:t>). Therefore, if the microbial community in the treatment adapted to, and sustained its adaptation for, ethanol-induced transformation of substrates, which the breakthrough curves strongly suggested (</w:t>
      </w:r>
      <w:r w:rsidR="00DC3912">
        <w:fldChar w:fldCharType="begin"/>
      </w:r>
      <w:r w:rsidR="00DC3912">
        <w:instrText xml:space="preserve"> REF _Ref487024756 \h </w:instrText>
      </w:r>
      <w:r w:rsidR="00DC3912">
        <w:fldChar w:fldCharType="separate"/>
      </w:r>
      <w:r w:rsidR="00DC3912">
        <w:t xml:space="preserve">Figure </w:t>
      </w:r>
      <w:r w:rsidR="00DC3912">
        <w:rPr>
          <w:noProof/>
        </w:rPr>
        <w:t>5</w:t>
      </w:r>
      <w:r w:rsidR="00DC3912">
        <w:t>.</w:t>
      </w:r>
      <w:r w:rsidR="00DC3912">
        <w:rPr>
          <w:noProof/>
        </w:rPr>
        <w:t>2</w:t>
      </w:r>
      <w:r w:rsidR="00DC3912">
        <w:fldChar w:fldCharType="end"/>
      </w:r>
      <w:r>
        <w:t xml:space="preserve">), then the community at the beginning of week 14 (W14) may be </w:t>
      </w:r>
      <w:r>
        <w:lastRenderedPageBreak/>
        <w:t>representative of an adapted community (</w:t>
      </w:r>
      <w:r w:rsidR="00DC3912">
        <w:fldChar w:fldCharType="begin"/>
      </w:r>
      <w:r w:rsidR="00DC3912">
        <w:instrText xml:space="preserve"> REF _Ref497724052 \h </w:instrText>
      </w:r>
      <w:r w:rsidR="00DC3912">
        <w:fldChar w:fldCharType="separate"/>
      </w:r>
      <w:r w:rsidR="00DC3912">
        <w:t xml:space="preserve">Figure </w:t>
      </w:r>
      <w:r w:rsidR="00DC3912">
        <w:rPr>
          <w:noProof/>
        </w:rPr>
        <w:t>5</w:t>
      </w:r>
      <w:r w:rsidR="00DC3912">
        <w:t>.</w:t>
      </w:r>
      <w:r w:rsidR="00DC3912">
        <w:rPr>
          <w:noProof/>
        </w:rPr>
        <w:t>5</w:t>
      </w:r>
      <w:r w:rsidR="00DC3912">
        <w:fldChar w:fldCharType="end"/>
      </w:r>
      <w:r>
        <w:t>). Likewise, if the microbial community in the substrate control was not adapted for ethanol-induced transformation of substrates, which the breakthrough curves strongly suggested (</w:t>
      </w:r>
      <w:r w:rsidR="00DC3912">
        <w:fldChar w:fldCharType="begin"/>
      </w:r>
      <w:r w:rsidR="00DC3912">
        <w:instrText xml:space="preserve"> REF _Ref487024756 \h </w:instrText>
      </w:r>
      <w:r w:rsidR="00DC3912">
        <w:fldChar w:fldCharType="separate"/>
      </w:r>
      <w:r w:rsidR="00DC3912">
        <w:t xml:space="preserve">Figure </w:t>
      </w:r>
      <w:r w:rsidR="00DC3912">
        <w:rPr>
          <w:noProof/>
        </w:rPr>
        <w:t>5</w:t>
      </w:r>
      <w:r w:rsidR="00DC3912">
        <w:t>.</w:t>
      </w:r>
      <w:r w:rsidR="00DC3912">
        <w:rPr>
          <w:noProof/>
        </w:rPr>
        <w:t>2</w:t>
      </w:r>
      <w:r w:rsidR="00DC3912">
        <w:fldChar w:fldCharType="end"/>
      </w:r>
      <w:r>
        <w:t>), then the community at the beginning of week 14 (W14) may be representative of a non-adapted community (</w:t>
      </w:r>
      <w:r w:rsidR="00DC3912">
        <w:fldChar w:fldCharType="begin"/>
      </w:r>
      <w:r w:rsidR="00DC3912">
        <w:instrText xml:space="preserve"> REF _Ref497724052 \h </w:instrText>
      </w:r>
      <w:r w:rsidR="00DC3912">
        <w:fldChar w:fldCharType="separate"/>
      </w:r>
      <w:r w:rsidR="00DC3912">
        <w:t xml:space="preserve">Figure </w:t>
      </w:r>
      <w:r w:rsidR="00DC3912">
        <w:rPr>
          <w:noProof/>
        </w:rPr>
        <w:t>5</w:t>
      </w:r>
      <w:r w:rsidR="00DC3912">
        <w:t>.</w:t>
      </w:r>
      <w:r w:rsidR="00DC3912">
        <w:rPr>
          <w:noProof/>
        </w:rPr>
        <w:t>5</w:t>
      </w:r>
      <w:r w:rsidR="00DC3912">
        <w:fldChar w:fldCharType="end"/>
      </w:r>
      <w:r>
        <w:t>). The relative abundance of taxa in the substrate treatment after its final exposure to ethanol (W14*) was notably different than before its final exposure to ethanol (W14) as indicated by the increase of Woesearchaeota and decrease of Nitrospirae (</w:t>
      </w:r>
      <w:r w:rsidR="00DC3912">
        <w:fldChar w:fldCharType="begin"/>
      </w:r>
      <w:r w:rsidR="00DC3912">
        <w:instrText xml:space="preserve"> REF _Ref497724052 \h </w:instrText>
      </w:r>
      <w:r w:rsidR="00DC3912">
        <w:fldChar w:fldCharType="separate"/>
      </w:r>
      <w:r w:rsidR="00DC3912">
        <w:t xml:space="preserve">Figure </w:t>
      </w:r>
      <w:r w:rsidR="00DC3912">
        <w:rPr>
          <w:noProof/>
        </w:rPr>
        <w:t>5</w:t>
      </w:r>
      <w:r w:rsidR="00DC3912">
        <w:t>.</w:t>
      </w:r>
      <w:r w:rsidR="00DC3912">
        <w:rPr>
          <w:noProof/>
        </w:rPr>
        <w:t>5</w:t>
      </w:r>
      <w:r w:rsidR="00DC3912">
        <w:fldChar w:fldCharType="end"/>
      </w:r>
      <w:r>
        <w:t xml:space="preserve">). These results demonstrated that the microbial community in the substrate treatment adapted upon exposure to ethanol and sustained a level of adaptation in the absence of exposure to ethanol. As previously noted, it is also possible that genetic adaptations, rather than persistent changes to the community structure, were the primary mechanism that allowed the substrate treatment to respond rapidly to ethanol exposure (W14*). </w:t>
      </w:r>
      <w:bookmarkStart w:id="199" w:name="_Hlk498275348"/>
      <w:r>
        <w:t xml:space="preserve">Therefore, future </w:t>
      </w:r>
      <w:r w:rsidR="00AF4FA9">
        <w:rPr>
          <w:i/>
          <w:iCs/>
        </w:rPr>
        <w:t>in situ</w:t>
      </w:r>
      <w:r w:rsidR="00AF4FA9">
        <w:t xml:space="preserve"> </w:t>
      </w:r>
      <w:r>
        <w:t>studies of adaptation should attempt to characterize the sessile community as well as investigate the genetic adaptations to ethanol exposure.</w:t>
      </w:r>
      <w:bookmarkEnd w:id="199"/>
    </w:p>
    <w:p w14:paraId="2FA4EEF6" w14:textId="77777777" w:rsidR="00055F62" w:rsidRDefault="00055F62" w:rsidP="00055F62"/>
    <w:p w14:paraId="65702BDB" w14:textId="77777777" w:rsidR="00055F62" w:rsidRDefault="00055F62" w:rsidP="00055F62"/>
    <w:p w14:paraId="1B4F5E42" w14:textId="77777777" w:rsidR="00055F62" w:rsidRDefault="00055F62" w:rsidP="00055F62"/>
    <w:p w14:paraId="4EDFBA74" w14:textId="77777777" w:rsidR="00055F62" w:rsidRPr="00055F62" w:rsidRDefault="00055F62" w:rsidP="00055F62"/>
    <w:p w14:paraId="7800E1FB" w14:textId="77777777" w:rsidR="00364586" w:rsidRDefault="00364586" w:rsidP="00364586"/>
    <w:p w14:paraId="54EA6553" w14:textId="77777777" w:rsidR="00364586" w:rsidRPr="00364586" w:rsidRDefault="00364586" w:rsidP="00364586"/>
    <w:p w14:paraId="3F3E06D5" w14:textId="77777777" w:rsidR="008F78D3" w:rsidRDefault="008F78D3" w:rsidP="00B744AB">
      <w:pPr>
        <w:rPr>
          <w:noProof/>
          <w:lang w:bidi="ar-SA"/>
        </w:rPr>
      </w:pPr>
    </w:p>
    <w:p w14:paraId="4998DF83" w14:textId="77777777" w:rsidR="00055F62" w:rsidRDefault="00055F62" w:rsidP="00B744AB">
      <w:pPr>
        <w:rPr>
          <w:noProof/>
          <w:lang w:bidi="ar-SA"/>
        </w:rPr>
      </w:pPr>
    </w:p>
    <w:p w14:paraId="08C37F08" w14:textId="77777777" w:rsidR="00055F62" w:rsidRDefault="00055F62" w:rsidP="00B744AB"/>
    <w:p w14:paraId="4EED1299" w14:textId="77777777" w:rsidR="00364586" w:rsidRDefault="00364586" w:rsidP="00B744AB"/>
    <w:p w14:paraId="77EF565D" w14:textId="77777777" w:rsidR="00DE20E5" w:rsidRDefault="00A63544" w:rsidP="00DE20E5">
      <w:pPr>
        <w:pStyle w:val="Heading2"/>
      </w:pPr>
      <w:bookmarkStart w:id="200" w:name="_Toc498505076"/>
      <w:r>
        <w:lastRenderedPageBreak/>
        <w:t>5</w:t>
      </w:r>
      <w:r w:rsidR="00B93721">
        <w:t>.</w:t>
      </w:r>
      <w:r w:rsidR="005E0EC6">
        <w:t>6</w:t>
      </w:r>
      <w:r w:rsidR="00B93721">
        <w:t>.</w:t>
      </w:r>
      <w:r w:rsidR="00B93721">
        <w:tab/>
      </w:r>
      <w:r w:rsidR="00DE20E5">
        <w:t>References</w:t>
      </w:r>
      <w:bookmarkEnd w:id="200"/>
    </w:p>
    <w:p w14:paraId="33D1255F" w14:textId="77777777" w:rsidR="00C008C8" w:rsidRPr="00AF4FA9" w:rsidRDefault="00C008C8" w:rsidP="00C008C8">
      <w:pPr>
        <w:ind w:left="720" w:hanging="720"/>
        <w:rPr>
          <w:lang w:val="de-DE"/>
        </w:rPr>
      </w:pPr>
      <w:proofErr w:type="spellStart"/>
      <w:r>
        <w:t>Aronesty</w:t>
      </w:r>
      <w:proofErr w:type="spellEnd"/>
      <w:r>
        <w:t xml:space="preserve">, E., 2015. Command-line tools for processing biological sequencing data. </w:t>
      </w:r>
      <w:r w:rsidRPr="00AF4FA9">
        <w:rPr>
          <w:lang w:val="de-DE"/>
        </w:rPr>
        <w:t>In. https://code.google.com/p/ea-utils/.</w:t>
      </w:r>
    </w:p>
    <w:p w14:paraId="79938374" w14:textId="77777777" w:rsidR="00C008C8" w:rsidRDefault="00C008C8" w:rsidP="00C008C8">
      <w:pPr>
        <w:ind w:left="720" w:hanging="720"/>
      </w:pPr>
      <w:r w:rsidRPr="00AF4FA9">
        <w:rPr>
          <w:lang w:val="de-DE"/>
        </w:rPr>
        <w:t xml:space="preserve">Caporaso, J. G., K. Bittinger, F. D. Bushman, T. Z. DeSantis, G. L. Andersen &amp; R. Knight, 2010. </w:t>
      </w:r>
      <w:proofErr w:type="spellStart"/>
      <w:r>
        <w:t>PyNAST</w:t>
      </w:r>
      <w:proofErr w:type="spellEnd"/>
      <w:r>
        <w:t>: a flexible tool for aligning sequences to a template alignment. Bioinformatics 26(2):266-267 doi:10.1093/bioinformatics/btp636.</w:t>
      </w:r>
    </w:p>
    <w:p w14:paraId="2B26E018" w14:textId="77777777" w:rsidR="00C008C8" w:rsidRDefault="00C008C8" w:rsidP="00C008C8">
      <w:pPr>
        <w:ind w:left="720" w:hanging="720"/>
      </w:pPr>
      <w:proofErr w:type="spellStart"/>
      <w:r>
        <w:t>Caporaso</w:t>
      </w:r>
      <w:proofErr w:type="spellEnd"/>
      <w:r>
        <w:t xml:space="preserve">, J. G., C. L. Lauber, W. A. Walters, D. Berg-Lyons, J. Huntley, N. </w:t>
      </w:r>
      <w:proofErr w:type="spellStart"/>
      <w:r>
        <w:t>Fierer</w:t>
      </w:r>
      <w:proofErr w:type="spellEnd"/>
      <w:r>
        <w:t xml:space="preserve">, S. M. Owens, J. </w:t>
      </w:r>
      <w:proofErr w:type="spellStart"/>
      <w:r>
        <w:t>Betley</w:t>
      </w:r>
      <w:proofErr w:type="spellEnd"/>
      <w:r>
        <w:t>, L. Fraser, M. Bauer, N. Gormley, J. A. Gilbert, G. Smith &amp; R. Knight, 2012. Ultra-high-throughput microbial community analysis on the Illumina HiSeq and MiSeq platforms. Isme Journal 6(8):1621-1624 doi:10.1038/ismej.2012.8.</w:t>
      </w:r>
    </w:p>
    <w:p w14:paraId="0D6FC260" w14:textId="77777777" w:rsidR="00C008C8" w:rsidRDefault="00C008C8" w:rsidP="00C008C8">
      <w:pPr>
        <w:ind w:left="720" w:hanging="720"/>
      </w:pPr>
      <w:r>
        <w:t xml:space="preserve">Cardenas, E., W. M. Wu, M. B. Leigh, J. Carley, S. Carroll, T. Gentry, J. Luo, D. Watson, B. Gu, M. </w:t>
      </w:r>
      <w:proofErr w:type="spellStart"/>
      <w:r>
        <w:t>Ginder</w:t>
      </w:r>
      <w:proofErr w:type="spellEnd"/>
      <w:r>
        <w:t xml:space="preserve">-Vogel, P. K. </w:t>
      </w:r>
      <w:proofErr w:type="spellStart"/>
      <w:r>
        <w:t>Kitanidis</w:t>
      </w:r>
      <w:proofErr w:type="spellEnd"/>
      <w:r>
        <w:t xml:space="preserve">, P. M. Jardine, J. Zhou, C. S. </w:t>
      </w:r>
      <w:proofErr w:type="spellStart"/>
      <w:r>
        <w:t>Criddle</w:t>
      </w:r>
      <w:proofErr w:type="spellEnd"/>
      <w:r>
        <w:t xml:space="preserve">, T. L. Marsh &amp; J. A. </w:t>
      </w:r>
      <w:proofErr w:type="spellStart"/>
      <w:r>
        <w:t>Tiedje</w:t>
      </w:r>
      <w:proofErr w:type="spellEnd"/>
      <w:r>
        <w:t xml:space="preserve">, 2008. Microbial communities in contaminated sediments, associated with bioremediation of uranium to </w:t>
      </w:r>
      <w:proofErr w:type="spellStart"/>
      <w:r>
        <w:t>submicromolar</w:t>
      </w:r>
      <w:proofErr w:type="spellEnd"/>
      <w:r>
        <w:t xml:space="preserve"> levels. Applied and Environmental Microbiology 74(12):3718-3729 doi:10.1128/aem.02308-07.</w:t>
      </w:r>
    </w:p>
    <w:p w14:paraId="1380A58F" w14:textId="77777777" w:rsidR="00C008C8" w:rsidRDefault="00C008C8" w:rsidP="00C008C8">
      <w:pPr>
        <w:ind w:left="720" w:hanging="720"/>
      </w:pPr>
      <w:r>
        <w:t>Edgar, R. C., 2010. Search and clustering orders of magnitude faster than BLAST. Bioinformatics 26(19):2460-2461 doi:10.1093/bioinformatics/btq461.</w:t>
      </w:r>
    </w:p>
    <w:p w14:paraId="495C19C5" w14:textId="77777777" w:rsidR="00C008C8" w:rsidRDefault="00C008C8" w:rsidP="00C008C8">
      <w:pPr>
        <w:ind w:left="720" w:hanging="720"/>
      </w:pPr>
      <w:r>
        <w:t>Edgar, R. C., B. J. Haas, J. C. Clemente, C. Quince &amp; R. Knight, 2011. UCHIME improves sensitivity and speed of chimera detection. Bioinformatics 27(16):2194-2200 doi:10.1093/bioinformatics/btr381.</w:t>
      </w:r>
    </w:p>
    <w:p w14:paraId="6D556498" w14:textId="77777777" w:rsidR="00C008C8" w:rsidRDefault="00C008C8" w:rsidP="00C008C8">
      <w:pPr>
        <w:ind w:left="720" w:hanging="720"/>
      </w:pPr>
      <w:r w:rsidRPr="00AF4FA9">
        <w:rPr>
          <w:lang w:val="it-IT"/>
        </w:rPr>
        <w:t xml:space="preserve">Essaid, H. I., B. A. Bekins &amp; I. M. Cozzarelli, 2015. </w:t>
      </w:r>
      <w:r>
        <w:t>Organic contaminant transport and fate in the subsurface: Evolution of knowledge and understanding. Water Resources Research 51(7):4861-4902 doi:10.1002/2015wr017121.</w:t>
      </w:r>
    </w:p>
    <w:p w14:paraId="000106BF" w14:textId="77777777" w:rsidR="00C008C8" w:rsidRDefault="00C008C8" w:rsidP="00C008C8">
      <w:pPr>
        <w:ind w:left="720" w:hanging="720"/>
      </w:pPr>
      <w:proofErr w:type="spellStart"/>
      <w:r>
        <w:lastRenderedPageBreak/>
        <w:t>Feris</w:t>
      </w:r>
      <w:proofErr w:type="spellEnd"/>
      <w:r>
        <w:t xml:space="preserve">, K., D. Mackay, N. de Sieyes, I. Chakraborty, M. </w:t>
      </w:r>
      <w:proofErr w:type="spellStart"/>
      <w:r>
        <w:t>Einarson</w:t>
      </w:r>
      <w:proofErr w:type="spellEnd"/>
      <w:r>
        <w:t xml:space="preserve">, K. </w:t>
      </w:r>
      <w:proofErr w:type="spellStart"/>
      <w:r>
        <w:t>Hristova</w:t>
      </w:r>
      <w:proofErr w:type="spellEnd"/>
      <w:r>
        <w:t xml:space="preserve"> &amp; K. Scow, 2008. Effect of ethanol on microbial community structure and function during natural attenuation of benzene, toluene, and o-xylene in a sulfate-reducing aquifer. Environmental Science &amp; Technology 42(7):2289-2294 doi:10.1021/es702603q.</w:t>
      </w:r>
    </w:p>
    <w:p w14:paraId="426C73AD" w14:textId="77777777" w:rsidR="00C008C8" w:rsidRDefault="00C008C8" w:rsidP="00C008C8">
      <w:pPr>
        <w:ind w:left="720" w:hanging="720"/>
      </w:pPr>
      <w:r>
        <w:t xml:space="preserve">Hazen, T. C., E. A. Dubinsky, T. Z. DeSantis, G. L. Andersen, Y. M. Piceno, N. Singh, J. K. Jansson, A. Probst, S. E. </w:t>
      </w:r>
      <w:proofErr w:type="spellStart"/>
      <w:r>
        <w:t>Borglin</w:t>
      </w:r>
      <w:proofErr w:type="spellEnd"/>
      <w:r>
        <w:t xml:space="preserve">, J. L. Fortney, W. T. </w:t>
      </w:r>
      <w:proofErr w:type="spellStart"/>
      <w:r>
        <w:t>Stringfellow</w:t>
      </w:r>
      <w:proofErr w:type="spellEnd"/>
      <w:r>
        <w:t xml:space="preserve">, M. Bill, M. E. Conrad, L. M. Tom, K. L. Chavarria, T. R. </w:t>
      </w:r>
      <w:proofErr w:type="spellStart"/>
      <w:r>
        <w:t>Alusi</w:t>
      </w:r>
      <w:proofErr w:type="spellEnd"/>
      <w:r>
        <w:t xml:space="preserve">, R. </w:t>
      </w:r>
      <w:proofErr w:type="spellStart"/>
      <w:r>
        <w:t>Lamendella</w:t>
      </w:r>
      <w:proofErr w:type="spellEnd"/>
      <w:r>
        <w:t xml:space="preserve">, D. C. Joyner, C. Spier, J. </w:t>
      </w:r>
      <w:proofErr w:type="spellStart"/>
      <w:r>
        <w:t>Baelum</w:t>
      </w:r>
      <w:proofErr w:type="spellEnd"/>
      <w:r>
        <w:t xml:space="preserve">, M. Auer, M. L. </w:t>
      </w:r>
      <w:proofErr w:type="spellStart"/>
      <w:r>
        <w:t>Zemla</w:t>
      </w:r>
      <w:proofErr w:type="spellEnd"/>
      <w:r>
        <w:t xml:space="preserve">, R. Chakraborty, E. L. </w:t>
      </w:r>
      <w:proofErr w:type="spellStart"/>
      <w:r>
        <w:t>Sonnenthal</w:t>
      </w:r>
      <w:proofErr w:type="spellEnd"/>
      <w:r>
        <w:t xml:space="preserve">, P. </w:t>
      </w:r>
      <w:proofErr w:type="spellStart"/>
      <w:r>
        <w:t>D'Haeseleer</w:t>
      </w:r>
      <w:proofErr w:type="spellEnd"/>
      <w:r>
        <w:t>, H. Y. N. Holman, S. Osman, Z. M. Lu, J. D. Van Nostrand, Y. Deng, J. Z. Zhou &amp; O. U. Mason, 2010. Deep-Sea Oil Plume Enriches Indigenous Oil-Degrading Bacteria. Science 330(6001):204-208 doi:10.1126/science.1195979.</w:t>
      </w:r>
    </w:p>
    <w:p w14:paraId="559E86B8" w14:textId="77777777" w:rsidR="00C008C8" w:rsidRDefault="00C008C8" w:rsidP="00C008C8">
      <w:pPr>
        <w:ind w:left="720" w:hanging="720"/>
      </w:pPr>
      <w:proofErr w:type="spellStart"/>
      <w:r>
        <w:t>Holmstrup</w:t>
      </w:r>
      <w:proofErr w:type="spellEnd"/>
      <w:r>
        <w:t xml:space="preserve">, M., A. M. </w:t>
      </w:r>
      <w:proofErr w:type="spellStart"/>
      <w:r>
        <w:t>Bindesbol</w:t>
      </w:r>
      <w:proofErr w:type="spellEnd"/>
      <w:r>
        <w:t xml:space="preserve">, G. J. </w:t>
      </w:r>
      <w:proofErr w:type="spellStart"/>
      <w:r>
        <w:t>Oostingh</w:t>
      </w:r>
      <w:proofErr w:type="spellEnd"/>
      <w:r>
        <w:t xml:space="preserve">, A. </w:t>
      </w:r>
      <w:proofErr w:type="spellStart"/>
      <w:r>
        <w:t>Duschl</w:t>
      </w:r>
      <w:proofErr w:type="spellEnd"/>
      <w:r>
        <w:t xml:space="preserve">, V. </w:t>
      </w:r>
      <w:proofErr w:type="spellStart"/>
      <w:r>
        <w:t>Scheil</w:t>
      </w:r>
      <w:proofErr w:type="spellEnd"/>
      <w:r>
        <w:t xml:space="preserve">, H. R. Kohler, S. </w:t>
      </w:r>
      <w:proofErr w:type="spellStart"/>
      <w:r>
        <w:t>Loureiro</w:t>
      </w:r>
      <w:proofErr w:type="spellEnd"/>
      <w:r>
        <w:t xml:space="preserve">, A. Soares, A. L. G. Ferreira, C. </w:t>
      </w:r>
      <w:proofErr w:type="spellStart"/>
      <w:r>
        <w:t>Kienle</w:t>
      </w:r>
      <w:proofErr w:type="spellEnd"/>
      <w:r>
        <w:t xml:space="preserve">, A. Gerhardt, R. </w:t>
      </w:r>
      <w:proofErr w:type="spellStart"/>
      <w:r>
        <w:t>Laskowski</w:t>
      </w:r>
      <w:proofErr w:type="spellEnd"/>
      <w:r>
        <w:t xml:space="preserve">, P. E. </w:t>
      </w:r>
      <w:proofErr w:type="spellStart"/>
      <w:r>
        <w:t>Kramarz</w:t>
      </w:r>
      <w:proofErr w:type="spellEnd"/>
      <w:r>
        <w:t xml:space="preserve">, M. Bayley, C. Svendsen &amp; D. J. Spurgeon, 2010. Interactions between effects of environmental chemicals and natural stressors: A review. Science of the Total Environment 408(18):3746-3762 </w:t>
      </w:r>
      <w:proofErr w:type="gramStart"/>
      <w:r>
        <w:t>doi:10.1016/j.scitotenv</w:t>
      </w:r>
      <w:proofErr w:type="gramEnd"/>
      <w:r>
        <w:t>.2009.10.067.</w:t>
      </w:r>
    </w:p>
    <w:p w14:paraId="3DA32480" w14:textId="77777777" w:rsidR="00C008C8" w:rsidRDefault="00C008C8" w:rsidP="00C008C8">
      <w:pPr>
        <w:ind w:left="720" w:hanging="720"/>
      </w:pPr>
      <w:r>
        <w:t>Istok, J. D., 2013. Push-Pull Tests for Site Characterization. doi:10.1007/978-3-642-13920-8.</w:t>
      </w:r>
    </w:p>
    <w:p w14:paraId="36BC0C4E" w14:textId="77777777" w:rsidR="00C008C8" w:rsidRDefault="00C008C8" w:rsidP="00C008C8">
      <w:pPr>
        <w:ind w:left="720" w:hanging="720"/>
      </w:pPr>
      <w:r w:rsidRPr="00630651">
        <w:rPr>
          <w:lang w:val="nl-NL"/>
        </w:rPr>
        <w:t xml:space="preserve">Jin, Q. S. &amp; E. E. Roden, 2011. </w:t>
      </w:r>
      <w:r>
        <w:t xml:space="preserve">Microbial physiology-based model of ethanol metabolism in subsurface sediments. Journal of Contaminant Hydrology 125(1-4):1-12 </w:t>
      </w:r>
      <w:proofErr w:type="gramStart"/>
      <w:r>
        <w:t>doi:10.1016/j.jconhyd</w:t>
      </w:r>
      <w:proofErr w:type="gramEnd"/>
      <w:r>
        <w:t>.2011.04.002.</w:t>
      </w:r>
    </w:p>
    <w:p w14:paraId="6730E2F3" w14:textId="77777777" w:rsidR="00C008C8" w:rsidRDefault="00C008C8" w:rsidP="00C008C8">
      <w:pPr>
        <w:ind w:left="720" w:hanging="720"/>
      </w:pPr>
      <w:r>
        <w:t>Jones, E., T. Oliphant &amp; P. Peterson, 2001. SciPy: Open source scientific tools for Python. In. https://scipy.org/citing.html.</w:t>
      </w:r>
    </w:p>
    <w:p w14:paraId="597F8394" w14:textId="77777777" w:rsidR="00C008C8" w:rsidRDefault="00C008C8" w:rsidP="00C008C8">
      <w:pPr>
        <w:ind w:left="720" w:hanging="720"/>
      </w:pPr>
      <w:r>
        <w:lastRenderedPageBreak/>
        <w:t xml:space="preserve">King, A. J., S. P. </w:t>
      </w:r>
      <w:proofErr w:type="spellStart"/>
      <w:r>
        <w:t>Preheim</w:t>
      </w:r>
      <w:proofErr w:type="spellEnd"/>
      <w:r>
        <w:t xml:space="preserve">, K. L. Bailey, M. S. Robeson, T. R. Chowdhury, B. R. </w:t>
      </w:r>
      <w:proofErr w:type="spellStart"/>
      <w:r>
        <w:t>Crable</w:t>
      </w:r>
      <w:proofErr w:type="spellEnd"/>
      <w:r>
        <w:t xml:space="preserve">, R. A. Hurt, T. Mehlhorn, K. A. Lowe, T. J. Phelps, A. V. Palumbo, C. C. Brandt, S. D. Brown, M. </w:t>
      </w:r>
      <w:proofErr w:type="spellStart"/>
      <w:r>
        <w:t>Podar</w:t>
      </w:r>
      <w:proofErr w:type="spellEnd"/>
      <w:r>
        <w:t xml:space="preserve">, P. Zhang, W. A. Lancaster, F. Poole, D. B. Watson, M. W. Fields, J. M. </w:t>
      </w:r>
      <w:proofErr w:type="spellStart"/>
      <w:r>
        <w:t>Chandonia</w:t>
      </w:r>
      <w:proofErr w:type="spellEnd"/>
      <w:r>
        <w:t xml:space="preserve">, E. J. Alm, J. Z. Zhou, M. W. W. Adams, T. C. Hazen, A. P. Arkin &amp; D. A. Elias, 2017. Temporal Dynamics of In-Field Bioreactor Populations Reflect the Groundwater System and Respond Predictably to Perturbation. Environmental Science &amp; Technology 51(5):2879-2889 </w:t>
      </w:r>
      <w:proofErr w:type="gramStart"/>
      <w:r>
        <w:t>doi:10.1021/acs.est</w:t>
      </w:r>
      <w:proofErr w:type="gramEnd"/>
      <w:r>
        <w:t>.6b04751.</w:t>
      </w:r>
    </w:p>
    <w:p w14:paraId="0BE7B5E9" w14:textId="77777777" w:rsidR="00C008C8" w:rsidRDefault="00C008C8" w:rsidP="00C008C8">
      <w:pPr>
        <w:ind w:left="720" w:hanging="720"/>
      </w:pPr>
      <w:r>
        <w:t xml:space="preserve">Kline, K. R., J. F. Clark, L. </w:t>
      </w:r>
      <w:proofErr w:type="spellStart"/>
      <w:r>
        <w:t>Rastegarzadeh</w:t>
      </w:r>
      <w:proofErr w:type="spellEnd"/>
      <w:r>
        <w:t xml:space="preserve">, Y. M. Nelson &amp; D. M. Mackay, 2011. Importance of Exposure History When Using Single Well Push-Pull Tests to Quantify </w:t>
      </w:r>
      <w:r w:rsidR="00AF4FA9">
        <w:rPr>
          <w:i/>
          <w:iCs/>
        </w:rPr>
        <w:t>in situ</w:t>
      </w:r>
      <w:r w:rsidR="00AF4FA9">
        <w:t xml:space="preserve"> </w:t>
      </w:r>
      <w:r>
        <w:t xml:space="preserve">Ethanol Biodegradation Rates. Ground Water </w:t>
      </w:r>
      <w:proofErr w:type="spellStart"/>
      <w:r>
        <w:t>Monit</w:t>
      </w:r>
      <w:proofErr w:type="spellEnd"/>
      <w:r>
        <w:t xml:space="preserve"> R 31(3):103-110 doi:10.1111/j1745-6592.2011.</w:t>
      </w:r>
      <w:proofErr w:type="gramStart"/>
      <w:r>
        <w:t>01347.x.</w:t>
      </w:r>
      <w:proofErr w:type="gramEnd"/>
    </w:p>
    <w:p w14:paraId="533A69C2" w14:textId="77777777" w:rsidR="00C008C8" w:rsidRDefault="00C008C8" w:rsidP="00C008C8">
      <w:pPr>
        <w:ind w:left="720" w:hanging="720"/>
      </w:pPr>
      <w:proofErr w:type="spellStart"/>
      <w:r>
        <w:t>Koskella</w:t>
      </w:r>
      <w:proofErr w:type="spellEnd"/>
      <w:r>
        <w:t xml:space="preserve">, B. &amp; M. Vos, 2015. </w:t>
      </w:r>
      <w:r w:rsidRPr="00AF4FA9">
        <w:rPr>
          <w:lang w:val="fr-FR"/>
        </w:rPr>
        <w:t xml:space="preserve">Adaptation in Natural </w:t>
      </w:r>
      <w:proofErr w:type="spellStart"/>
      <w:r w:rsidRPr="00AF4FA9">
        <w:rPr>
          <w:lang w:val="fr-FR"/>
        </w:rPr>
        <w:t>Microbial</w:t>
      </w:r>
      <w:proofErr w:type="spellEnd"/>
      <w:r w:rsidRPr="00AF4FA9">
        <w:rPr>
          <w:lang w:val="fr-FR"/>
        </w:rPr>
        <w:t xml:space="preserve"> Populations. </w:t>
      </w:r>
      <w:r>
        <w:t xml:space="preserve">In </w:t>
      </w:r>
      <w:proofErr w:type="spellStart"/>
      <w:r>
        <w:t>Futuyma</w:t>
      </w:r>
      <w:proofErr w:type="spellEnd"/>
      <w:r>
        <w:t>, D. J. (</w:t>
      </w:r>
      <w:proofErr w:type="spellStart"/>
      <w:r>
        <w:t>ed</w:t>
      </w:r>
      <w:proofErr w:type="spellEnd"/>
      <w:r>
        <w:t xml:space="preserve">) Annual Review of Ecology, Evolution, and Systematics, Vol 46. Annual Review of Ecology Evolution and Systematics, </w:t>
      </w:r>
      <w:proofErr w:type="spellStart"/>
      <w:r>
        <w:t>vol</w:t>
      </w:r>
      <w:proofErr w:type="spellEnd"/>
      <w:r>
        <w:t xml:space="preserve"> 46, 503-522.</w:t>
      </w:r>
    </w:p>
    <w:p w14:paraId="02F82793" w14:textId="77777777" w:rsidR="00C008C8" w:rsidRDefault="00C008C8" w:rsidP="00C008C8">
      <w:pPr>
        <w:ind w:left="720" w:hanging="720"/>
      </w:pPr>
      <w:r>
        <w:t>Leahy, J. G. &amp; R. R. Colwell, 1990. Microbial-degradation of hydrocarbons in the environment. Microbiological Reviews 54(3):305-315.</w:t>
      </w:r>
    </w:p>
    <w:p w14:paraId="0512DBB1" w14:textId="77777777" w:rsidR="00C008C8" w:rsidRDefault="00C008C8" w:rsidP="00C008C8">
      <w:pPr>
        <w:ind w:left="720" w:hanging="720"/>
      </w:pPr>
      <w:r>
        <w:t xml:space="preserve">Miller, D. N., J. E. Bryant, E. L. Madsen &amp; W. C. </w:t>
      </w:r>
      <w:proofErr w:type="spellStart"/>
      <w:r>
        <w:t>Ghiorse</w:t>
      </w:r>
      <w:proofErr w:type="spellEnd"/>
      <w:r>
        <w:t>, 1999. Evaluation and optimization of DNA extraction and purification procedures for soil and sediment samples. Applied and Environmental Microbiology 65(11):4715-4724.</w:t>
      </w:r>
    </w:p>
    <w:p w14:paraId="3F82CC00" w14:textId="77777777" w:rsidR="00C008C8" w:rsidRPr="00AF4FA9" w:rsidRDefault="00C008C8" w:rsidP="00C008C8">
      <w:pPr>
        <w:ind w:left="720" w:hanging="720"/>
        <w:rPr>
          <w:lang w:val="fr-FR"/>
        </w:rPr>
      </w:pPr>
      <w:r>
        <w:t xml:space="preserve">Oh, S., M. </w:t>
      </w:r>
      <w:proofErr w:type="spellStart"/>
      <w:r>
        <w:t>Tandukar</w:t>
      </w:r>
      <w:proofErr w:type="spellEnd"/>
      <w:r>
        <w:t xml:space="preserve">, S. G. </w:t>
      </w:r>
      <w:proofErr w:type="spellStart"/>
      <w:r>
        <w:t>Pavlostathis</w:t>
      </w:r>
      <w:proofErr w:type="spellEnd"/>
      <w:r>
        <w:t xml:space="preserve">, P. S. G. Chain &amp; K. T. </w:t>
      </w:r>
      <w:proofErr w:type="spellStart"/>
      <w:r>
        <w:t>Konstantinidis</w:t>
      </w:r>
      <w:proofErr w:type="spellEnd"/>
      <w:r>
        <w:t xml:space="preserve">, 2013. Microbial community adaptation to quaternary ammonium biocides as revealed by metagenomics. </w:t>
      </w:r>
      <w:r w:rsidRPr="00AF4FA9">
        <w:rPr>
          <w:lang w:val="fr-FR"/>
        </w:rPr>
        <w:t xml:space="preserve">Environ </w:t>
      </w:r>
      <w:proofErr w:type="spellStart"/>
      <w:r w:rsidRPr="00AF4FA9">
        <w:rPr>
          <w:lang w:val="fr-FR"/>
        </w:rPr>
        <w:t>Microbiol</w:t>
      </w:r>
      <w:proofErr w:type="spellEnd"/>
      <w:r w:rsidRPr="00AF4FA9">
        <w:rPr>
          <w:lang w:val="fr-FR"/>
        </w:rPr>
        <w:t xml:space="preserve"> 15(10</w:t>
      </w:r>
      <w:proofErr w:type="gramStart"/>
      <w:r w:rsidRPr="00AF4FA9">
        <w:rPr>
          <w:lang w:val="fr-FR"/>
        </w:rPr>
        <w:t>):</w:t>
      </w:r>
      <w:proofErr w:type="gramEnd"/>
      <w:r w:rsidRPr="00AF4FA9">
        <w:rPr>
          <w:lang w:val="fr-FR"/>
        </w:rPr>
        <w:t>2850-2864 doi:10.1111/1462-2920.12154.</w:t>
      </w:r>
    </w:p>
    <w:p w14:paraId="17D8FD66" w14:textId="77777777" w:rsidR="00C008C8" w:rsidRDefault="00C008C8" w:rsidP="00C008C8">
      <w:pPr>
        <w:ind w:left="720" w:hanging="720"/>
      </w:pPr>
      <w:r w:rsidRPr="00AF4FA9">
        <w:rPr>
          <w:lang w:val="fr-FR"/>
        </w:rPr>
        <w:lastRenderedPageBreak/>
        <w:t xml:space="preserve">Paradis, C. J., E. R. Dixon, L. M. Lui, A. P. </w:t>
      </w:r>
      <w:proofErr w:type="spellStart"/>
      <w:r w:rsidRPr="00AF4FA9">
        <w:rPr>
          <w:lang w:val="fr-FR"/>
        </w:rPr>
        <w:t>Arkin</w:t>
      </w:r>
      <w:proofErr w:type="spellEnd"/>
      <w:r w:rsidRPr="00AF4FA9">
        <w:rPr>
          <w:lang w:val="fr-FR"/>
        </w:rPr>
        <w:t xml:space="preserve">, E. </w:t>
      </w:r>
      <w:proofErr w:type="spellStart"/>
      <w:r w:rsidRPr="00AF4FA9">
        <w:rPr>
          <w:lang w:val="fr-FR"/>
        </w:rPr>
        <w:t>Perfect</w:t>
      </w:r>
      <w:proofErr w:type="spellEnd"/>
      <w:r w:rsidRPr="00AF4FA9">
        <w:rPr>
          <w:lang w:val="fr-FR"/>
        </w:rPr>
        <w:t xml:space="preserve">, L. D. McKay, J. D. Istok &amp; T. C. </w:t>
      </w:r>
      <w:proofErr w:type="spellStart"/>
      <w:r w:rsidRPr="00AF4FA9">
        <w:rPr>
          <w:lang w:val="fr-FR"/>
        </w:rPr>
        <w:t>Hazen</w:t>
      </w:r>
      <w:proofErr w:type="spellEnd"/>
      <w:r w:rsidRPr="00AF4FA9">
        <w:rPr>
          <w:lang w:val="fr-FR"/>
        </w:rPr>
        <w:t xml:space="preserve">, 2017a. </w:t>
      </w:r>
      <w:r>
        <w:t>Stepwise mixing model for quantifying solute mass transfer and transformation during push-pull tests. Water Resources Research (In Preparation).</w:t>
      </w:r>
    </w:p>
    <w:p w14:paraId="7A7E01B3" w14:textId="77777777" w:rsidR="00C008C8" w:rsidRDefault="00C008C8" w:rsidP="00C008C8">
      <w:pPr>
        <w:ind w:left="720" w:hanging="720"/>
      </w:pPr>
      <w:r>
        <w:t xml:space="preserve">Paradis, C. J., S. Jagadamma, D. B. Watson, L. D. McKay, T. C. Hazen, M. Park &amp; J. D. Istok, 2016. </w:t>
      </w:r>
      <w:r w:rsidR="00466C9C">
        <w:rPr>
          <w:i/>
          <w:iCs/>
        </w:rPr>
        <w:t>In situ</w:t>
      </w:r>
      <w:r w:rsidR="00466C9C">
        <w:t xml:space="preserve"> </w:t>
      </w:r>
      <w:r>
        <w:t xml:space="preserve">mobility of uranium in the presence of nitrate following sulfate-reducing conditions. Journal of Contaminant Hydrology 187:55-64 </w:t>
      </w:r>
      <w:proofErr w:type="gramStart"/>
      <w:r>
        <w:t>doi:10.1016/j.jconhyd</w:t>
      </w:r>
      <w:proofErr w:type="gramEnd"/>
      <w:r>
        <w:t>.2016.02.002.</w:t>
      </w:r>
    </w:p>
    <w:p w14:paraId="4F143373" w14:textId="77777777" w:rsidR="00C008C8" w:rsidRDefault="00C008C8" w:rsidP="00C008C8">
      <w:pPr>
        <w:ind w:left="720" w:hanging="720"/>
      </w:pPr>
      <w:r>
        <w:t xml:space="preserve">Paradis, C. J., L. D. McKay, E. Perfect, J. D. Istok &amp; T. C. Hazen, 2017b. Push-pull tests for estimating effective porosity: expanded analytical solution and </w:t>
      </w:r>
      <w:r w:rsidR="00AF4FA9">
        <w:rPr>
          <w:i/>
          <w:iCs/>
        </w:rPr>
        <w:t>in situ</w:t>
      </w:r>
      <w:r w:rsidR="00AF4FA9">
        <w:t xml:space="preserve"> </w:t>
      </w:r>
      <w:r>
        <w:t>application. Hydrogeology Journal doi:10.1007/s10040-017-1672-3.</w:t>
      </w:r>
    </w:p>
    <w:p w14:paraId="5506B3B1" w14:textId="77777777" w:rsidR="00C008C8" w:rsidRDefault="00C008C8" w:rsidP="00C008C8">
      <w:pPr>
        <w:ind w:left="720" w:hanging="720"/>
      </w:pPr>
      <w:proofErr w:type="spellStart"/>
      <w:r>
        <w:t>Pedregosa</w:t>
      </w:r>
      <w:proofErr w:type="spellEnd"/>
      <w:r>
        <w:t xml:space="preserve">, F., G. </w:t>
      </w:r>
      <w:proofErr w:type="spellStart"/>
      <w:r>
        <w:t>Varoquaux</w:t>
      </w:r>
      <w:proofErr w:type="spellEnd"/>
      <w:r>
        <w:t xml:space="preserve">, A. </w:t>
      </w:r>
      <w:proofErr w:type="spellStart"/>
      <w:r>
        <w:t>Gramfort</w:t>
      </w:r>
      <w:proofErr w:type="spellEnd"/>
      <w:r>
        <w:t xml:space="preserve">, V. Michel, B. </w:t>
      </w:r>
      <w:proofErr w:type="spellStart"/>
      <w:r>
        <w:t>Thirion</w:t>
      </w:r>
      <w:proofErr w:type="spellEnd"/>
      <w:r>
        <w:t xml:space="preserve">, O. Grisel, M. </w:t>
      </w:r>
      <w:proofErr w:type="spellStart"/>
      <w:r>
        <w:t>Blondel</w:t>
      </w:r>
      <w:proofErr w:type="spellEnd"/>
      <w:r>
        <w:t xml:space="preserve">, P. </w:t>
      </w:r>
      <w:proofErr w:type="spellStart"/>
      <w:r>
        <w:t>Prettenhofer</w:t>
      </w:r>
      <w:proofErr w:type="spellEnd"/>
      <w:r>
        <w:t xml:space="preserve">, R. Weiss, V. </w:t>
      </w:r>
      <w:proofErr w:type="spellStart"/>
      <w:r>
        <w:t>Dubourg</w:t>
      </w:r>
      <w:proofErr w:type="spellEnd"/>
      <w:r>
        <w:t xml:space="preserve">, J. </w:t>
      </w:r>
      <w:proofErr w:type="spellStart"/>
      <w:r>
        <w:t>Vanderplas</w:t>
      </w:r>
      <w:proofErr w:type="spellEnd"/>
      <w:r>
        <w:t xml:space="preserve">, A. </w:t>
      </w:r>
      <w:proofErr w:type="spellStart"/>
      <w:r>
        <w:t>Passos</w:t>
      </w:r>
      <w:proofErr w:type="spellEnd"/>
      <w:r>
        <w:t xml:space="preserve">, D. </w:t>
      </w:r>
      <w:proofErr w:type="spellStart"/>
      <w:r>
        <w:t>Cournapeau</w:t>
      </w:r>
      <w:proofErr w:type="spellEnd"/>
      <w:r>
        <w:t xml:space="preserve">, M. </w:t>
      </w:r>
      <w:proofErr w:type="spellStart"/>
      <w:r>
        <w:t>Brucher</w:t>
      </w:r>
      <w:proofErr w:type="spellEnd"/>
      <w:r>
        <w:t xml:space="preserve">, M. Perrot &amp; E. </w:t>
      </w:r>
      <w:proofErr w:type="spellStart"/>
      <w:r>
        <w:t>Duchesnay</w:t>
      </w:r>
      <w:proofErr w:type="spellEnd"/>
      <w:r>
        <w:t>, 2011. Scikit-learn: Machine Learning in Python. Journal of Machine Learning Research 12:2825-2830.</w:t>
      </w:r>
    </w:p>
    <w:p w14:paraId="7D28833C" w14:textId="77777777" w:rsidR="00C008C8" w:rsidRDefault="00C008C8" w:rsidP="00C008C8">
      <w:pPr>
        <w:ind w:left="720" w:hanging="720"/>
      </w:pPr>
      <w:proofErr w:type="spellStart"/>
      <w:r>
        <w:t>Pernthaler</w:t>
      </w:r>
      <w:proofErr w:type="spellEnd"/>
      <w:r>
        <w:t xml:space="preserve">, A. &amp; J. </w:t>
      </w:r>
      <w:proofErr w:type="spellStart"/>
      <w:r>
        <w:t>Pernthaler</w:t>
      </w:r>
      <w:proofErr w:type="spellEnd"/>
      <w:r>
        <w:t>, 2005. Diurnal variation of cell proliferation in three bacterial taxa from coastal North Sea waters. Applied and Environmental Microbiology 71(8):4638-4644 doi:10.1128/aem.71.8.4638-4644.2005.</w:t>
      </w:r>
    </w:p>
    <w:p w14:paraId="163F9141" w14:textId="77777777" w:rsidR="00C008C8" w:rsidRDefault="00C008C8" w:rsidP="00C008C8">
      <w:pPr>
        <w:ind w:left="720" w:hanging="720"/>
      </w:pPr>
      <w:proofErr w:type="spellStart"/>
      <w:r>
        <w:t>Pernthaler</w:t>
      </w:r>
      <w:proofErr w:type="spellEnd"/>
      <w:r>
        <w:t xml:space="preserve">, A., J. </w:t>
      </w:r>
      <w:proofErr w:type="spellStart"/>
      <w:r>
        <w:t>Pernthaler</w:t>
      </w:r>
      <w:proofErr w:type="spellEnd"/>
      <w:r>
        <w:t xml:space="preserve">, H. </w:t>
      </w:r>
      <w:proofErr w:type="spellStart"/>
      <w:r>
        <w:t>Eilers</w:t>
      </w:r>
      <w:proofErr w:type="spellEnd"/>
      <w:r>
        <w:t xml:space="preserve"> &amp; R. </w:t>
      </w:r>
      <w:proofErr w:type="spellStart"/>
      <w:r>
        <w:t>Amann</w:t>
      </w:r>
      <w:proofErr w:type="spellEnd"/>
      <w:r>
        <w:t>, 2001. Growth patterns of two marine isolates: Adaptations to substrate patchiness? Applied and Environmental Microbiology 67(9):4077-4083 doi:10.1128/aem.67.9.4077-4083.2001.</w:t>
      </w:r>
    </w:p>
    <w:p w14:paraId="1FB43937" w14:textId="77777777" w:rsidR="00C008C8" w:rsidRDefault="00C008C8" w:rsidP="00C008C8">
      <w:pPr>
        <w:ind w:left="720" w:hanging="720"/>
      </w:pPr>
      <w:r>
        <w:t>Python, 2017. In. http://www.python.org.</w:t>
      </w:r>
    </w:p>
    <w:p w14:paraId="6003BB36" w14:textId="77777777" w:rsidR="00C008C8" w:rsidRDefault="00C008C8" w:rsidP="00C008C8">
      <w:pPr>
        <w:ind w:left="720" w:hanging="720"/>
      </w:pPr>
      <w:proofErr w:type="spellStart"/>
      <w:r w:rsidRPr="00630651">
        <w:rPr>
          <w:lang w:val="es-US"/>
        </w:rPr>
        <w:lastRenderedPageBreak/>
        <w:t>Rodriguez</w:t>
      </w:r>
      <w:proofErr w:type="spellEnd"/>
      <w:r w:rsidRPr="00630651">
        <w:rPr>
          <w:lang w:val="es-US"/>
        </w:rPr>
        <w:t>-Escales, P., A. Folch, G. Vidal-</w:t>
      </w:r>
      <w:proofErr w:type="spellStart"/>
      <w:r w:rsidRPr="00630651">
        <w:rPr>
          <w:lang w:val="es-US"/>
        </w:rPr>
        <w:t>Gavilan</w:t>
      </w:r>
      <w:proofErr w:type="spellEnd"/>
      <w:r w:rsidRPr="00630651">
        <w:rPr>
          <w:lang w:val="es-US"/>
        </w:rPr>
        <w:t xml:space="preserve"> &amp; B. M. van </w:t>
      </w:r>
      <w:proofErr w:type="spellStart"/>
      <w:r w:rsidRPr="00630651">
        <w:rPr>
          <w:lang w:val="es-US"/>
        </w:rPr>
        <w:t>Breukelen</w:t>
      </w:r>
      <w:proofErr w:type="spellEnd"/>
      <w:r w:rsidRPr="00630651">
        <w:rPr>
          <w:lang w:val="es-US"/>
        </w:rPr>
        <w:t xml:space="preserve">, 2016. </w:t>
      </w:r>
      <w:r>
        <w:t xml:space="preserve">Modeling biogeochemical processes and isotope fractionation of enhanced </w:t>
      </w:r>
      <w:r w:rsidR="00AF4FA9">
        <w:rPr>
          <w:i/>
          <w:iCs/>
        </w:rPr>
        <w:t>in situ</w:t>
      </w:r>
      <w:r w:rsidR="00AF4FA9">
        <w:t xml:space="preserve"> </w:t>
      </w:r>
      <w:proofErr w:type="spellStart"/>
      <w:r>
        <w:t>biodenitrification</w:t>
      </w:r>
      <w:proofErr w:type="spellEnd"/>
      <w:r>
        <w:t xml:space="preserve"> in a fractured aquifer. Chemical Geology 425:52-64 </w:t>
      </w:r>
      <w:proofErr w:type="gramStart"/>
      <w:r>
        <w:t>doi:10.1016/j.chemgeo</w:t>
      </w:r>
      <w:proofErr w:type="gramEnd"/>
      <w:r>
        <w:t>.2016.01.019.</w:t>
      </w:r>
    </w:p>
    <w:p w14:paraId="0A31E45B" w14:textId="77777777" w:rsidR="00C008C8" w:rsidRDefault="00C008C8" w:rsidP="00C008C8">
      <w:pPr>
        <w:ind w:left="720" w:hanging="720"/>
      </w:pPr>
      <w:r>
        <w:t xml:space="preserve">Singh, P., R. Jain, N. Srivastava, A. </w:t>
      </w:r>
      <w:proofErr w:type="spellStart"/>
      <w:r>
        <w:t>Borthakur</w:t>
      </w:r>
      <w:proofErr w:type="spellEnd"/>
      <w:r>
        <w:t xml:space="preserve">, D. B. Pal, R. Singh, S. Madhav, P. Srivastava, D. </w:t>
      </w:r>
      <w:proofErr w:type="spellStart"/>
      <w:r>
        <w:t>Tiwary</w:t>
      </w:r>
      <w:proofErr w:type="spellEnd"/>
      <w:r>
        <w:t xml:space="preserve"> &amp; P. K. Mishra, 2017. Current and emerging trends in bioremediation of petrochemical waste: A review. Critical Reviews in Environmental Science and Technology 47(3):155-201 doi:10.1080/10643389.2017.1318616.</w:t>
      </w:r>
    </w:p>
    <w:p w14:paraId="37123374" w14:textId="77777777" w:rsidR="00C008C8" w:rsidRDefault="00C008C8" w:rsidP="00C008C8">
      <w:pPr>
        <w:ind w:left="720" w:hanging="720"/>
      </w:pPr>
      <w:r>
        <w:t xml:space="preserve">Smith, M. B., A. M. Rocha, C. S. </w:t>
      </w:r>
      <w:proofErr w:type="spellStart"/>
      <w:r>
        <w:t>Smillie</w:t>
      </w:r>
      <w:proofErr w:type="spellEnd"/>
      <w:r>
        <w:t xml:space="preserve">, S. W. Olesen, C. Paradis, L. Wu, J. H. Campbell, J. L. Fortney, T. L. Mehlhorn, K. A. Lowe, J. E. </w:t>
      </w:r>
      <w:proofErr w:type="spellStart"/>
      <w:r>
        <w:t>Earles</w:t>
      </w:r>
      <w:proofErr w:type="spellEnd"/>
      <w:r>
        <w:t xml:space="preserve">, J. Phillips, S. M. Techtmann, D. C. Joyner, D. A. Elias, K. L. Bailey, R. A. Hurt, Jr., S. P. </w:t>
      </w:r>
      <w:proofErr w:type="spellStart"/>
      <w:r>
        <w:t>Preheim</w:t>
      </w:r>
      <w:proofErr w:type="spellEnd"/>
      <w:r>
        <w:t xml:space="preserve">, M. C. Sanders, J. Yang, M. A. Mueller, S. Brooks, D. B. Watson, P. Zhang, Z. He, E. A. Dubinsky, P. D. Adams, A. P. Arkin, M. W. Fields, J. Zhou, E. J. Alm &amp; T. C. Hazen, 2015. Natural Bacterial Communities Serve as Quantitative Geochemical Biosensors. </w:t>
      </w:r>
      <w:proofErr w:type="spellStart"/>
      <w:r>
        <w:t>Mbio</w:t>
      </w:r>
      <w:proofErr w:type="spellEnd"/>
      <w:r>
        <w:t xml:space="preserve"> 6(3) doi:10.1128/mBio.00326-15.</w:t>
      </w:r>
    </w:p>
    <w:p w14:paraId="504CAC0D" w14:textId="77777777" w:rsidR="00C008C8" w:rsidRDefault="00C008C8" w:rsidP="00C008C8">
      <w:pPr>
        <w:ind w:left="720" w:hanging="720"/>
      </w:pPr>
      <w:r>
        <w:t xml:space="preserve">Spain, A. M., A. D. Peacock, J. D. Istok, M. S. </w:t>
      </w:r>
      <w:proofErr w:type="spellStart"/>
      <w:r>
        <w:t>Elshahed</w:t>
      </w:r>
      <w:proofErr w:type="spellEnd"/>
      <w:r>
        <w:t xml:space="preserve">, F. Z. </w:t>
      </w:r>
      <w:proofErr w:type="spellStart"/>
      <w:r>
        <w:t>Najar</w:t>
      </w:r>
      <w:proofErr w:type="spellEnd"/>
      <w:r>
        <w:t xml:space="preserve">, B. A. Roe, D. C. White &amp; L. R. </w:t>
      </w:r>
      <w:proofErr w:type="spellStart"/>
      <w:r>
        <w:t>Krumholz</w:t>
      </w:r>
      <w:proofErr w:type="spellEnd"/>
      <w:r>
        <w:t xml:space="preserve">, 2007. Identification and isolation of a </w:t>
      </w:r>
      <w:proofErr w:type="spellStart"/>
      <w:r>
        <w:t>Castellaniella</w:t>
      </w:r>
      <w:proofErr w:type="spellEnd"/>
      <w:r>
        <w:t xml:space="preserve"> species important during biostimulation of an acidic nitrate- and uranium-contaminated aquifer. Applied and Environmental Microbiology 73(15):4892-4904 doi:10.1128/aem.00331-07.</w:t>
      </w:r>
    </w:p>
    <w:p w14:paraId="2871506E" w14:textId="77777777" w:rsidR="00C008C8" w:rsidRDefault="00C008C8" w:rsidP="00C008C8">
      <w:pPr>
        <w:ind w:left="720" w:hanging="720"/>
      </w:pPr>
      <w:r>
        <w:t xml:space="preserve">Techtmann, S. M., J. L. Fortney, K. A. Ayers, D. C. Joyner, T. D. Linley, S. M. </w:t>
      </w:r>
      <w:proofErr w:type="spellStart"/>
      <w:r>
        <w:t>Pfiffner</w:t>
      </w:r>
      <w:proofErr w:type="spellEnd"/>
      <w:r>
        <w:t xml:space="preserve"> &amp; T. C. Hazen, 2015. The Unique Chemistry of Eastern Mediterranean Water Masses Selects for Distinct Microbial Communities by Depth. </w:t>
      </w:r>
      <w:proofErr w:type="spellStart"/>
      <w:r>
        <w:t>Plos</w:t>
      </w:r>
      <w:proofErr w:type="spellEnd"/>
      <w:r>
        <w:t xml:space="preserve"> One 10(3) </w:t>
      </w:r>
      <w:proofErr w:type="gramStart"/>
      <w:r>
        <w:t>doi:10.1371/journal.pone</w:t>
      </w:r>
      <w:proofErr w:type="gramEnd"/>
      <w:r>
        <w:t>.0120605.</w:t>
      </w:r>
    </w:p>
    <w:p w14:paraId="1E276068" w14:textId="77777777" w:rsidR="00C008C8" w:rsidRDefault="00C008C8" w:rsidP="00C008C8">
      <w:pPr>
        <w:ind w:left="720" w:hanging="720"/>
      </w:pPr>
      <w:proofErr w:type="spellStart"/>
      <w:r>
        <w:lastRenderedPageBreak/>
        <w:t>Torsvik</w:t>
      </w:r>
      <w:proofErr w:type="spellEnd"/>
      <w:r>
        <w:t xml:space="preserve">, V. &amp; L. </w:t>
      </w:r>
      <w:proofErr w:type="spellStart"/>
      <w:r>
        <w:t>Ovreas</w:t>
      </w:r>
      <w:proofErr w:type="spellEnd"/>
      <w:r>
        <w:t>, 2002. Microbial diversity and function in soil: from genes to ecosystems. Current Opinion in Microbiology 5(3):240-245 doi:10.1016/s1369-5274(02)00324-7.</w:t>
      </w:r>
    </w:p>
    <w:p w14:paraId="67AA4474" w14:textId="77777777" w:rsidR="00C008C8" w:rsidRDefault="00C008C8" w:rsidP="00C008C8">
      <w:pPr>
        <w:ind w:left="720" w:hanging="720"/>
      </w:pPr>
      <w:r w:rsidRPr="00630651">
        <w:rPr>
          <w:lang w:val="es-US"/>
        </w:rPr>
        <w:t>Vidal-</w:t>
      </w:r>
      <w:proofErr w:type="spellStart"/>
      <w:r w:rsidRPr="00630651">
        <w:rPr>
          <w:lang w:val="es-US"/>
        </w:rPr>
        <w:t>Gavilan</w:t>
      </w:r>
      <w:proofErr w:type="spellEnd"/>
      <w:r w:rsidRPr="00630651">
        <w:rPr>
          <w:lang w:val="es-US"/>
        </w:rPr>
        <w:t xml:space="preserve">, G., R. </w:t>
      </w:r>
      <w:proofErr w:type="spellStart"/>
      <w:r w:rsidRPr="00630651">
        <w:rPr>
          <w:lang w:val="es-US"/>
        </w:rPr>
        <w:t>Carrey</w:t>
      </w:r>
      <w:proofErr w:type="spellEnd"/>
      <w:r w:rsidRPr="00630651">
        <w:rPr>
          <w:lang w:val="es-US"/>
        </w:rPr>
        <w:t xml:space="preserve">, A. Solanas &amp; A. Soler, 2014. </w:t>
      </w:r>
      <w:r>
        <w:t xml:space="preserve">Feeding strategies for groundwater enhanced </w:t>
      </w:r>
      <w:proofErr w:type="spellStart"/>
      <w:r>
        <w:t>biodenitrification</w:t>
      </w:r>
      <w:proofErr w:type="spellEnd"/>
      <w:r>
        <w:t xml:space="preserve"> in an alluvial aquifer: Chemical, microbial and isotope assessment of a 1D flow-through experiment. Science of the Total Environment 494:241-251 </w:t>
      </w:r>
      <w:proofErr w:type="gramStart"/>
      <w:r>
        <w:t>doi:10.1016/j.scitotenv</w:t>
      </w:r>
      <w:proofErr w:type="gramEnd"/>
      <w:r>
        <w:t>.2014.06.100.</w:t>
      </w:r>
    </w:p>
    <w:p w14:paraId="0A110BB5" w14:textId="77777777" w:rsidR="00C008C8" w:rsidRDefault="00C008C8" w:rsidP="00C008C8">
      <w:pPr>
        <w:ind w:left="720" w:hanging="720"/>
      </w:pPr>
      <w:r>
        <w:t xml:space="preserve">Wang, Q., G. M. Garrity, J. M. </w:t>
      </w:r>
      <w:proofErr w:type="spellStart"/>
      <w:r>
        <w:t>Tiedje</w:t>
      </w:r>
      <w:proofErr w:type="spellEnd"/>
      <w:r>
        <w:t xml:space="preserve"> &amp; J. R. Cole, 2007. Naive Bayesian classifier for rapid assignment of rRNA sequences into the new bacterial taxonomy. Applied and Environmental Microbiology 73(16):5261-5267 doi:10.1128/aem.00062-07.</w:t>
      </w:r>
    </w:p>
    <w:p w14:paraId="4AFAD201" w14:textId="4653CFB3" w:rsidR="00C008C8" w:rsidRDefault="00C008C8" w:rsidP="00C008C8">
      <w:pPr>
        <w:ind w:left="720" w:hanging="720"/>
      </w:pPr>
      <w:r>
        <w:t xml:space="preserve">Wu, L. Y., C. Q. Wen, Y. J. Qin, H. Q. Yin, Q. C. Tu, J. D. Van Nostrand, T. Yuan, M. T. Yuan, Y. Deng &amp; J. Z. Zhou, 2015. Phasing amplicon sequencing on Illumina </w:t>
      </w:r>
      <w:r w:rsidR="003A065A">
        <w:t>MiSeq</w:t>
      </w:r>
      <w:r>
        <w:t xml:space="preserve"> for robust environmental microbial community analysis. </w:t>
      </w:r>
      <w:proofErr w:type="spellStart"/>
      <w:r>
        <w:t>Bmc</w:t>
      </w:r>
      <w:proofErr w:type="spellEnd"/>
      <w:r>
        <w:t xml:space="preserve"> Microbiology 15 doi:10.1186/s12866-015-0450-4.</w:t>
      </w:r>
    </w:p>
    <w:p w14:paraId="1357537F" w14:textId="64236914" w:rsidR="00C008C8" w:rsidRDefault="00C008C8" w:rsidP="00C008C8">
      <w:pPr>
        <w:ind w:left="720" w:hanging="720"/>
      </w:pPr>
      <w:r>
        <w:t xml:space="preserve">Wu, W. M., J. Carley, T. Gentry, M. A. </w:t>
      </w:r>
      <w:proofErr w:type="spellStart"/>
      <w:r>
        <w:t>Ginder</w:t>
      </w:r>
      <w:proofErr w:type="spellEnd"/>
      <w:r>
        <w:t xml:space="preserve">-Vogel, M. Fienen, T. Mehlhorn, H. Yan, S. </w:t>
      </w:r>
      <w:proofErr w:type="spellStart"/>
      <w:r>
        <w:t>Caroll</w:t>
      </w:r>
      <w:proofErr w:type="spellEnd"/>
      <w:r>
        <w:t xml:space="preserve">, M. N. Pace, J. Nyman, J. Luo, M. E. Gentile, M. W. Fields, R. F. Hickey, B. H. Gu, D. Watson, O. A. </w:t>
      </w:r>
      <w:proofErr w:type="spellStart"/>
      <w:r>
        <w:t>Cirpka</w:t>
      </w:r>
      <w:proofErr w:type="spellEnd"/>
      <w:r>
        <w:t xml:space="preserve">, J. Z. Zhou, S. </w:t>
      </w:r>
      <w:proofErr w:type="spellStart"/>
      <w:r>
        <w:t>Fendorf</w:t>
      </w:r>
      <w:proofErr w:type="spellEnd"/>
      <w:r>
        <w:t xml:space="preserve">, P. K. </w:t>
      </w:r>
      <w:proofErr w:type="spellStart"/>
      <w:r>
        <w:t>Kitanidis</w:t>
      </w:r>
      <w:proofErr w:type="spellEnd"/>
      <w:r>
        <w:t xml:space="preserve">, P. M. Jardine &amp; C. S. </w:t>
      </w:r>
      <w:proofErr w:type="spellStart"/>
      <w:r>
        <w:t>Criddle</w:t>
      </w:r>
      <w:proofErr w:type="spellEnd"/>
      <w:r>
        <w:t xml:space="preserve">, 2006. Pilot-scale </w:t>
      </w:r>
      <w:r w:rsidR="00AF4FA9">
        <w:rPr>
          <w:i/>
          <w:iCs/>
        </w:rPr>
        <w:t>in situ</w:t>
      </w:r>
      <w:r w:rsidR="00AF4FA9">
        <w:t xml:space="preserve"> </w:t>
      </w:r>
      <w:r w:rsidR="003A065A">
        <w:t>bioremediation</w:t>
      </w:r>
      <w:r>
        <w:t xml:space="preserve"> of uranium in a highly contaminated aquifer. 2. Reduction of U(VI) and geochemical control of U(VI) bioavailability. Environmental Science &amp; Technology 40(12):3986-3995 doi:10.1021/es051960u.</w:t>
      </w:r>
    </w:p>
    <w:p w14:paraId="182AEE87" w14:textId="77777777" w:rsidR="00C008C8" w:rsidRDefault="00C008C8" w:rsidP="00C008C8">
      <w:pPr>
        <w:ind w:left="720" w:hanging="720"/>
      </w:pPr>
      <w:r>
        <w:t xml:space="preserve">Wu, W. M., J. Carley, J. Luo, M. A. </w:t>
      </w:r>
      <w:proofErr w:type="spellStart"/>
      <w:r>
        <w:t>Ginder</w:t>
      </w:r>
      <w:proofErr w:type="spellEnd"/>
      <w:r>
        <w:t xml:space="preserve">-Vogel, E. Cardenas, M. B. Leigh, C. C. Hwang, S. D. Kelly, C. M. </w:t>
      </w:r>
      <w:proofErr w:type="spellStart"/>
      <w:r>
        <w:t>Ruan</w:t>
      </w:r>
      <w:proofErr w:type="spellEnd"/>
      <w:r>
        <w:t xml:space="preserve">, L. Y. Wu, J. Van Nostrand, T. Gentry, K. Lowe, T. Mehlhorn, S. Carroll, W. S. Luo, M. W. Fields, B. H. Gu, D. Watson, K. M. </w:t>
      </w:r>
      <w:proofErr w:type="spellStart"/>
      <w:r>
        <w:t>Kemner</w:t>
      </w:r>
      <w:proofErr w:type="spellEnd"/>
      <w:r>
        <w:t xml:space="preserve">, T. Marsh, J. </w:t>
      </w:r>
      <w:proofErr w:type="spellStart"/>
      <w:r>
        <w:lastRenderedPageBreak/>
        <w:t>Tiedje</w:t>
      </w:r>
      <w:proofErr w:type="spellEnd"/>
      <w:r>
        <w:t xml:space="preserve">, J. Z. Zhou, S. </w:t>
      </w:r>
      <w:proofErr w:type="spellStart"/>
      <w:r>
        <w:t>Fendorf</w:t>
      </w:r>
      <w:proofErr w:type="spellEnd"/>
      <w:r>
        <w:t xml:space="preserve">, P. K. </w:t>
      </w:r>
      <w:proofErr w:type="spellStart"/>
      <w:r>
        <w:t>Kitanidis</w:t>
      </w:r>
      <w:proofErr w:type="spellEnd"/>
      <w:r>
        <w:t xml:space="preserve">, P. M. Jardine &amp; C. S. </w:t>
      </w:r>
      <w:proofErr w:type="spellStart"/>
      <w:r>
        <w:t>Criddle</w:t>
      </w:r>
      <w:proofErr w:type="spellEnd"/>
      <w:r>
        <w:t xml:space="preserve">, 2007. </w:t>
      </w:r>
      <w:r w:rsidR="00466C9C">
        <w:rPr>
          <w:i/>
          <w:iCs/>
        </w:rPr>
        <w:t>I</w:t>
      </w:r>
      <w:r w:rsidR="00AF4FA9">
        <w:rPr>
          <w:i/>
          <w:iCs/>
        </w:rPr>
        <w:t>n situ</w:t>
      </w:r>
      <w:r w:rsidR="00AF4FA9">
        <w:t xml:space="preserve"> </w:t>
      </w:r>
      <w:proofErr w:type="spellStart"/>
      <w:r>
        <w:t>bioreduction</w:t>
      </w:r>
      <w:proofErr w:type="spellEnd"/>
      <w:r>
        <w:t xml:space="preserve"> of uranium (VI) to </w:t>
      </w:r>
      <w:proofErr w:type="spellStart"/>
      <w:r>
        <w:t>submicromolar</w:t>
      </w:r>
      <w:proofErr w:type="spellEnd"/>
      <w:r>
        <w:t xml:space="preserve"> levels and reoxidation by dissolved oxygen. Environmental Science &amp; Technology 41(16):5716-5723 doi:10.1021/es062657b.</w:t>
      </w:r>
    </w:p>
    <w:p w14:paraId="420D7E25" w14:textId="77777777" w:rsidR="00C008C8" w:rsidRDefault="00C008C8" w:rsidP="00C008C8">
      <w:pPr>
        <w:ind w:left="720" w:hanging="720"/>
      </w:pPr>
      <w:r>
        <w:t>Zhang, L. &amp; Z. Xu, 2008. Assessing bacterial diversity in soil. Journal of Soils and Sediments 8(6):379-388 doi:10.1007/s11368-008-0043-z.</w:t>
      </w:r>
    </w:p>
    <w:p w14:paraId="1AAD27C3" w14:textId="77777777" w:rsidR="002C6715" w:rsidRDefault="002C6715" w:rsidP="002C6715">
      <w:pPr>
        <w:pStyle w:val="Heading2"/>
        <w:sectPr w:rsidR="002C6715" w:rsidSect="00202668">
          <w:pgSz w:w="12240" w:h="15840" w:code="1"/>
          <w:pgMar w:top="1440" w:right="1440" w:bottom="1440" w:left="1440" w:header="360" w:footer="360" w:gutter="0"/>
          <w:cols w:space="720"/>
          <w:docGrid w:linePitch="360"/>
        </w:sectPr>
      </w:pPr>
    </w:p>
    <w:p w14:paraId="7FDB20E7" w14:textId="77777777" w:rsidR="0052207D" w:rsidRPr="0052207D" w:rsidRDefault="00B42EF3" w:rsidP="0052207D">
      <w:pPr>
        <w:pStyle w:val="Heading1"/>
      </w:pPr>
      <w:bookmarkStart w:id="201" w:name="_Toc498505077"/>
      <w:r>
        <w:lastRenderedPageBreak/>
        <w:t>Conclusions</w:t>
      </w:r>
      <w:bookmarkEnd w:id="201"/>
      <w:r w:rsidR="00E86F2F" w:rsidRPr="00033E11">
        <w:t xml:space="preserve"> </w:t>
      </w:r>
    </w:p>
    <w:p w14:paraId="7F7EB487" w14:textId="14B794C0" w:rsidR="001846CD" w:rsidRPr="007002AA" w:rsidRDefault="00EB1318" w:rsidP="001846CD">
      <w:pPr>
        <w:ind w:firstLine="720"/>
      </w:pPr>
      <w:r w:rsidRPr="00EB1318">
        <w:t xml:space="preserve">The conclusions of the four contaminant hydrogeology studies presented in this dissertation advanced the understanding of the structure and function of natural microbial communities in groundwater. In the first study, in situ oxidation/mobilization of previously bio-reduced/bio-immobilized uranium in the presence of nitrate oxidant was demonstrated to be mitigated by preferential oxidation/mobilization of reduced sulfur-bearing species as opposed to reduced uranium-bearing species. The first study confirmed the results of previous laboratory studies and suggested that establishing sulfate-reducing conditions following bio-reduction of uranium can substantially limit the extent of uranium mobility in the presence of nitrate oxidant. In the second study, the analytical solution for describing the center of mass of a non-reactive solute during a push-drift-pull test was expanded to account for the push-phase. The second study demonstrated that failure to account for the push-phase may lead to underestimating the magnitude of effective porosity and the expanded solution allowed for a better estimation of the physical space through which an injected volume of a dissolved-phase microbial substrate would travel by advection. In the third study, the breakthrough curve of a potentially reactive solute due to non-reactive mixing of the injection and aquifer fluids during a push-drift-pull test was described analytically to account for any possible combination of non-reactive and potentially reactive solute concentrations within the injection and aquifer fluids. The third study demonstrated that accounting for any possible combination of concentrations yielded a more accurate quantification of microbial-mediated solute mass transformation. In the fourth study, </w:t>
      </w:r>
      <w:r w:rsidRPr="001846CD">
        <w:rPr>
          <w:i/>
        </w:rPr>
        <w:t>in situ</w:t>
      </w:r>
      <w:r w:rsidRPr="00EB1318">
        <w:t xml:space="preserve"> adaptation of a natural microbial community was induced and sustained for up to six weeks in the absence of ethanol substrate with no apparent enrichment of a select </w:t>
      </w:r>
      <w:r w:rsidR="001846CD">
        <w:t xml:space="preserve">planktonic </w:t>
      </w:r>
      <w:r w:rsidRPr="00EB1318">
        <w:t>microbial community.</w:t>
      </w:r>
      <w:r>
        <w:t xml:space="preserve"> </w:t>
      </w:r>
      <w:r w:rsidRPr="00EB1318">
        <w:t xml:space="preserve">The fourth study suggested that the predominant mechanisms of adaptation may </w:t>
      </w:r>
      <w:r w:rsidRPr="00EB1318">
        <w:lastRenderedPageBreak/>
        <w:t>exist at the enzymatic- and/or genetic-levels.</w:t>
      </w:r>
      <w:r w:rsidR="00E80A44">
        <w:t xml:space="preserve"> Therefore, f</w:t>
      </w:r>
      <w:r w:rsidR="001846CD" w:rsidRPr="0023315C">
        <w:t xml:space="preserve">uture </w:t>
      </w:r>
      <w:r w:rsidR="001846CD" w:rsidRPr="0023315C">
        <w:rPr>
          <w:i/>
        </w:rPr>
        <w:t>in situ</w:t>
      </w:r>
      <w:r w:rsidR="001846CD" w:rsidRPr="0023315C">
        <w:t xml:space="preserve"> studies of </w:t>
      </w:r>
      <w:r w:rsidR="001846CD">
        <w:t>the e</w:t>
      </w:r>
      <w:r w:rsidR="001846CD" w:rsidRPr="0023315C">
        <w:t>xposure history dependence of microbial mediated transformations of su</w:t>
      </w:r>
      <w:r w:rsidR="001846CD">
        <w:t>bstrates in groundwater</w:t>
      </w:r>
      <w:r w:rsidR="001846CD" w:rsidRPr="0023315C">
        <w:t xml:space="preserve"> should attempt to characterize the sessile community as well as investigate the genetic adaptations to </w:t>
      </w:r>
      <w:r w:rsidR="00E80A44">
        <w:t>substrate</w:t>
      </w:r>
      <w:r w:rsidR="001846CD" w:rsidRPr="0023315C">
        <w:t xml:space="preserve"> exposure.</w:t>
      </w:r>
    </w:p>
    <w:p w14:paraId="23E90528" w14:textId="762EE7CB" w:rsidR="00F271B5" w:rsidRDefault="00EB1318" w:rsidP="00DA354F">
      <w:pPr>
        <w:ind w:firstLine="720"/>
      </w:pPr>
      <w:r>
        <w:t xml:space="preserve"> </w:t>
      </w:r>
    </w:p>
    <w:p w14:paraId="3D778DF2" w14:textId="77777777" w:rsidR="00F271B5" w:rsidRDefault="00F271B5" w:rsidP="00936C78"/>
    <w:p w14:paraId="2E8D6285" w14:textId="1C36C439" w:rsidR="003D1C6F" w:rsidRDefault="003D1C6F" w:rsidP="00936C78"/>
    <w:p w14:paraId="7C1288E2" w14:textId="77777777" w:rsidR="00EB1318" w:rsidRDefault="00EB1318" w:rsidP="00936C78"/>
    <w:p w14:paraId="6C02A309" w14:textId="77777777" w:rsidR="00EB1318" w:rsidRDefault="00EB1318" w:rsidP="00936C78">
      <w:bookmarkStart w:id="202" w:name="_Toc486940566"/>
      <w:bookmarkStart w:id="203" w:name="_Toc489601566"/>
      <w:bookmarkStart w:id="204" w:name="_Toc497728624"/>
      <w:bookmarkStart w:id="205" w:name="_Toc497741078"/>
    </w:p>
    <w:p w14:paraId="0F0C1538" w14:textId="77777777" w:rsidR="00EB1318" w:rsidRDefault="00EB1318" w:rsidP="00936C78"/>
    <w:p w14:paraId="2738881E" w14:textId="77777777" w:rsidR="00EB1318" w:rsidRDefault="00EB1318" w:rsidP="00936C78"/>
    <w:p w14:paraId="10217154" w14:textId="77777777" w:rsidR="00EB1318" w:rsidRDefault="00EB1318" w:rsidP="00936C78"/>
    <w:p w14:paraId="743CD1E4" w14:textId="77777777" w:rsidR="00EB1318" w:rsidRDefault="00EB1318" w:rsidP="00936C78"/>
    <w:p w14:paraId="6B061EB5" w14:textId="77777777" w:rsidR="00EB1318" w:rsidRDefault="00EB1318" w:rsidP="00936C78"/>
    <w:p w14:paraId="0CA3528C" w14:textId="77777777" w:rsidR="00EB1318" w:rsidRDefault="00EB1318" w:rsidP="00936C78"/>
    <w:p w14:paraId="7BFEBA09" w14:textId="77777777" w:rsidR="00EB1318" w:rsidRDefault="00EB1318" w:rsidP="00936C78"/>
    <w:p w14:paraId="508B71FA" w14:textId="77777777" w:rsidR="00EB1318" w:rsidRDefault="00EB1318" w:rsidP="00936C78"/>
    <w:p w14:paraId="3E67E28C" w14:textId="77777777" w:rsidR="00EB1318" w:rsidRDefault="00EB1318" w:rsidP="00936C78"/>
    <w:p w14:paraId="00D65247" w14:textId="77777777" w:rsidR="00EB1318" w:rsidRDefault="00EB1318" w:rsidP="00936C78"/>
    <w:p w14:paraId="4EECB0CA" w14:textId="77777777" w:rsidR="00EB1318" w:rsidRDefault="00EB1318" w:rsidP="00936C78"/>
    <w:p w14:paraId="5DC4DEE8" w14:textId="77777777" w:rsidR="00EB1318" w:rsidRDefault="00EB1318" w:rsidP="00936C78"/>
    <w:p w14:paraId="501E9DD0" w14:textId="77777777" w:rsidR="00EB1318" w:rsidRDefault="00EB1318" w:rsidP="00936C78"/>
    <w:p w14:paraId="23216775" w14:textId="47947FC7" w:rsidR="00936C78" w:rsidRDefault="00936C78" w:rsidP="00936C78"/>
    <w:p w14:paraId="0109477C" w14:textId="1C9BE15D" w:rsidR="00A46441" w:rsidRDefault="00A46441" w:rsidP="00A46441">
      <w:pPr>
        <w:pStyle w:val="Heading1"/>
        <w:numPr>
          <w:ilvl w:val="0"/>
          <w:numId w:val="0"/>
        </w:numPr>
      </w:pPr>
      <w:bookmarkStart w:id="206" w:name="_Toc498505078"/>
      <w:r>
        <w:lastRenderedPageBreak/>
        <w:t>Vita</w:t>
      </w:r>
      <w:bookmarkEnd w:id="202"/>
      <w:bookmarkEnd w:id="203"/>
      <w:bookmarkEnd w:id="204"/>
      <w:bookmarkEnd w:id="205"/>
      <w:bookmarkEnd w:id="206"/>
    </w:p>
    <w:p w14:paraId="5C08183E" w14:textId="16D55622" w:rsidR="00EC503D" w:rsidRDefault="00B42C4B" w:rsidP="00CF2C24">
      <w:pPr>
        <w:ind w:firstLine="720"/>
      </w:pPr>
      <w:r>
        <w:t>Charles</w:t>
      </w:r>
      <w:r w:rsidR="00E952ED">
        <w:t xml:space="preserve"> </w:t>
      </w:r>
      <w:r w:rsidR="00E105DB">
        <w:t xml:space="preserve">(“Charlie”) </w:t>
      </w:r>
      <w:r w:rsidR="001060D9">
        <w:t xml:space="preserve">Joseph </w:t>
      </w:r>
      <w:r w:rsidR="00252E28">
        <w:t>P</w:t>
      </w:r>
      <w:r w:rsidR="00E952ED">
        <w:t xml:space="preserve">aradis </w:t>
      </w:r>
      <w:r w:rsidR="008F230B">
        <w:t xml:space="preserve">was born in San Francisco, California and raised in </w:t>
      </w:r>
      <w:r w:rsidR="00E50468">
        <w:t xml:space="preserve">the </w:t>
      </w:r>
      <w:r w:rsidR="008F230B">
        <w:t>East Bay.</w:t>
      </w:r>
      <w:r w:rsidR="00E50468">
        <w:t xml:space="preserve"> </w:t>
      </w:r>
      <w:r w:rsidR="008F230B">
        <w:t xml:space="preserve">Charlie </w:t>
      </w:r>
      <w:r w:rsidR="00EC503D">
        <w:t xml:space="preserve">holds a bachelor of arts degree in geology from the University of California Berkeley and a master of science degree in hydrology from </w:t>
      </w:r>
      <w:r w:rsidR="00CA2A95">
        <w:t xml:space="preserve">the </w:t>
      </w:r>
      <w:r w:rsidR="00EC503D">
        <w:t>University of California Davis.</w:t>
      </w:r>
      <w:r w:rsidR="001F6A42">
        <w:t xml:space="preserve"> Charl</w:t>
      </w:r>
      <w:r w:rsidR="00E105DB">
        <w:t>ie</w:t>
      </w:r>
      <w:r w:rsidR="001F6A42">
        <w:t xml:space="preserve"> held the position of associate geologist for Parsons</w:t>
      </w:r>
      <w:r w:rsidR="00CA2A95">
        <w:t xml:space="preserve"> </w:t>
      </w:r>
      <w:r w:rsidR="00FB737B">
        <w:t xml:space="preserve">Corporation </w:t>
      </w:r>
      <w:r w:rsidR="00CA2A95">
        <w:t>prior to his doctoral studies at the University of Tennessee Knoxville</w:t>
      </w:r>
      <w:r w:rsidR="00CF2C24">
        <w:t xml:space="preserve">. </w:t>
      </w:r>
      <w:r w:rsidR="004B57C3">
        <w:t xml:space="preserve">Charlie </w:t>
      </w:r>
      <w:r w:rsidR="00FB737B">
        <w:t>plan</w:t>
      </w:r>
      <w:r w:rsidR="00CF7BC4">
        <w:t xml:space="preserve">s </w:t>
      </w:r>
      <w:r w:rsidR="00CF2C24">
        <w:t xml:space="preserve">to continue making </w:t>
      </w:r>
      <w:r w:rsidR="004D4E3D">
        <w:t xml:space="preserve">significant scientific contributions to </w:t>
      </w:r>
      <w:r w:rsidR="00FB737B">
        <w:t>the broad field o</w:t>
      </w:r>
      <w:r w:rsidR="00CF7BC4">
        <w:t xml:space="preserve">f </w:t>
      </w:r>
      <w:r w:rsidR="00FB737B">
        <w:t>contaminant hydrogeology.</w:t>
      </w:r>
      <w:r w:rsidR="004D4E3D">
        <w:t xml:space="preserve"> </w:t>
      </w:r>
      <w:r w:rsidR="000A5750">
        <w:t xml:space="preserve"> </w:t>
      </w:r>
    </w:p>
    <w:p w14:paraId="3D96E535" w14:textId="77777777" w:rsidR="007653DB" w:rsidRPr="007653DB" w:rsidRDefault="007653DB" w:rsidP="007653DB"/>
    <w:p w14:paraId="60E3E9A9" w14:textId="77777777" w:rsidR="00B866B0" w:rsidRPr="00101EFB" w:rsidRDefault="00B866B0" w:rsidP="00101EFB">
      <w:pPr>
        <w:rPr>
          <w:rFonts w:cs="Times New Roman"/>
          <w:szCs w:val="24"/>
        </w:rPr>
      </w:pPr>
    </w:p>
    <w:sectPr w:rsidR="00B866B0" w:rsidRPr="00101EFB" w:rsidSect="00202668">
      <w:pgSz w:w="12240" w:h="15840" w:code="1"/>
      <w:pgMar w:top="1440" w:right="1440" w:bottom="1440" w:left="144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56E7F" w14:textId="77777777" w:rsidR="001A0D42" w:rsidRDefault="001A0D42" w:rsidP="00E81F8D">
      <w:r>
        <w:separator/>
      </w:r>
    </w:p>
  </w:endnote>
  <w:endnote w:type="continuationSeparator" w:id="0">
    <w:p w14:paraId="3EC2C6EE" w14:textId="77777777" w:rsidR="001A0D42" w:rsidRDefault="001A0D42" w:rsidP="00E81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dvOT2e364b11">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1896611"/>
      <w:docPartObj>
        <w:docPartGallery w:val="Page Numbers (Bottom of Page)"/>
        <w:docPartUnique/>
      </w:docPartObj>
    </w:sdtPr>
    <w:sdtEndPr>
      <w:rPr>
        <w:noProof/>
      </w:rPr>
    </w:sdtEndPr>
    <w:sdtContent>
      <w:p w14:paraId="00E1C6D8" w14:textId="7514C82B" w:rsidR="005449E2" w:rsidRDefault="005449E2">
        <w:pPr>
          <w:pStyle w:val="Footer"/>
          <w:jc w:val="right"/>
        </w:pPr>
        <w:r>
          <w:fldChar w:fldCharType="begin"/>
        </w:r>
        <w:r>
          <w:instrText xml:space="preserve"> PAGE   \* MERGEFORMAT </w:instrText>
        </w:r>
        <w:r>
          <w:fldChar w:fldCharType="separate"/>
        </w:r>
        <w:r w:rsidR="003169A6">
          <w:rPr>
            <w:noProof/>
          </w:rPr>
          <w:t>2</w:t>
        </w:r>
        <w:r>
          <w:rPr>
            <w:noProof/>
          </w:rPr>
          <w:fldChar w:fldCharType="end"/>
        </w:r>
      </w:p>
    </w:sdtContent>
  </w:sdt>
  <w:p w14:paraId="7095F78D" w14:textId="77777777" w:rsidR="005449E2" w:rsidRDefault="005449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5D8E6F" w14:textId="77777777" w:rsidR="001A0D42" w:rsidRDefault="001A0D42" w:rsidP="00E81F8D">
      <w:r>
        <w:separator/>
      </w:r>
    </w:p>
  </w:footnote>
  <w:footnote w:type="continuationSeparator" w:id="0">
    <w:p w14:paraId="5F287630" w14:textId="77777777" w:rsidR="001A0D42" w:rsidRDefault="001A0D42" w:rsidP="00E81F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156D"/>
    <w:multiLevelType w:val="multilevel"/>
    <w:tmpl w:val="17A200E8"/>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E74F18"/>
    <w:multiLevelType w:val="multilevel"/>
    <w:tmpl w:val="C93234A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E7D15C8"/>
    <w:multiLevelType w:val="multilevel"/>
    <w:tmpl w:val="B4E8B71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1663AB2"/>
    <w:multiLevelType w:val="multilevel"/>
    <w:tmpl w:val="21C2821C"/>
    <w:lvl w:ilvl="0">
      <w:start w:val="1"/>
      <w:numFmt w:val="bullet"/>
      <w:lvlText w:val=""/>
      <w:lvlJc w:val="left"/>
      <w:pPr>
        <w:ind w:left="1080" w:hanging="360"/>
      </w:pPr>
      <w:rPr>
        <w:rFonts w:ascii="Symbol" w:hAnsi="Symbol"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A864659"/>
    <w:multiLevelType w:val="multilevel"/>
    <w:tmpl w:val="17A200E8"/>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D590A01"/>
    <w:multiLevelType w:val="hybridMultilevel"/>
    <w:tmpl w:val="F296EBEE"/>
    <w:lvl w:ilvl="0" w:tplc="2B720A34">
      <w:start w:val="1"/>
      <w:numFmt w:val="decimal"/>
      <w:lvlText w:val="Chapter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D42FA1"/>
    <w:multiLevelType w:val="multilevel"/>
    <w:tmpl w:val="17A200E8"/>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3440054"/>
    <w:multiLevelType w:val="hybridMultilevel"/>
    <w:tmpl w:val="63D07820"/>
    <w:lvl w:ilvl="0" w:tplc="6BE840F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CC3401"/>
    <w:multiLevelType w:val="hybridMultilevel"/>
    <w:tmpl w:val="6BF03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615729"/>
    <w:multiLevelType w:val="hybridMultilevel"/>
    <w:tmpl w:val="B434CE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E465712"/>
    <w:multiLevelType w:val="multilevel"/>
    <w:tmpl w:val="17A200E8"/>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FD80D3F"/>
    <w:multiLevelType w:val="multilevel"/>
    <w:tmpl w:val="9260016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5510A61"/>
    <w:multiLevelType w:val="hybridMultilevel"/>
    <w:tmpl w:val="4C142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E31CE6"/>
    <w:multiLevelType w:val="hybridMultilevel"/>
    <w:tmpl w:val="91CCE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ED6CB2"/>
    <w:multiLevelType w:val="multilevel"/>
    <w:tmpl w:val="068C6574"/>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E3D445C"/>
    <w:multiLevelType w:val="multilevel"/>
    <w:tmpl w:val="C0CA985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FBA5264"/>
    <w:multiLevelType w:val="hybridMultilevel"/>
    <w:tmpl w:val="1E04E5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323507"/>
    <w:multiLevelType w:val="multilevel"/>
    <w:tmpl w:val="068C6574"/>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31D57C4"/>
    <w:multiLevelType w:val="hybridMultilevel"/>
    <w:tmpl w:val="BD58686E"/>
    <w:lvl w:ilvl="0" w:tplc="2328FA9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0815D9"/>
    <w:multiLevelType w:val="multilevel"/>
    <w:tmpl w:val="DABE355C"/>
    <w:lvl w:ilvl="0">
      <w:start w:val="2"/>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5D763F4E"/>
    <w:multiLevelType w:val="multilevel"/>
    <w:tmpl w:val="D2DCC2B4"/>
    <w:lvl w:ilvl="0">
      <w:start w:val="1"/>
      <w:numFmt w:val="decimal"/>
      <w:suff w:val="space"/>
      <w:lvlText w:val="Chapter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1" w15:restartNumberingAfterBreak="0">
    <w:nsid w:val="60335936"/>
    <w:multiLevelType w:val="multilevel"/>
    <w:tmpl w:val="AD4A67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A1045AD"/>
    <w:multiLevelType w:val="multilevel"/>
    <w:tmpl w:val="B4E8B71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DAD5ED9"/>
    <w:multiLevelType w:val="hybridMultilevel"/>
    <w:tmpl w:val="36A23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E77397"/>
    <w:multiLevelType w:val="hybridMultilevel"/>
    <w:tmpl w:val="786AF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CA3F72"/>
    <w:multiLevelType w:val="hybridMultilevel"/>
    <w:tmpl w:val="6086738E"/>
    <w:lvl w:ilvl="0" w:tplc="A0B244D4">
      <w:start w:val="1"/>
      <w:numFmt w:val="decimal"/>
      <w:pStyle w:val="Heading1"/>
      <w:lvlText w:val="Chapter %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824477"/>
    <w:multiLevelType w:val="multilevel"/>
    <w:tmpl w:val="950C91CA"/>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22"/>
  </w:num>
  <w:num w:numId="2">
    <w:abstractNumId w:val="16"/>
  </w:num>
  <w:num w:numId="3">
    <w:abstractNumId w:val="13"/>
  </w:num>
  <w:num w:numId="4">
    <w:abstractNumId w:val="3"/>
  </w:num>
  <w:num w:numId="5">
    <w:abstractNumId w:val="2"/>
  </w:num>
  <w:num w:numId="6">
    <w:abstractNumId w:val="1"/>
  </w:num>
  <w:num w:numId="7">
    <w:abstractNumId w:val="26"/>
  </w:num>
  <w:num w:numId="8">
    <w:abstractNumId w:val="11"/>
  </w:num>
  <w:num w:numId="9">
    <w:abstractNumId w:val="19"/>
  </w:num>
  <w:num w:numId="10">
    <w:abstractNumId w:val="7"/>
  </w:num>
  <w:num w:numId="11">
    <w:abstractNumId w:val="20"/>
  </w:num>
  <w:num w:numId="12">
    <w:abstractNumId w:val="9"/>
  </w:num>
  <w:num w:numId="13">
    <w:abstractNumId w:val="8"/>
  </w:num>
  <w:num w:numId="14">
    <w:abstractNumId w:val="17"/>
  </w:num>
  <w:num w:numId="15">
    <w:abstractNumId w:val="21"/>
  </w:num>
  <w:num w:numId="16">
    <w:abstractNumId w:val="15"/>
  </w:num>
  <w:num w:numId="17">
    <w:abstractNumId w:val="14"/>
  </w:num>
  <w:num w:numId="18">
    <w:abstractNumId w:val="12"/>
  </w:num>
  <w:num w:numId="19">
    <w:abstractNumId w:val="10"/>
  </w:num>
  <w:num w:numId="20">
    <w:abstractNumId w:val="0"/>
  </w:num>
  <w:num w:numId="21">
    <w:abstractNumId w:val="4"/>
  </w:num>
  <w:num w:numId="22">
    <w:abstractNumId w:val="18"/>
  </w:num>
  <w:num w:numId="23">
    <w:abstractNumId w:val="25"/>
  </w:num>
  <w:num w:numId="24">
    <w:abstractNumId w:val="5"/>
  </w:num>
  <w:num w:numId="25">
    <w:abstractNumId w:val="24"/>
  </w:num>
  <w:num w:numId="26">
    <w:abstractNumId w:val="6"/>
  </w:num>
  <w:num w:numId="27">
    <w:abstractNumId w:val="2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ydrobiologia Edit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Layout&gt;"/>
    <w:docVar w:name="EN.Libraries" w:val="&lt;Libraries&gt;&lt;item db-id=&quot;rzwe2tae7rs0abe55xgp55w8xtdf5xp9dwrd&quot;&gt;My EndNote Library&lt;record-ids&gt;&lt;item&gt;2&lt;/item&gt;&lt;item&gt;327&lt;/item&gt;&lt;item&gt;531&lt;/item&gt;&lt;item&gt;549&lt;/item&gt;&lt;item&gt;590&lt;/item&gt;&lt;item&gt;618&lt;/item&gt;&lt;item&gt;619&lt;/item&gt;&lt;item&gt;650&lt;/item&gt;&lt;item&gt;689&lt;/item&gt;&lt;item&gt;761&lt;/item&gt;&lt;item&gt;762&lt;/item&gt;&lt;/record-ids&gt;&lt;/item&gt;&lt;/Libraries&gt;"/>
  </w:docVars>
  <w:rsids>
    <w:rsidRoot w:val="00434FBD"/>
    <w:rsid w:val="0000040E"/>
    <w:rsid w:val="000005ED"/>
    <w:rsid w:val="000008CE"/>
    <w:rsid w:val="000018E9"/>
    <w:rsid w:val="00001E35"/>
    <w:rsid w:val="00002085"/>
    <w:rsid w:val="000031E4"/>
    <w:rsid w:val="000033D5"/>
    <w:rsid w:val="00003A92"/>
    <w:rsid w:val="00003BED"/>
    <w:rsid w:val="00003D04"/>
    <w:rsid w:val="00003D4A"/>
    <w:rsid w:val="00003DC1"/>
    <w:rsid w:val="00004B0F"/>
    <w:rsid w:val="000052A4"/>
    <w:rsid w:val="000052AC"/>
    <w:rsid w:val="000056D6"/>
    <w:rsid w:val="00005A9F"/>
    <w:rsid w:val="00005F65"/>
    <w:rsid w:val="00006566"/>
    <w:rsid w:val="0000687F"/>
    <w:rsid w:val="000068E5"/>
    <w:rsid w:val="00006916"/>
    <w:rsid w:val="00006CD6"/>
    <w:rsid w:val="00006D49"/>
    <w:rsid w:val="00007503"/>
    <w:rsid w:val="0001017C"/>
    <w:rsid w:val="0001056D"/>
    <w:rsid w:val="00010BA5"/>
    <w:rsid w:val="0001126C"/>
    <w:rsid w:val="000125C7"/>
    <w:rsid w:val="0001289D"/>
    <w:rsid w:val="00012A64"/>
    <w:rsid w:val="000132B3"/>
    <w:rsid w:val="00013496"/>
    <w:rsid w:val="00013543"/>
    <w:rsid w:val="000138B0"/>
    <w:rsid w:val="0001465D"/>
    <w:rsid w:val="00014CAA"/>
    <w:rsid w:val="00014F4B"/>
    <w:rsid w:val="00014FC7"/>
    <w:rsid w:val="00015747"/>
    <w:rsid w:val="00015BE0"/>
    <w:rsid w:val="00016331"/>
    <w:rsid w:val="00016485"/>
    <w:rsid w:val="00016B9A"/>
    <w:rsid w:val="00016CCD"/>
    <w:rsid w:val="000170B0"/>
    <w:rsid w:val="00017436"/>
    <w:rsid w:val="00017563"/>
    <w:rsid w:val="00017972"/>
    <w:rsid w:val="000179F5"/>
    <w:rsid w:val="0002002A"/>
    <w:rsid w:val="00020BB7"/>
    <w:rsid w:val="00020CF0"/>
    <w:rsid w:val="000214C4"/>
    <w:rsid w:val="0002158C"/>
    <w:rsid w:val="00021D45"/>
    <w:rsid w:val="00022182"/>
    <w:rsid w:val="00022267"/>
    <w:rsid w:val="00022C2A"/>
    <w:rsid w:val="000232F3"/>
    <w:rsid w:val="00023880"/>
    <w:rsid w:val="000239BC"/>
    <w:rsid w:val="00024029"/>
    <w:rsid w:val="00024C9E"/>
    <w:rsid w:val="000252E5"/>
    <w:rsid w:val="000255C6"/>
    <w:rsid w:val="000256BE"/>
    <w:rsid w:val="00025853"/>
    <w:rsid w:val="000259B4"/>
    <w:rsid w:val="00025B9B"/>
    <w:rsid w:val="00026464"/>
    <w:rsid w:val="00026BE2"/>
    <w:rsid w:val="000275F8"/>
    <w:rsid w:val="00027B04"/>
    <w:rsid w:val="00027C94"/>
    <w:rsid w:val="000302CA"/>
    <w:rsid w:val="00030661"/>
    <w:rsid w:val="00030DA3"/>
    <w:rsid w:val="00031313"/>
    <w:rsid w:val="00031906"/>
    <w:rsid w:val="00031F33"/>
    <w:rsid w:val="00032ECA"/>
    <w:rsid w:val="00033C8E"/>
    <w:rsid w:val="000346FC"/>
    <w:rsid w:val="00034C61"/>
    <w:rsid w:val="00034CBD"/>
    <w:rsid w:val="00035492"/>
    <w:rsid w:val="000360BF"/>
    <w:rsid w:val="0003612F"/>
    <w:rsid w:val="000365E3"/>
    <w:rsid w:val="00036B35"/>
    <w:rsid w:val="00036E2F"/>
    <w:rsid w:val="00036E64"/>
    <w:rsid w:val="0003700F"/>
    <w:rsid w:val="000372B7"/>
    <w:rsid w:val="000373A4"/>
    <w:rsid w:val="000377B1"/>
    <w:rsid w:val="00037B41"/>
    <w:rsid w:val="00037BA3"/>
    <w:rsid w:val="00037C8B"/>
    <w:rsid w:val="0004007A"/>
    <w:rsid w:val="00040586"/>
    <w:rsid w:val="00040736"/>
    <w:rsid w:val="00040791"/>
    <w:rsid w:val="000407B7"/>
    <w:rsid w:val="000409C5"/>
    <w:rsid w:val="00041042"/>
    <w:rsid w:val="00041374"/>
    <w:rsid w:val="0004145B"/>
    <w:rsid w:val="00041B06"/>
    <w:rsid w:val="00041B8A"/>
    <w:rsid w:val="000421BF"/>
    <w:rsid w:val="00042A65"/>
    <w:rsid w:val="00042B17"/>
    <w:rsid w:val="000430EA"/>
    <w:rsid w:val="00043347"/>
    <w:rsid w:val="00043D3D"/>
    <w:rsid w:val="0004401E"/>
    <w:rsid w:val="0004481D"/>
    <w:rsid w:val="00044B73"/>
    <w:rsid w:val="00044C03"/>
    <w:rsid w:val="00044D40"/>
    <w:rsid w:val="000457CF"/>
    <w:rsid w:val="0004773C"/>
    <w:rsid w:val="0005046E"/>
    <w:rsid w:val="00050E57"/>
    <w:rsid w:val="000515EB"/>
    <w:rsid w:val="000518DE"/>
    <w:rsid w:val="00052184"/>
    <w:rsid w:val="000528D3"/>
    <w:rsid w:val="000531BE"/>
    <w:rsid w:val="00053216"/>
    <w:rsid w:val="000532A0"/>
    <w:rsid w:val="0005355D"/>
    <w:rsid w:val="00053743"/>
    <w:rsid w:val="00053D3A"/>
    <w:rsid w:val="00053E0E"/>
    <w:rsid w:val="00053E38"/>
    <w:rsid w:val="00053E62"/>
    <w:rsid w:val="000545B7"/>
    <w:rsid w:val="0005494C"/>
    <w:rsid w:val="00054A5F"/>
    <w:rsid w:val="00055F62"/>
    <w:rsid w:val="00056DAE"/>
    <w:rsid w:val="00056F08"/>
    <w:rsid w:val="000570E3"/>
    <w:rsid w:val="00057282"/>
    <w:rsid w:val="000572FA"/>
    <w:rsid w:val="00057A76"/>
    <w:rsid w:val="00057C93"/>
    <w:rsid w:val="00060CB9"/>
    <w:rsid w:val="00060E93"/>
    <w:rsid w:val="00061545"/>
    <w:rsid w:val="00061661"/>
    <w:rsid w:val="00061B1B"/>
    <w:rsid w:val="00061CAF"/>
    <w:rsid w:val="00062307"/>
    <w:rsid w:val="000626F9"/>
    <w:rsid w:val="000627A0"/>
    <w:rsid w:val="00062C7B"/>
    <w:rsid w:val="0006334D"/>
    <w:rsid w:val="00063A3C"/>
    <w:rsid w:val="00063A41"/>
    <w:rsid w:val="00063FAE"/>
    <w:rsid w:val="00064635"/>
    <w:rsid w:val="00064A37"/>
    <w:rsid w:val="00065194"/>
    <w:rsid w:val="000659CE"/>
    <w:rsid w:val="000665F6"/>
    <w:rsid w:val="000665FC"/>
    <w:rsid w:val="000667F3"/>
    <w:rsid w:val="00066854"/>
    <w:rsid w:val="0006697C"/>
    <w:rsid w:val="00066F35"/>
    <w:rsid w:val="00067ADE"/>
    <w:rsid w:val="00067BC4"/>
    <w:rsid w:val="00070BBD"/>
    <w:rsid w:val="000710E2"/>
    <w:rsid w:val="0007155D"/>
    <w:rsid w:val="00071C06"/>
    <w:rsid w:val="000727B0"/>
    <w:rsid w:val="00072900"/>
    <w:rsid w:val="0007293C"/>
    <w:rsid w:val="00072A1B"/>
    <w:rsid w:val="00072BDC"/>
    <w:rsid w:val="00073B6A"/>
    <w:rsid w:val="0007411A"/>
    <w:rsid w:val="0007429C"/>
    <w:rsid w:val="000748D3"/>
    <w:rsid w:val="00074DED"/>
    <w:rsid w:val="000759D3"/>
    <w:rsid w:val="0007622E"/>
    <w:rsid w:val="000769E5"/>
    <w:rsid w:val="00076CE2"/>
    <w:rsid w:val="00076D1A"/>
    <w:rsid w:val="00077178"/>
    <w:rsid w:val="00077376"/>
    <w:rsid w:val="00077446"/>
    <w:rsid w:val="0007752B"/>
    <w:rsid w:val="000777B4"/>
    <w:rsid w:val="0007788B"/>
    <w:rsid w:val="00077B79"/>
    <w:rsid w:val="00077D6F"/>
    <w:rsid w:val="00077D9E"/>
    <w:rsid w:val="00080130"/>
    <w:rsid w:val="00080D26"/>
    <w:rsid w:val="000811C9"/>
    <w:rsid w:val="00081424"/>
    <w:rsid w:val="00081BFA"/>
    <w:rsid w:val="000822D5"/>
    <w:rsid w:val="0008259E"/>
    <w:rsid w:val="00082996"/>
    <w:rsid w:val="00082F70"/>
    <w:rsid w:val="00082FE7"/>
    <w:rsid w:val="00083838"/>
    <w:rsid w:val="0008388F"/>
    <w:rsid w:val="00083893"/>
    <w:rsid w:val="000838C2"/>
    <w:rsid w:val="0008400E"/>
    <w:rsid w:val="000843B3"/>
    <w:rsid w:val="0008458F"/>
    <w:rsid w:val="000855F9"/>
    <w:rsid w:val="000857FD"/>
    <w:rsid w:val="000862A4"/>
    <w:rsid w:val="000863AA"/>
    <w:rsid w:val="00086BF8"/>
    <w:rsid w:val="00086D00"/>
    <w:rsid w:val="0008728D"/>
    <w:rsid w:val="0008793D"/>
    <w:rsid w:val="00087C3F"/>
    <w:rsid w:val="00087CD1"/>
    <w:rsid w:val="00087DE7"/>
    <w:rsid w:val="0009023A"/>
    <w:rsid w:val="000902FE"/>
    <w:rsid w:val="00090349"/>
    <w:rsid w:val="0009066A"/>
    <w:rsid w:val="00090E1E"/>
    <w:rsid w:val="00090F77"/>
    <w:rsid w:val="00091935"/>
    <w:rsid w:val="000919CB"/>
    <w:rsid w:val="00091B59"/>
    <w:rsid w:val="000923C6"/>
    <w:rsid w:val="00092599"/>
    <w:rsid w:val="00093DFA"/>
    <w:rsid w:val="00094192"/>
    <w:rsid w:val="00094578"/>
    <w:rsid w:val="00094679"/>
    <w:rsid w:val="00094801"/>
    <w:rsid w:val="00094A33"/>
    <w:rsid w:val="00094B69"/>
    <w:rsid w:val="00095417"/>
    <w:rsid w:val="00095602"/>
    <w:rsid w:val="0009583A"/>
    <w:rsid w:val="00095B6B"/>
    <w:rsid w:val="00095F81"/>
    <w:rsid w:val="000966A2"/>
    <w:rsid w:val="0009707F"/>
    <w:rsid w:val="00097A04"/>
    <w:rsid w:val="00097ACE"/>
    <w:rsid w:val="000A04D0"/>
    <w:rsid w:val="000A0654"/>
    <w:rsid w:val="000A0689"/>
    <w:rsid w:val="000A0FFC"/>
    <w:rsid w:val="000A153A"/>
    <w:rsid w:val="000A16A1"/>
    <w:rsid w:val="000A1FA4"/>
    <w:rsid w:val="000A2C7F"/>
    <w:rsid w:val="000A30ED"/>
    <w:rsid w:val="000A32BB"/>
    <w:rsid w:val="000A345B"/>
    <w:rsid w:val="000A3930"/>
    <w:rsid w:val="000A48A4"/>
    <w:rsid w:val="000A4C68"/>
    <w:rsid w:val="000A4F5F"/>
    <w:rsid w:val="000A514D"/>
    <w:rsid w:val="000A551F"/>
    <w:rsid w:val="000A5750"/>
    <w:rsid w:val="000A614C"/>
    <w:rsid w:val="000A62E5"/>
    <w:rsid w:val="000A6599"/>
    <w:rsid w:val="000A6E41"/>
    <w:rsid w:val="000A7105"/>
    <w:rsid w:val="000A73B5"/>
    <w:rsid w:val="000B02BB"/>
    <w:rsid w:val="000B032A"/>
    <w:rsid w:val="000B0F6F"/>
    <w:rsid w:val="000B13DC"/>
    <w:rsid w:val="000B1570"/>
    <w:rsid w:val="000B18B9"/>
    <w:rsid w:val="000B2B0F"/>
    <w:rsid w:val="000B2CFF"/>
    <w:rsid w:val="000B311D"/>
    <w:rsid w:val="000B3181"/>
    <w:rsid w:val="000B39A7"/>
    <w:rsid w:val="000B3EEB"/>
    <w:rsid w:val="000B4846"/>
    <w:rsid w:val="000B4995"/>
    <w:rsid w:val="000B567F"/>
    <w:rsid w:val="000B6278"/>
    <w:rsid w:val="000B6650"/>
    <w:rsid w:val="000B691B"/>
    <w:rsid w:val="000B6A86"/>
    <w:rsid w:val="000B6B06"/>
    <w:rsid w:val="000B7398"/>
    <w:rsid w:val="000B7580"/>
    <w:rsid w:val="000B7AA7"/>
    <w:rsid w:val="000B7D20"/>
    <w:rsid w:val="000B7DDF"/>
    <w:rsid w:val="000C0981"/>
    <w:rsid w:val="000C0DCC"/>
    <w:rsid w:val="000C1A15"/>
    <w:rsid w:val="000C1B4E"/>
    <w:rsid w:val="000C219D"/>
    <w:rsid w:val="000C2368"/>
    <w:rsid w:val="000C23A8"/>
    <w:rsid w:val="000C243A"/>
    <w:rsid w:val="000C24EB"/>
    <w:rsid w:val="000C2C05"/>
    <w:rsid w:val="000C344B"/>
    <w:rsid w:val="000C3A91"/>
    <w:rsid w:val="000C4DD2"/>
    <w:rsid w:val="000C5377"/>
    <w:rsid w:val="000C63A6"/>
    <w:rsid w:val="000C646A"/>
    <w:rsid w:val="000C64D7"/>
    <w:rsid w:val="000C668A"/>
    <w:rsid w:val="000C6D9D"/>
    <w:rsid w:val="000C6E9F"/>
    <w:rsid w:val="000C7317"/>
    <w:rsid w:val="000C7701"/>
    <w:rsid w:val="000C7E24"/>
    <w:rsid w:val="000D0355"/>
    <w:rsid w:val="000D06AB"/>
    <w:rsid w:val="000D0E5B"/>
    <w:rsid w:val="000D1571"/>
    <w:rsid w:val="000D1606"/>
    <w:rsid w:val="000D2090"/>
    <w:rsid w:val="000D2774"/>
    <w:rsid w:val="000D2873"/>
    <w:rsid w:val="000D2CD6"/>
    <w:rsid w:val="000D2DED"/>
    <w:rsid w:val="000D30AE"/>
    <w:rsid w:val="000D33E7"/>
    <w:rsid w:val="000D3782"/>
    <w:rsid w:val="000D37DD"/>
    <w:rsid w:val="000D3A25"/>
    <w:rsid w:val="000D3CE2"/>
    <w:rsid w:val="000D40FB"/>
    <w:rsid w:val="000D41BF"/>
    <w:rsid w:val="000D4447"/>
    <w:rsid w:val="000D5844"/>
    <w:rsid w:val="000D5DE4"/>
    <w:rsid w:val="000D7C10"/>
    <w:rsid w:val="000D7CD6"/>
    <w:rsid w:val="000D7E79"/>
    <w:rsid w:val="000E0115"/>
    <w:rsid w:val="000E01E7"/>
    <w:rsid w:val="000E0348"/>
    <w:rsid w:val="000E07E9"/>
    <w:rsid w:val="000E0924"/>
    <w:rsid w:val="000E0987"/>
    <w:rsid w:val="000E117E"/>
    <w:rsid w:val="000E1A25"/>
    <w:rsid w:val="000E1CB6"/>
    <w:rsid w:val="000E2056"/>
    <w:rsid w:val="000E2F38"/>
    <w:rsid w:val="000E31F3"/>
    <w:rsid w:val="000E370F"/>
    <w:rsid w:val="000E3ED8"/>
    <w:rsid w:val="000E4743"/>
    <w:rsid w:val="000E49A9"/>
    <w:rsid w:val="000E575B"/>
    <w:rsid w:val="000E5F2A"/>
    <w:rsid w:val="000E6050"/>
    <w:rsid w:val="000E60C1"/>
    <w:rsid w:val="000E68EA"/>
    <w:rsid w:val="000E6922"/>
    <w:rsid w:val="000E7A95"/>
    <w:rsid w:val="000F01FC"/>
    <w:rsid w:val="000F0429"/>
    <w:rsid w:val="000F0A1F"/>
    <w:rsid w:val="000F0BEC"/>
    <w:rsid w:val="000F0C32"/>
    <w:rsid w:val="000F10EF"/>
    <w:rsid w:val="000F10F4"/>
    <w:rsid w:val="000F11E5"/>
    <w:rsid w:val="000F1A35"/>
    <w:rsid w:val="000F1C1E"/>
    <w:rsid w:val="000F23D0"/>
    <w:rsid w:val="000F2540"/>
    <w:rsid w:val="000F2656"/>
    <w:rsid w:val="000F2C8B"/>
    <w:rsid w:val="000F2DC7"/>
    <w:rsid w:val="000F38B4"/>
    <w:rsid w:val="000F47BE"/>
    <w:rsid w:val="000F4B75"/>
    <w:rsid w:val="000F54CF"/>
    <w:rsid w:val="000F57A8"/>
    <w:rsid w:val="000F59BD"/>
    <w:rsid w:val="000F5A15"/>
    <w:rsid w:val="000F657D"/>
    <w:rsid w:val="000F6A10"/>
    <w:rsid w:val="000F6B04"/>
    <w:rsid w:val="000F7056"/>
    <w:rsid w:val="000F7746"/>
    <w:rsid w:val="000F79C4"/>
    <w:rsid w:val="000F7A42"/>
    <w:rsid w:val="000F7E14"/>
    <w:rsid w:val="000F7E51"/>
    <w:rsid w:val="001009A2"/>
    <w:rsid w:val="001014BC"/>
    <w:rsid w:val="001015CB"/>
    <w:rsid w:val="00101894"/>
    <w:rsid w:val="001018E6"/>
    <w:rsid w:val="00101D30"/>
    <w:rsid w:val="00101EFB"/>
    <w:rsid w:val="001029AE"/>
    <w:rsid w:val="00103039"/>
    <w:rsid w:val="0010310E"/>
    <w:rsid w:val="001031F8"/>
    <w:rsid w:val="001042CB"/>
    <w:rsid w:val="00104745"/>
    <w:rsid w:val="00104C2B"/>
    <w:rsid w:val="00105446"/>
    <w:rsid w:val="001060D9"/>
    <w:rsid w:val="00106322"/>
    <w:rsid w:val="00106905"/>
    <w:rsid w:val="00106FA6"/>
    <w:rsid w:val="001070FF"/>
    <w:rsid w:val="00107B1A"/>
    <w:rsid w:val="001107A7"/>
    <w:rsid w:val="00110965"/>
    <w:rsid w:val="00110E3D"/>
    <w:rsid w:val="00110F48"/>
    <w:rsid w:val="001115FB"/>
    <w:rsid w:val="001117F8"/>
    <w:rsid w:val="0011182F"/>
    <w:rsid w:val="001122A2"/>
    <w:rsid w:val="001128DD"/>
    <w:rsid w:val="001129C1"/>
    <w:rsid w:val="001135F7"/>
    <w:rsid w:val="00113CF3"/>
    <w:rsid w:val="00113D65"/>
    <w:rsid w:val="00113FC0"/>
    <w:rsid w:val="00114C79"/>
    <w:rsid w:val="00114DB5"/>
    <w:rsid w:val="00114F97"/>
    <w:rsid w:val="00115671"/>
    <w:rsid w:val="00115991"/>
    <w:rsid w:val="00115DD4"/>
    <w:rsid w:val="00116450"/>
    <w:rsid w:val="00116831"/>
    <w:rsid w:val="001169B7"/>
    <w:rsid w:val="001174A2"/>
    <w:rsid w:val="001175BB"/>
    <w:rsid w:val="001176D0"/>
    <w:rsid w:val="00117A6F"/>
    <w:rsid w:val="00117B8B"/>
    <w:rsid w:val="00120143"/>
    <w:rsid w:val="001209BE"/>
    <w:rsid w:val="00121D73"/>
    <w:rsid w:val="00122080"/>
    <w:rsid w:val="00122295"/>
    <w:rsid w:val="0012277C"/>
    <w:rsid w:val="00122E1F"/>
    <w:rsid w:val="00123413"/>
    <w:rsid w:val="00123C52"/>
    <w:rsid w:val="00124127"/>
    <w:rsid w:val="0012414C"/>
    <w:rsid w:val="0012417D"/>
    <w:rsid w:val="00124640"/>
    <w:rsid w:val="00124884"/>
    <w:rsid w:val="00124D76"/>
    <w:rsid w:val="00124DFB"/>
    <w:rsid w:val="0012557D"/>
    <w:rsid w:val="00125812"/>
    <w:rsid w:val="0012581B"/>
    <w:rsid w:val="00125823"/>
    <w:rsid w:val="00125A10"/>
    <w:rsid w:val="00125B2A"/>
    <w:rsid w:val="0012645F"/>
    <w:rsid w:val="001265EB"/>
    <w:rsid w:val="001269A3"/>
    <w:rsid w:val="001273DA"/>
    <w:rsid w:val="00127481"/>
    <w:rsid w:val="00127D50"/>
    <w:rsid w:val="00130435"/>
    <w:rsid w:val="00130AEB"/>
    <w:rsid w:val="00130F4F"/>
    <w:rsid w:val="00130F5E"/>
    <w:rsid w:val="00131511"/>
    <w:rsid w:val="00131EE9"/>
    <w:rsid w:val="00132454"/>
    <w:rsid w:val="00132480"/>
    <w:rsid w:val="001326FF"/>
    <w:rsid w:val="00132902"/>
    <w:rsid w:val="00132A17"/>
    <w:rsid w:val="00132D80"/>
    <w:rsid w:val="001330AD"/>
    <w:rsid w:val="001338EF"/>
    <w:rsid w:val="0013402A"/>
    <w:rsid w:val="001349D5"/>
    <w:rsid w:val="001349FC"/>
    <w:rsid w:val="0013564C"/>
    <w:rsid w:val="001357D2"/>
    <w:rsid w:val="00135826"/>
    <w:rsid w:val="0013585F"/>
    <w:rsid w:val="001360FC"/>
    <w:rsid w:val="001369D2"/>
    <w:rsid w:val="00136B6D"/>
    <w:rsid w:val="00136D43"/>
    <w:rsid w:val="001371E3"/>
    <w:rsid w:val="00137248"/>
    <w:rsid w:val="001374E9"/>
    <w:rsid w:val="001378B2"/>
    <w:rsid w:val="00137E8D"/>
    <w:rsid w:val="001401BC"/>
    <w:rsid w:val="001403F0"/>
    <w:rsid w:val="00140FDA"/>
    <w:rsid w:val="0014167C"/>
    <w:rsid w:val="001416BB"/>
    <w:rsid w:val="00141FD1"/>
    <w:rsid w:val="001420EB"/>
    <w:rsid w:val="00142163"/>
    <w:rsid w:val="001423AA"/>
    <w:rsid w:val="001426A8"/>
    <w:rsid w:val="00142992"/>
    <w:rsid w:val="001429F9"/>
    <w:rsid w:val="00142CCA"/>
    <w:rsid w:val="001432C9"/>
    <w:rsid w:val="00143453"/>
    <w:rsid w:val="00143502"/>
    <w:rsid w:val="00143760"/>
    <w:rsid w:val="00143805"/>
    <w:rsid w:val="00143B1B"/>
    <w:rsid w:val="00143B54"/>
    <w:rsid w:val="00143C86"/>
    <w:rsid w:val="00143EB7"/>
    <w:rsid w:val="00144177"/>
    <w:rsid w:val="0014464E"/>
    <w:rsid w:val="0014470D"/>
    <w:rsid w:val="00144D02"/>
    <w:rsid w:val="0014516B"/>
    <w:rsid w:val="00145197"/>
    <w:rsid w:val="00145333"/>
    <w:rsid w:val="00145861"/>
    <w:rsid w:val="001459FD"/>
    <w:rsid w:val="00145AF2"/>
    <w:rsid w:val="00145FF0"/>
    <w:rsid w:val="00146095"/>
    <w:rsid w:val="001463D3"/>
    <w:rsid w:val="001463E7"/>
    <w:rsid w:val="001464DE"/>
    <w:rsid w:val="001464F9"/>
    <w:rsid w:val="001467EA"/>
    <w:rsid w:val="00146E17"/>
    <w:rsid w:val="001470B4"/>
    <w:rsid w:val="001477FE"/>
    <w:rsid w:val="00147B03"/>
    <w:rsid w:val="00147B55"/>
    <w:rsid w:val="001506D5"/>
    <w:rsid w:val="00150AE0"/>
    <w:rsid w:val="00150D8C"/>
    <w:rsid w:val="00150DD1"/>
    <w:rsid w:val="00151242"/>
    <w:rsid w:val="00151BA6"/>
    <w:rsid w:val="0015253A"/>
    <w:rsid w:val="00152CAD"/>
    <w:rsid w:val="001537F2"/>
    <w:rsid w:val="001538AD"/>
    <w:rsid w:val="001539D0"/>
    <w:rsid w:val="00154468"/>
    <w:rsid w:val="00154EF7"/>
    <w:rsid w:val="001553CA"/>
    <w:rsid w:val="001555E1"/>
    <w:rsid w:val="001568A7"/>
    <w:rsid w:val="001569E0"/>
    <w:rsid w:val="00156CAB"/>
    <w:rsid w:val="00157CE4"/>
    <w:rsid w:val="00160018"/>
    <w:rsid w:val="00160147"/>
    <w:rsid w:val="001606EC"/>
    <w:rsid w:val="0016084A"/>
    <w:rsid w:val="00160859"/>
    <w:rsid w:val="00160C14"/>
    <w:rsid w:val="00160FE4"/>
    <w:rsid w:val="00161049"/>
    <w:rsid w:val="001612A7"/>
    <w:rsid w:val="001613A6"/>
    <w:rsid w:val="00161DCA"/>
    <w:rsid w:val="00161F2E"/>
    <w:rsid w:val="00162A13"/>
    <w:rsid w:val="00162EBA"/>
    <w:rsid w:val="00162F34"/>
    <w:rsid w:val="00163603"/>
    <w:rsid w:val="0016388E"/>
    <w:rsid w:val="00163DE9"/>
    <w:rsid w:val="001640A9"/>
    <w:rsid w:val="00164A50"/>
    <w:rsid w:val="00164FE4"/>
    <w:rsid w:val="001650B0"/>
    <w:rsid w:val="00165242"/>
    <w:rsid w:val="0016582A"/>
    <w:rsid w:val="00165889"/>
    <w:rsid w:val="001663D2"/>
    <w:rsid w:val="001667B2"/>
    <w:rsid w:val="00167AAD"/>
    <w:rsid w:val="00167C2C"/>
    <w:rsid w:val="00167D5C"/>
    <w:rsid w:val="00167E7B"/>
    <w:rsid w:val="00170217"/>
    <w:rsid w:val="00170895"/>
    <w:rsid w:val="001709AC"/>
    <w:rsid w:val="00170A49"/>
    <w:rsid w:val="00170B4D"/>
    <w:rsid w:val="00170CD2"/>
    <w:rsid w:val="00171B43"/>
    <w:rsid w:val="00171B55"/>
    <w:rsid w:val="00172288"/>
    <w:rsid w:val="0017251C"/>
    <w:rsid w:val="0017275D"/>
    <w:rsid w:val="00172BBF"/>
    <w:rsid w:val="00172D51"/>
    <w:rsid w:val="00172D7B"/>
    <w:rsid w:val="00173AC9"/>
    <w:rsid w:val="00173C12"/>
    <w:rsid w:val="00174D6E"/>
    <w:rsid w:val="00174E37"/>
    <w:rsid w:val="0017574D"/>
    <w:rsid w:val="00175A55"/>
    <w:rsid w:val="001763E7"/>
    <w:rsid w:val="00176466"/>
    <w:rsid w:val="00176B71"/>
    <w:rsid w:val="00176CB3"/>
    <w:rsid w:val="00177157"/>
    <w:rsid w:val="00177196"/>
    <w:rsid w:val="001771EB"/>
    <w:rsid w:val="001778E6"/>
    <w:rsid w:val="00177B36"/>
    <w:rsid w:val="00177C7F"/>
    <w:rsid w:val="00177D42"/>
    <w:rsid w:val="001809EE"/>
    <w:rsid w:val="00181186"/>
    <w:rsid w:val="0018287C"/>
    <w:rsid w:val="00182E3D"/>
    <w:rsid w:val="00182E49"/>
    <w:rsid w:val="0018321B"/>
    <w:rsid w:val="00183DCE"/>
    <w:rsid w:val="001846CD"/>
    <w:rsid w:val="00184C15"/>
    <w:rsid w:val="00184E57"/>
    <w:rsid w:val="00184EBF"/>
    <w:rsid w:val="00185115"/>
    <w:rsid w:val="001852DF"/>
    <w:rsid w:val="001853CE"/>
    <w:rsid w:val="00185A68"/>
    <w:rsid w:val="00185AD8"/>
    <w:rsid w:val="00185E66"/>
    <w:rsid w:val="001860AF"/>
    <w:rsid w:val="00186128"/>
    <w:rsid w:val="0018638B"/>
    <w:rsid w:val="00186A46"/>
    <w:rsid w:val="00186C29"/>
    <w:rsid w:val="001871FA"/>
    <w:rsid w:val="0018769F"/>
    <w:rsid w:val="00187854"/>
    <w:rsid w:val="00190467"/>
    <w:rsid w:val="00190489"/>
    <w:rsid w:val="001908DB"/>
    <w:rsid w:val="0019156E"/>
    <w:rsid w:val="00191616"/>
    <w:rsid w:val="00191643"/>
    <w:rsid w:val="001917D1"/>
    <w:rsid w:val="00192422"/>
    <w:rsid w:val="001925B3"/>
    <w:rsid w:val="00192779"/>
    <w:rsid w:val="00192AED"/>
    <w:rsid w:val="00193915"/>
    <w:rsid w:val="00194C0B"/>
    <w:rsid w:val="00194FE2"/>
    <w:rsid w:val="00195256"/>
    <w:rsid w:val="001952D7"/>
    <w:rsid w:val="00195491"/>
    <w:rsid w:val="00195677"/>
    <w:rsid w:val="00195F8F"/>
    <w:rsid w:val="0019678C"/>
    <w:rsid w:val="00197511"/>
    <w:rsid w:val="00197FD0"/>
    <w:rsid w:val="001A0452"/>
    <w:rsid w:val="001A07C5"/>
    <w:rsid w:val="001A0CF4"/>
    <w:rsid w:val="001A0D42"/>
    <w:rsid w:val="001A1064"/>
    <w:rsid w:val="001A1189"/>
    <w:rsid w:val="001A11B5"/>
    <w:rsid w:val="001A14AA"/>
    <w:rsid w:val="001A15C0"/>
    <w:rsid w:val="001A1F71"/>
    <w:rsid w:val="001A22EC"/>
    <w:rsid w:val="001A2613"/>
    <w:rsid w:val="001A2B91"/>
    <w:rsid w:val="001A37E7"/>
    <w:rsid w:val="001A38A5"/>
    <w:rsid w:val="001A407F"/>
    <w:rsid w:val="001A4178"/>
    <w:rsid w:val="001A44B2"/>
    <w:rsid w:val="001A55CF"/>
    <w:rsid w:val="001A55E9"/>
    <w:rsid w:val="001A573A"/>
    <w:rsid w:val="001A5A5E"/>
    <w:rsid w:val="001A5AAB"/>
    <w:rsid w:val="001A5C97"/>
    <w:rsid w:val="001A5F9D"/>
    <w:rsid w:val="001A6204"/>
    <w:rsid w:val="001A6B10"/>
    <w:rsid w:val="001A6B90"/>
    <w:rsid w:val="001B0643"/>
    <w:rsid w:val="001B09C9"/>
    <w:rsid w:val="001B149B"/>
    <w:rsid w:val="001B16BB"/>
    <w:rsid w:val="001B1F9D"/>
    <w:rsid w:val="001B27B1"/>
    <w:rsid w:val="001B28F7"/>
    <w:rsid w:val="001B341F"/>
    <w:rsid w:val="001B37E9"/>
    <w:rsid w:val="001B3857"/>
    <w:rsid w:val="001B392A"/>
    <w:rsid w:val="001B3C00"/>
    <w:rsid w:val="001B3EC8"/>
    <w:rsid w:val="001B430A"/>
    <w:rsid w:val="001B5295"/>
    <w:rsid w:val="001B577C"/>
    <w:rsid w:val="001B5892"/>
    <w:rsid w:val="001B60A4"/>
    <w:rsid w:val="001B61E5"/>
    <w:rsid w:val="001B64BB"/>
    <w:rsid w:val="001B6503"/>
    <w:rsid w:val="001B735E"/>
    <w:rsid w:val="001B7638"/>
    <w:rsid w:val="001B7901"/>
    <w:rsid w:val="001B7992"/>
    <w:rsid w:val="001B7CFC"/>
    <w:rsid w:val="001C04FD"/>
    <w:rsid w:val="001C069D"/>
    <w:rsid w:val="001C0BE4"/>
    <w:rsid w:val="001C1234"/>
    <w:rsid w:val="001C1E71"/>
    <w:rsid w:val="001C1E7E"/>
    <w:rsid w:val="001C213E"/>
    <w:rsid w:val="001C23F3"/>
    <w:rsid w:val="001C2441"/>
    <w:rsid w:val="001C2443"/>
    <w:rsid w:val="001C31C9"/>
    <w:rsid w:val="001C325B"/>
    <w:rsid w:val="001C4864"/>
    <w:rsid w:val="001C49C3"/>
    <w:rsid w:val="001C4E37"/>
    <w:rsid w:val="001C4E50"/>
    <w:rsid w:val="001C567E"/>
    <w:rsid w:val="001C578D"/>
    <w:rsid w:val="001C5A39"/>
    <w:rsid w:val="001C6155"/>
    <w:rsid w:val="001C6A63"/>
    <w:rsid w:val="001C7233"/>
    <w:rsid w:val="001C79D1"/>
    <w:rsid w:val="001C7AB9"/>
    <w:rsid w:val="001C7ABD"/>
    <w:rsid w:val="001C7B95"/>
    <w:rsid w:val="001D01CD"/>
    <w:rsid w:val="001D0299"/>
    <w:rsid w:val="001D059A"/>
    <w:rsid w:val="001D0EB8"/>
    <w:rsid w:val="001D1B0B"/>
    <w:rsid w:val="001D1C4B"/>
    <w:rsid w:val="001D244C"/>
    <w:rsid w:val="001D2601"/>
    <w:rsid w:val="001D2CD3"/>
    <w:rsid w:val="001D3896"/>
    <w:rsid w:val="001D4021"/>
    <w:rsid w:val="001D4839"/>
    <w:rsid w:val="001D4C00"/>
    <w:rsid w:val="001D5556"/>
    <w:rsid w:val="001D55DA"/>
    <w:rsid w:val="001D59E2"/>
    <w:rsid w:val="001D5BB1"/>
    <w:rsid w:val="001D644F"/>
    <w:rsid w:val="001D66EA"/>
    <w:rsid w:val="001D67C7"/>
    <w:rsid w:val="001D6FB0"/>
    <w:rsid w:val="001D704F"/>
    <w:rsid w:val="001D7209"/>
    <w:rsid w:val="001D7A8E"/>
    <w:rsid w:val="001D7C7B"/>
    <w:rsid w:val="001E0070"/>
    <w:rsid w:val="001E03D5"/>
    <w:rsid w:val="001E09E4"/>
    <w:rsid w:val="001E0C64"/>
    <w:rsid w:val="001E0F0D"/>
    <w:rsid w:val="001E11BE"/>
    <w:rsid w:val="001E1542"/>
    <w:rsid w:val="001E15D6"/>
    <w:rsid w:val="001E1A49"/>
    <w:rsid w:val="001E22D2"/>
    <w:rsid w:val="001E22EF"/>
    <w:rsid w:val="001E24B1"/>
    <w:rsid w:val="001E2614"/>
    <w:rsid w:val="001E2883"/>
    <w:rsid w:val="001E2994"/>
    <w:rsid w:val="001E2FC4"/>
    <w:rsid w:val="001E308C"/>
    <w:rsid w:val="001E347F"/>
    <w:rsid w:val="001E38D1"/>
    <w:rsid w:val="001E390C"/>
    <w:rsid w:val="001E39B5"/>
    <w:rsid w:val="001E3FF0"/>
    <w:rsid w:val="001E4073"/>
    <w:rsid w:val="001E4680"/>
    <w:rsid w:val="001E51A1"/>
    <w:rsid w:val="001E53FA"/>
    <w:rsid w:val="001E5594"/>
    <w:rsid w:val="001E5EDC"/>
    <w:rsid w:val="001E69FA"/>
    <w:rsid w:val="001E6ECB"/>
    <w:rsid w:val="001E708D"/>
    <w:rsid w:val="001E7380"/>
    <w:rsid w:val="001E79B3"/>
    <w:rsid w:val="001F051C"/>
    <w:rsid w:val="001F098E"/>
    <w:rsid w:val="001F0DB5"/>
    <w:rsid w:val="001F15C5"/>
    <w:rsid w:val="001F18A7"/>
    <w:rsid w:val="001F197B"/>
    <w:rsid w:val="001F1DAC"/>
    <w:rsid w:val="001F1E43"/>
    <w:rsid w:val="001F2A9E"/>
    <w:rsid w:val="001F2F01"/>
    <w:rsid w:val="001F313C"/>
    <w:rsid w:val="001F3285"/>
    <w:rsid w:val="001F3588"/>
    <w:rsid w:val="001F385C"/>
    <w:rsid w:val="001F3895"/>
    <w:rsid w:val="001F3A53"/>
    <w:rsid w:val="001F3BA1"/>
    <w:rsid w:val="001F43A6"/>
    <w:rsid w:val="001F4EF8"/>
    <w:rsid w:val="001F616A"/>
    <w:rsid w:val="001F6A42"/>
    <w:rsid w:val="001F6C59"/>
    <w:rsid w:val="001F6C60"/>
    <w:rsid w:val="001F722F"/>
    <w:rsid w:val="001F7790"/>
    <w:rsid w:val="001F7863"/>
    <w:rsid w:val="002003AA"/>
    <w:rsid w:val="00200424"/>
    <w:rsid w:val="00200714"/>
    <w:rsid w:val="002008A5"/>
    <w:rsid w:val="00201076"/>
    <w:rsid w:val="00201393"/>
    <w:rsid w:val="00202660"/>
    <w:rsid w:val="00202668"/>
    <w:rsid w:val="00202F42"/>
    <w:rsid w:val="002033CA"/>
    <w:rsid w:val="002038AA"/>
    <w:rsid w:val="00203A60"/>
    <w:rsid w:val="00204424"/>
    <w:rsid w:val="0020442A"/>
    <w:rsid w:val="00204457"/>
    <w:rsid w:val="00204464"/>
    <w:rsid w:val="00204620"/>
    <w:rsid w:val="00204C48"/>
    <w:rsid w:val="00204EA6"/>
    <w:rsid w:val="002062C2"/>
    <w:rsid w:val="00206937"/>
    <w:rsid w:val="00207476"/>
    <w:rsid w:val="00207CAE"/>
    <w:rsid w:val="002103C3"/>
    <w:rsid w:val="002105EE"/>
    <w:rsid w:val="00210DD6"/>
    <w:rsid w:val="00211146"/>
    <w:rsid w:val="002118D9"/>
    <w:rsid w:val="002120BD"/>
    <w:rsid w:val="00212282"/>
    <w:rsid w:val="00212291"/>
    <w:rsid w:val="002126A5"/>
    <w:rsid w:val="002129BE"/>
    <w:rsid w:val="00213268"/>
    <w:rsid w:val="0021353E"/>
    <w:rsid w:val="00213626"/>
    <w:rsid w:val="00213880"/>
    <w:rsid w:val="00213AF7"/>
    <w:rsid w:val="00213C24"/>
    <w:rsid w:val="00213D07"/>
    <w:rsid w:val="00213D57"/>
    <w:rsid w:val="0021417C"/>
    <w:rsid w:val="002141A3"/>
    <w:rsid w:val="002141EB"/>
    <w:rsid w:val="00215544"/>
    <w:rsid w:val="00215798"/>
    <w:rsid w:val="00215AA0"/>
    <w:rsid w:val="002162E5"/>
    <w:rsid w:val="0021677D"/>
    <w:rsid w:val="0021741F"/>
    <w:rsid w:val="0021745C"/>
    <w:rsid w:val="0021792F"/>
    <w:rsid w:val="00217A51"/>
    <w:rsid w:val="00217C45"/>
    <w:rsid w:val="00217E97"/>
    <w:rsid w:val="00220C54"/>
    <w:rsid w:val="0022120B"/>
    <w:rsid w:val="002212F1"/>
    <w:rsid w:val="00221934"/>
    <w:rsid w:val="00221982"/>
    <w:rsid w:val="0022230E"/>
    <w:rsid w:val="00222568"/>
    <w:rsid w:val="00222644"/>
    <w:rsid w:val="00222A1C"/>
    <w:rsid w:val="0022304E"/>
    <w:rsid w:val="002231A1"/>
    <w:rsid w:val="002232C5"/>
    <w:rsid w:val="002234F9"/>
    <w:rsid w:val="00223E1C"/>
    <w:rsid w:val="00224206"/>
    <w:rsid w:val="00224212"/>
    <w:rsid w:val="00224280"/>
    <w:rsid w:val="00225970"/>
    <w:rsid w:val="00225C9B"/>
    <w:rsid w:val="00225EF2"/>
    <w:rsid w:val="00226179"/>
    <w:rsid w:val="00227B7B"/>
    <w:rsid w:val="00227E58"/>
    <w:rsid w:val="00227F76"/>
    <w:rsid w:val="0023012F"/>
    <w:rsid w:val="002304D7"/>
    <w:rsid w:val="002305BA"/>
    <w:rsid w:val="00230A87"/>
    <w:rsid w:val="00230B20"/>
    <w:rsid w:val="00231C1E"/>
    <w:rsid w:val="00231F46"/>
    <w:rsid w:val="002320B1"/>
    <w:rsid w:val="002326EB"/>
    <w:rsid w:val="002327BC"/>
    <w:rsid w:val="00232E5B"/>
    <w:rsid w:val="00232F45"/>
    <w:rsid w:val="00233577"/>
    <w:rsid w:val="00233DA5"/>
    <w:rsid w:val="00234675"/>
    <w:rsid w:val="00234789"/>
    <w:rsid w:val="00234FCC"/>
    <w:rsid w:val="00235287"/>
    <w:rsid w:val="002352AF"/>
    <w:rsid w:val="00235387"/>
    <w:rsid w:val="00236286"/>
    <w:rsid w:val="00236421"/>
    <w:rsid w:val="00236758"/>
    <w:rsid w:val="00236877"/>
    <w:rsid w:val="00236A29"/>
    <w:rsid w:val="00236AE1"/>
    <w:rsid w:val="002372CD"/>
    <w:rsid w:val="002376FC"/>
    <w:rsid w:val="002379ED"/>
    <w:rsid w:val="00240271"/>
    <w:rsid w:val="0024077F"/>
    <w:rsid w:val="0024099F"/>
    <w:rsid w:val="00240CE1"/>
    <w:rsid w:val="00240F4B"/>
    <w:rsid w:val="00242194"/>
    <w:rsid w:val="00242590"/>
    <w:rsid w:val="002427AC"/>
    <w:rsid w:val="00243601"/>
    <w:rsid w:val="0024374E"/>
    <w:rsid w:val="0024382C"/>
    <w:rsid w:val="00243BE2"/>
    <w:rsid w:val="00243C25"/>
    <w:rsid w:val="00244383"/>
    <w:rsid w:val="002444FF"/>
    <w:rsid w:val="00244C4E"/>
    <w:rsid w:val="00244FF1"/>
    <w:rsid w:val="00245134"/>
    <w:rsid w:val="00245348"/>
    <w:rsid w:val="002455D1"/>
    <w:rsid w:val="00245653"/>
    <w:rsid w:val="002466B2"/>
    <w:rsid w:val="002470A8"/>
    <w:rsid w:val="00247177"/>
    <w:rsid w:val="0024797B"/>
    <w:rsid w:val="0025009F"/>
    <w:rsid w:val="00250A91"/>
    <w:rsid w:val="00250BFE"/>
    <w:rsid w:val="00252717"/>
    <w:rsid w:val="002527A0"/>
    <w:rsid w:val="00252938"/>
    <w:rsid w:val="00252E28"/>
    <w:rsid w:val="00252FC7"/>
    <w:rsid w:val="002532D0"/>
    <w:rsid w:val="0025368D"/>
    <w:rsid w:val="00253720"/>
    <w:rsid w:val="002540BE"/>
    <w:rsid w:val="002540EB"/>
    <w:rsid w:val="002541A9"/>
    <w:rsid w:val="002542AD"/>
    <w:rsid w:val="00254504"/>
    <w:rsid w:val="00254512"/>
    <w:rsid w:val="002546B9"/>
    <w:rsid w:val="00254DE0"/>
    <w:rsid w:val="002550EC"/>
    <w:rsid w:val="002551D1"/>
    <w:rsid w:val="002555FE"/>
    <w:rsid w:val="00255F48"/>
    <w:rsid w:val="0025619E"/>
    <w:rsid w:val="00256944"/>
    <w:rsid w:val="00256955"/>
    <w:rsid w:val="00256CF9"/>
    <w:rsid w:val="00256EC4"/>
    <w:rsid w:val="00257175"/>
    <w:rsid w:val="002571F7"/>
    <w:rsid w:val="00257CEB"/>
    <w:rsid w:val="0026014E"/>
    <w:rsid w:val="00260200"/>
    <w:rsid w:val="002606F1"/>
    <w:rsid w:val="00260A1A"/>
    <w:rsid w:val="00260BA2"/>
    <w:rsid w:val="00260DC9"/>
    <w:rsid w:val="002613DF"/>
    <w:rsid w:val="002619DF"/>
    <w:rsid w:val="00261D6D"/>
    <w:rsid w:val="00261E12"/>
    <w:rsid w:val="002620A1"/>
    <w:rsid w:val="0026229C"/>
    <w:rsid w:val="00262AD0"/>
    <w:rsid w:val="002630EF"/>
    <w:rsid w:val="0026359E"/>
    <w:rsid w:val="0026391F"/>
    <w:rsid w:val="00263ACD"/>
    <w:rsid w:val="00263C44"/>
    <w:rsid w:val="00264CCB"/>
    <w:rsid w:val="002652D1"/>
    <w:rsid w:val="00265330"/>
    <w:rsid w:val="00265934"/>
    <w:rsid w:val="00265D88"/>
    <w:rsid w:val="00265FB8"/>
    <w:rsid w:val="0026659B"/>
    <w:rsid w:val="00266A4E"/>
    <w:rsid w:val="00266AAA"/>
    <w:rsid w:val="00266F47"/>
    <w:rsid w:val="00266F52"/>
    <w:rsid w:val="0026765F"/>
    <w:rsid w:val="00267770"/>
    <w:rsid w:val="00270623"/>
    <w:rsid w:val="00270B1B"/>
    <w:rsid w:val="00270D3D"/>
    <w:rsid w:val="00270E2B"/>
    <w:rsid w:val="00270E35"/>
    <w:rsid w:val="00270EE9"/>
    <w:rsid w:val="00270FB0"/>
    <w:rsid w:val="0027103D"/>
    <w:rsid w:val="002712F0"/>
    <w:rsid w:val="002715A4"/>
    <w:rsid w:val="00271B12"/>
    <w:rsid w:val="00271FB5"/>
    <w:rsid w:val="00271FFD"/>
    <w:rsid w:val="002729E7"/>
    <w:rsid w:val="00272AF6"/>
    <w:rsid w:val="002734E6"/>
    <w:rsid w:val="00273863"/>
    <w:rsid w:val="00274AF2"/>
    <w:rsid w:val="00275373"/>
    <w:rsid w:val="00275508"/>
    <w:rsid w:val="0027592C"/>
    <w:rsid w:val="00276606"/>
    <w:rsid w:val="00276A73"/>
    <w:rsid w:val="00276BAE"/>
    <w:rsid w:val="00276CD5"/>
    <w:rsid w:val="00276FDD"/>
    <w:rsid w:val="002774EE"/>
    <w:rsid w:val="00277787"/>
    <w:rsid w:val="00280567"/>
    <w:rsid w:val="00280718"/>
    <w:rsid w:val="00280996"/>
    <w:rsid w:val="00280DE6"/>
    <w:rsid w:val="002814AA"/>
    <w:rsid w:val="00281559"/>
    <w:rsid w:val="002816A7"/>
    <w:rsid w:val="002818AD"/>
    <w:rsid w:val="00281AC1"/>
    <w:rsid w:val="00281C5A"/>
    <w:rsid w:val="00282BBC"/>
    <w:rsid w:val="00282F13"/>
    <w:rsid w:val="0028375E"/>
    <w:rsid w:val="00283D1D"/>
    <w:rsid w:val="0028487C"/>
    <w:rsid w:val="00284A8F"/>
    <w:rsid w:val="00284B8E"/>
    <w:rsid w:val="002852CB"/>
    <w:rsid w:val="002857C8"/>
    <w:rsid w:val="00285967"/>
    <w:rsid w:val="00285A17"/>
    <w:rsid w:val="0028612A"/>
    <w:rsid w:val="00286745"/>
    <w:rsid w:val="00286C8B"/>
    <w:rsid w:val="0028776E"/>
    <w:rsid w:val="00287C37"/>
    <w:rsid w:val="00287D0D"/>
    <w:rsid w:val="00287E35"/>
    <w:rsid w:val="002909D2"/>
    <w:rsid w:val="00290D6D"/>
    <w:rsid w:val="00293324"/>
    <w:rsid w:val="002933EA"/>
    <w:rsid w:val="002934AF"/>
    <w:rsid w:val="00293724"/>
    <w:rsid w:val="00293A5B"/>
    <w:rsid w:val="00293E77"/>
    <w:rsid w:val="00294779"/>
    <w:rsid w:val="00294BF4"/>
    <w:rsid w:val="00294E3C"/>
    <w:rsid w:val="00295959"/>
    <w:rsid w:val="00295E48"/>
    <w:rsid w:val="0029642B"/>
    <w:rsid w:val="00296524"/>
    <w:rsid w:val="00297A6F"/>
    <w:rsid w:val="00297CB3"/>
    <w:rsid w:val="002A053D"/>
    <w:rsid w:val="002A0978"/>
    <w:rsid w:val="002A0AC0"/>
    <w:rsid w:val="002A10CF"/>
    <w:rsid w:val="002A221C"/>
    <w:rsid w:val="002A258C"/>
    <w:rsid w:val="002A301E"/>
    <w:rsid w:val="002A31FF"/>
    <w:rsid w:val="002A353F"/>
    <w:rsid w:val="002A3A79"/>
    <w:rsid w:val="002A4109"/>
    <w:rsid w:val="002A412A"/>
    <w:rsid w:val="002A4205"/>
    <w:rsid w:val="002A45B4"/>
    <w:rsid w:val="002A45C9"/>
    <w:rsid w:val="002A52D0"/>
    <w:rsid w:val="002A55CF"/>
    <w:rsid w:val="002A56E7"/>
    <w:rsid w:val="002A5A74"/>
    <w:rsid w:val="002A609C"/>
    <w:rsid w:val="002A639A"/>
    <w:rsid w:val="002A6904"/>
    <w:rsid w:val="002A696F"/>
    <w:rsid w:val="002A6E15"/>
    <w:rsid w:val="002A6FEF"/>
    <w:rsid w:val="002A70D1"/>
    <w:rsid w:val="002A7107"/>
    <w:rsid w:val="002A715D"/>
    <w:rsid w:val="002A7294"/>
    <w:rsid w:val="002A7B55"/>
    <w:rsid w:val="002A7B9D"/>
    <w:rsid w:val="002A7FC3"/>
    <w:rsid w:val="002B0735"/>
    <w:rsid w:val="002B0A14"/>
    <w:rsid w:val="002B125B"/>
    <w:rsid w:val="002B137A"/>
    <w:rsid w:val="002B1E4A"/>
    <w:rsid w:val="002B2024"/>
    <w:rsid w:val="002B2520"/>
    <w:rsid w:val="002B2652"/>
    <w:rsid w:val="002B274B"/>
    <w:rsid w:val="002B28C4"/>
    <w:rsid w:val="002B2956"/>
    <w:rsid w:val="002B2957"/>
    <w:rsid w:val="002B2E96"/>
    <w:rsid w:val="002B317A"/>
    <w:rsid w:val="002B372D"/>
    <w:rsid w:val="002B3836"/>
    <w:rsid w:val="002B3B40"/>
    <w:rsid w:val="002B3FFF"/>
    <w:rsid w:val="002B41EA"/>
    <w:rsid w:val="002B4956"/>
    <w:rsid w:val="002B4BAA"/>
    <w:rsid w:val="002B5A14"/>
    <w:rsid w:val="002B5A2A"/>
    <w:rsid w:val="002B5E7E"/>
    <w:rsid w:val="002B5EA0"/>
    <w:rsid w:val="002B6250"/>
    <w:rsid w:val="002B6B78"/>
    <w:rsid w:val="002B6EFF"/>
    <w:rsid w:val="002B703E"/>
    <w:rsid w:val="002B765A"/>
    <w:rsid w:val="002B78A2"/>
    <w:rsid w:val="002B790F"/>
    <w:rsid w:val="002C0B06"/>
    <w:rsid w:val="002C0E40"/>
    <w:rsid w:val="002C0E9C"/>
    <w:rsid w:val="002C1006"/>
    <w:rsid w:val="002C178F"/>
    <w:rsid w:val="002C1A86"/>
    <w:rsid w:val="002C2281"/>
    <w:rsid w:val="002C2316"/>
    <w:rsid w:val="002C2D39"/>
    <w:rsid w:val="002C2DAB"/>
    <w:rsid w:val="002C3ABD"/>
    <w:rsid w:val="002C3BCF"/>
    <w:rsid w:val="002C3D8C"/>
    <w:rsid w:val="002C3E7B"/>
    <w:rsid w:val="002C3F69"/>
    <w:rsid w:val="002C400E"/>
    <w:rsid w:val="002C44AF"/>
    <w:rsid w:val="002C4C9B"/>
    <w:rsid w:val="002C52AA"/>
    <w:rsid w:val="002C55F9"/>
    <w:rsid w:val="002C615A"/>
    <w:rsid w:val="002C652B"/>
    <w:rsid w:val="002C6715"/>
    <w:rsid w:val="002C711C"/>
    <w:rsid w:val="002C7D90"/>
    <w:rsid w:val="002C7DB3"/>
    <w:rsid w:val="002C7DBD"/>
    <w:rsid w:val="002D05DE"/>
    <w:rsid w:val="002D06C8"/>
    <w:rsid w:val="002D0B3C"/>
    <w:rsid w:val="002D1487"/>
    <w:rsid w:val="002D164C"/>
    <w:rsid w:val="002D1757"/>
    <w:rsid w:val="002D1912"/>
    <w:rsid w:val="002D1B51"/>
    <w:rsid w:val="002D2149"/>
    <w:rsid w:val="002D21C6"/>
    <w:rsid w:val="002D224F"/>
    <w:rsid w:val="002D25E8"/>
    <w:rsid w:val="002D26B2"/>
    <w:rsid w:val="002D2FAC"/>
    <w:rsid w:val="002D3205"/>
    <w:rsid w:val="002D387C"/>
    <w:rsid w:val="002D49AF"/>
    <w:rsid w:val="002D56DD"/>
    <w:rsid w:val="002D5950"/>
    <w:rsid w:val="002D5A69"/>
    <w:rsid w:val="002D63CA"/>
    <w:rsid w:val="002D6500"/>
    <w:rsid w:val="002D66C7"/>
    <w:rsid w:val="002D6A9F"/>
    <w:rsid w:val="002D6CD4"/>
    <w:rsid w:val="002D722D"/>
    <w:rsid w:val="002D7A4F"/>
    <w:rsid w:val="002D7B6D"/>
    <w:rsid w:val="002D7B7E"/>
    <w:rsid w:val="002D7B82"/>
    <w:rsid w:val="002E0228"/>
    <w:rsid w:val="002E0240"/>
    <w:rsid w:val="002E054A"/>
    <w:rsid w:val="002E0734"/>
    <w:rsid w:val="002E0748"/>
    <w:rsid w:val="002E0925"/>
    <w:rsid w:val="002E0932"/>
    <w:rsid w:val="002E094F"/>
    <w:rsid w:val="002E0EF1"/>
    <w:rsid w:val="002E2463"/>
    <w:rsid w:val="002E276A"/>
    <w:rsid w:val="002E32A0"/>
    <w:rsid w:val="002E344B"/>
    <w:rsid w:val="002E3450"/>
    <w:rsid w:val="002E34C7"/>
    <w:rsid w:val="002E36CF"/>
    <w:rsid w:val="002E413C"/>
    <w:rsid w:val="002E4363"/>
    <w:rsid w:val="002E4A1F"/>
    <w:rsid w:val="002E4C6C"/>
    <w:rsid w:val="002E5794"/>
    <w:rsid w:val="002E598A"/>
    <w:rsid w:val="002E59B3"/>
    <w:rsid w:val="002E60A7"/>
    <w:rsid w:val="002E64DA"/>
    <w:rsid w:val="002E6F1E"/>
    <w:rsid w:val="002E6F65"/>
    <w:rsid w:val="002E71A0"/>
    <w:rsid w:val="002E74A7"/>
    <w:rsid w:val="002E7864"/>
    <w:rsid w:val="002E79C5"/>
    <w:rsid w:val="002E7B14"/>
    <w:rsid w:val="002E7D71"/>
    <w:rsid w:val="002E7E23"/>
    <w:rsid w:val="002F0305"/>
    <w:rsid w:val="002F16E6"/>
    <w:rsid w:val="002F1B44"/>
    <w:rsid w:val="002F1D1A"/>
    <w:rsid w:val="002F25AC"/>
    <w:rsid w:val="002F2B24"/>
    <w:rsid w:val="002F2CBA"/>
    <w:rsid w:val="002F3AFC"/>
    <w:rsid w:val="002F477E"/>
    <w:rsid w:val="002F48A2"/>
    <w:rsid w:val="002F4B1C"/>
    <w:rsid w:val="002F52A8"/>
    <w:rsid w:val="002F68B9"/>
    <w:rsid w:val="002F6F1E"/>
    <w:rsid w:val="002F6FE5"/>
    <w:rsid w:val="002F7138"/>
    <w:rsid w:val="002F72E9"/>
    <w:rsid w:val="002F7C42"/>
    <w:rsid w:val="003003E7"/>
    <w:rsid w:val="00300531"/>
    <w:rsid w:val="00300BE8"/>
    <w:rsid w:val="00300D80"/>
    <w:rsid w:val="003012C9"/>
    <w:rsid w:val="003015CD"/>
    <w:rsid w:val="00301619"/>
    <w:rsid w:val="00302217"/>
    <w:rsid w:val="003022E7"/>
    <w:rsid w:val="0030257A"/>
    <w:rsid w:val="00302DA4"/>
    <w:rsid w:val="00302EE9"/>
    <w:rsid w:val="0030351E"/>
    <w:rsid w:val="003037B2"/>
    <w:rsid w:val="00303925"/>
    <w:rsid w:val="00303B87"/>
    <w:rsid w:val="00303D80"/>
    <w:rsid w:val="0030423B"/>
    <w:rsid w:val="0030437A"/>
    <w:rsid w:val="00304941"/>
    <w:rsid w:val="0030504E"/>
    <w:rsid w:val="003055FD"/>
    <w:rsid w:val="00305697"/>
    <w:rsid w:val="00306041"/>
    <w:rsid w:val="003062CF"/>
    <w:rsid w:val="003071E9"/>
    <w:rsid w:val="0030763F"/>
    <w:rsid w:val="00307862"/>
    <w:rsid w:val="00307B88"/>
    <w:rsid w:val="00307F05"/>
    <w:rsid w:val="00307F82"/>
    <w:rsid w:val="0031002F"/>
    <w:rsid w:val="003109E8"/>
    <w:rsid w:val="00310D27"/>
    <w:rsid w:val="003110BF"/>
    <w:rsid w:val="00311234"/>
    <w:rsid w:val="003113AC"/>
    <w:rsid w:val="003114B3"/>
    <w:rsid w:val="003116DD"/>
    <w:rsid w:val="00311872"/>
    <w:rsid w:val="00311DA3"/>
    <w:rsid w:val="0031220E"/>
    <w:rsid w:val="0031285A"/>
    <w:rsid w:val="003129EB"/>
    <w:rsid w:val="00312AA4"/>
    <w:rsid w:val="003138AB"/>
    <w:rsid w:val="00315583"/>
    <w:rsid w:val="00315843"/>
    <w:rsid w:val="0031589D"/>
    <w:rsid w:val="00316561"/>
    <w:rsid w:val="003169A6"/>
    <w:rsid w:val="00316AA6"/>
    <w:rsid w:val="00316CED"/>
    <w:rsid w:val="00316DC2"/>
    <w:rsid w:val="003170A7"/>
    <w:rsid w:val="00317293"/>
    <w:rsid w:val="00320406"/>
    <w:rsid w:val="00320643"/>
    <w:rsid w:val="0032085F"/>
    <w:rsid w:val="00321E4B"/>
    <w:rsid w:val="003221B2"/>
    <w:rsid w:val="003226B4"/>
    <w:rsid w:val="003228B1"/>
    <w:rsid w:val="003228DB"/>
    <w:rsid w:val="00322955"/>
    <w:rsid w:val="00322993"/>
    <w:rsid w:val="00322E1C"/>
    <w:rsid w:val="003235B6"/>
    <w:rsid w:val="00323864"/>
    <w:rsid w:val="00323BE6"/>
    <w:rsid w:val="00323C63"/>
    <w:rsid w:val="003240A1"/>
    <w:rsid w:val="0032436F"/>
    <w:rsid w:val="00324854"/>
    <w:rsid w:val="00324B20"/>
    <w:rsid w:val="00324CEE"/>
    <w:rsid w:val="00324E71"/>
    <w:rsid w:val="003255DA"/>
    <w:rsid w:val="00325D06"/>
    <w:rsid w:val="00326417"/>
    <w:rsid w:val="00326545"/>
    <w:rsid w:val="003269A7"/>
    <w:rsid w:val="00326B5B"/>
    <w:rsid w:val="00326B61"/>
    <w:rsid w:val="00326B6E"/>
    <w:rsid w:val="00326D8B"/>
    <w:rsid w:val="00326FE7"/>
    <w:rsid w:val="00327019"/>
    <w:rsid w:val="00327911"/>
    <w:rsid w:val="00330664"/>
    <w:rsid w:val="00331C61"/>
    <w:rsid w:val="003325E4"/>
    <w:rsid w:val="00332CB3"/>
    <w:rsid w:val="00332D99"/>
    <w:rsid w:val="00333A56"/>
    <w:rsid w:val="00333BC7"/>
    <w:rsid w:val="00333FD8"/>
    <w:rsid w:val="003342DA"/>
    <w:rsid w:val="00334C53"/>
    <w:rsid w:val="003350C2"/>
    <w:rsid w:val="0033569C"/>
    <w:rsid w:val="00335D91"/>
    <w:rsid w:val="00335FF5"/>
    <w:rsid w:val="00336159"/>
    <w:rsid w:val="003364CD"/>
    <w:rsid w:val="003365E3"/>
    <w:rsid w:val="00336795"/>
    <w:rsid w:val="00336B05"/>
    <w:rsid w:val="00336B7D"/>
    <w:rsid w:val="00336D79"/>
    <w:rsid w:val="003376CE"/>
    <w:rsid w:val="00337A7A"/>
    <w:rsid w:val="00337E01"/>
    <w:rsid w:val="00337EE4"/>
    <w:rsid w:val="00337EF0"/>
    <w:rsid w:val="0034061B"/>
    <w:rsid w:val="00340780"/>
    <w:rsid w:val="00340E80"/>
    <w:rsid w:val="003422CA"/>
    <w:rsid w:val="003426EB"/>
    <w:rsid w:val="003429E7"/>
    <w:rsid w:val="00343212"/>
    <w:rsid w:val="0034365F"/>
    <w:rsid w:val="00343C23"/>
    <w:rsid w:val="00343CC8"/>
    <w:rsid w:val="00343D94"/>
    <w:rsid w:val="00344128"/>
    <w:rsid w:val="00345575"/>
    <w:rsid w:val="003457BE"/>
    <w:rsid w:val="00345AE0"/>
    <w:rsid w:val="003460E4"/>
    <w:rsid w:val="00347D84"/>
    <w:rsid w:val="00347FEB"/>
    <w:rsid w:val="003503F1"/>
    <w:rsid w:val="00350906"/>
    <w:rsid w:val="00350B99"/>
    <w:rsid w:val="00350DD9"/>
    <w:rsid w:val="003510AB"/>
    <w:rsid w:val="00351BBF"/>
    <w:rsid w:val="003521F1"/>
    <w:rsid w:val="003526BD"/>
    <w:rsid w:val="0035285C"/>
    <w:rsid w:val="00352C56"/>
    <w:rsid w:val="00353626"/>
    <w:rsid w:val="00353AF2"/>
    <w:rsid w:val="00353B16"/>
    <w:rsid w:val="003542CE"/>
    <w:rsid w:val="003543CE"/>
    <w:rsid w:val="0035493A"/>
    <w:rsid w:val="00354CFD"/>
    <w:rsid w:val="00354D78"/>
    <w:rsid w:val="00354F13"/>
    <w:rsid w:val="00355005"/>
    <w:rsid w:val="003550A3"/>
    <w:rsid w:val="003553EA"/>
    <w:rsid w:val="00355403"/>
    <w:rsid w:val="0035558F"/>
    <w:rsid w:val="00355D39"/>
    <w:rsid w:val="003560D5"/>
    <w:rsid w:val="0035656A"/>
    <w:rsid w:val="00356638"/>
    <w:rsid w:val="003568F4"/>
    <w:rsid w:val="003576E4"/>
    <w:rsid w:val="0035786B"/>
    <w:rsid w:val="0035789B"/>
    <w:rsid w:val="0035790A"/>
    <w:rsid w:val="00360477"/>
    <w:rsid w:val="00360548"/>
    <w:rsid w:val="003605AC"/>
    <w:rsid w:val="003606E9"/>
    <w:rsid w:val="00360889"/>
    <w:rsid w:val="003608B3"/>
    <w:rsid w:val="00361092"/>
    <w:rsid w:val="00361B87"/>
    <w:rsid w:val="00361E01"/>
    <w:rsid w:val="00361E72"/>
    <w:rsid w:val="003622F8"/>
    <w:rsid w:val="00362B60"/>
    <w:rsid w:val="00362DAC"/>
    <w:rsid w:val="00363338"/>
    <w:rsid w:val="003636AB"/>
    <w:rsid w:val="00363C39"/>
    <w:rsid w:val="00363CCD"/>
    <w:rsid w:val="00363D68"/>
    <w:rsid w:val="00364586"/>
    <w:rsid w:val="00364616"/>
    <w:rsid w:val="003647EB"/>
    <w:rsid w:val="00364AB7"/>
    <w:rsid w:val="00364C34"/>
    <w:rsid w:val="00364F24"/>
    <w:rsid w:val="00364F85"/>
    <w:rsid w:val="003653BA"/>
    <w:rsid w:val="0036544C"/>
    <w:rsid w:val="00365A1C"/>
    <w:rsid w:val="00366830"/>
    <w:rsid w:val="00366CE1"/>
    <w:rsid w:val="0036707D"/>
    <w:rsid w:val="003673F2"/>
    <w:rsid w:val="003679EE"/>
    <w:rsid w:val="00367A0F"/>
    <w:rsid w:val="00367A81"/>
    <w:rsid w:val="00370073"/>
    <w:rsid w:val="003702B5"/>
    <w:rsid w:val="00370470"/>
    <w:rsid w:val="003716CF"/>
    <w:rsid w:val="00371859"/>
    <w:rsid w:val="00371914"/>
    <w:rsid w:val="00371A94"/>
    <w:rsid w:val="00371BD6"/>
    <w:rsid w:val="00372059"/>
    <w:rsid w:val="00372DEC"/>
    <w:rsid w:val="00372FB7"/>
    <w:rsid w:val="003733D5"/>
    <w:rsid w:val="0037360A"/>
    <w:rsid w:val="00373CD5"/>
    <w:rsid w:val="00373D05"/>
    <w:rsid w:val="00373EC5"/>
    <w:rsid w:val="00374E76"/>
    <w:rsid w:val="00375033"/>
    <w:rsid w:val="003754BF"/>
    <w:rsid w:val="003755C5"/>
    <w:rsid w:val="00375E10"/>
    <w:rsid w:val="00375F64"/>
    <w:rsid w:val="00376554"/>
    <w:rsid w:val="0037675A"/>
    <w:rsid w:val="00376AF2"/>
    <w:rsid w:val="00376DCD"/>
    <w:rsid w:val="003771C2"/>
    <w:rsid w:val="0037724F"/>
    <w:rsid w:val="0037739F"/>
    <w:rsid w:val="00377449"/>
    <w:rsid w:val="003774C5"/>
    <w:rsid w:val="00381702"/>
    <w:rsid w:val="003817BC"/>
    <w:rsid w:val="00381A5D"/>
    <w:rsid w:val="00381F82"/>
    <w:rsid w:val="00382340"/>
    <w:rsid w:val="00382417"/>
    <w:rsid w:val="00382488"/>
    <w:rsid w:val="003826F1"/>
    <w:rsid w:val="00382C06"/>
    <w:rsid w:val="00382C6F"/>
    <w:rsid w:val="00383227"/>
    <w:rsid w:val="00383CB1"/>
    <w:rsid w:val="00383E08"/>
    <w:rsid w:val="0038453B"/>
    <w:rsid w:val="00384648"/>
    <w:rsid w:val="00384FDD"/>
    <w:rsid w:val="00385748"/>
    <w:rsid w:val="003859F6"/>
    <w:rsid w:val="00386354"/>
    <w:rsid w:val="00386671"/>
    <w:rsid w:val="00386BF7"/>
    <w:rsid w:val="00386EC6"/>
    <w:rsid w:val="00387640"/>
    <w:rsid w:val="00387776"/>
    <w:rsid w:val="00387ABC"/>
    <w:rsid w:val="00387BE5"/>
    <w:rsid w:val="0039060D"/>
    <w:rsid w:val="0039129A"/>
    <w:rsid w:val="00391E4D"/>
    <w:rsid w:val="00392912"/>
    <w:rsid w:val="00392A73"/>
    <w:rsid w:val="00392BF4"/>
    <w:rsid w:val="00392E7A"/>
    <w:rsid w:val="003934E7"/>
    <w:rsid w:val="00393EAF"/>
    <w:rsid w:val="00394514"/>
    <w:rsid w:val="00394D77"/>
    <w:rsid w:val="00394F5E"/>
    <w:rsid w:val="00394FD1"/>
    <w:rsid w:val="00395C54"/>
    <w:rsid w:val="003965CB"/>
    <w:rsid w:val="00396AB4"/>
    <w:rsid w:val="00396DBF"/>
    <w:rsid w:val="003972CA"/>
    <w:rsid w:val="00397920"/>
    <w:rsid w:val="003A065A"/>
    <w:rsid w:val="003A074E"/>
    <w:rsid w:val="003A0A9C"/>
    <w:rsid w:val="003A0D8D"/>
    <w:rsid w:val="003A0D94"/>
    <w:rsid w:val="003A0E69"/>
    <w:rsid w:val="003A1387"/>
    <w:rsid w:val="003A159A"/>
    <w:rsid w:val="003A1943"/>
    <w:rsid w:val="003A19E2"/>
    <w:rsid w:val="003A2176"/>
    <w:rsid w:val="003A29EA"/>
    <w:rsid w:val="003A2B9A"/>
    <w:rsid w:val="003A2C95"/>
    <w:rsid w:val="003A2DE7"/>
    <w:rsid w:val="003A32FE"/>
    <w:rsid w:val="003A36C5"/>
    <w:rsid w:val="003A441E"/>
    <w:rsid w:val="003A45BF"/>
    <w:rsid w:val="003A4777"/>
    <w:rsid w:val="003A5178"/>
    <w:rsid w:val="003A5457"/>
    <w:rsid w:val="003A5E50"/>
    <w:rsid w:val="003A5FE6"/>
    <w:rsid w:val="003A609C"/>
    <w:rsid w:val="003A681F"/>
    <w:rsid w:val="003A6982"/>
    <w:rsid w:val="003A70D4"/>
    <w:rsid w:val="003A71A5"/>
    <w:rsid w:val="003B01FF"/>
    <w:rsid w:val="003B03E6"/>
    <w:rsid w:val="003B0523"/>
    <w:rsid w:val="003B2084"/>
    <w:rsid w:val="003B2AF4"/>
    <w:rsid w:val="003B2F94"/>
    <w:rsid w:val="003B36CA"/>
    <w:rsid w:val="003B3CDB"/>
    <w:rsid w:val="003B4276"/>
    <w:rsid w:val="003B4AF2"/>
    <w:rsid w:val="003B5231"/>
    <w:rsid w:val="003B56B2"/>
    <w:rsid w:val="003B57C3"/>
    <w:rsid w:val="003B5AB4"/>
    <w:rsid w:val="003B5E52"/>
    <w:rsid w:val="003B6120"/>
    <w:rsid w:val="003B618E"/>
    <w:rsid w:val="003B62A0"/>
    <w:rsid w:val="003B6505"/>
    <w:rsid w:val="003B7305"/>
    <w:rsid w:val="003B76C8"/>
    <w:rsid w:val="003B77C2"/>
    <w:rsid w:val="003B7D5E"/>
    <w:rsid w:val="003B7F05"/>
    <w:rsid w:val="003C03FF"/>
    <w:rsid w:val="003C0A6B"/>
    <w:rsid w:val="003C0C7B"/>
    <w:rsid w:val="003C1CD3"/>
    <w:rsid w:val="003C2573"/>
    <w:rsid w:val="003C26CE"/>
    <w:rsid w:val="003C32A3"/>
    <w:rsid w:val="003C3B7D"/>
    <w:rsid w:val="003C3C9A"/>
    <w:rsid w:val="003C3E36"/>
    <w:rsid w:val="003C41C3"/>
    <w:rsid w:val="003C47E9"/>
    <w:rsid w:val="003C4B28"/>
    <w:rsid w:val="003C51EC"/>
    <w:rsid w:val="003C52E3"/>
    <w:rsid w:val="003C55B4"/>
    <w:rsid w:val="003C572B"/>
    <w:rsid w:val="003C573A"/>
    <w:rsid w:val="003C66B5"/>
    <w:rsid w:val="003C677F"/>
    <w:rsid w:val="003C6797"/>
    <w:rsid w:val="003C6F58"/>
    <w:rsid w:val="003C6FCA"/>
    <w:rsid w:val="003C71A4"/>
    <w:rsid w:val="003C71AB"/>
    <w:rsid w:val="003C7A35"/>
    <w:rsid w:val="003C7A69"/>
    <w:rsid w:val="003C7EF5"/>
    <w:rsid w:val="003D004A"/>
    <w:rsid w:val="003D00A0"/>
    <w:rsid w:val="003D066E"/>
    <w:rsid w:val="003D084D"/>
    <w:rsid w:val="003D0A2B"/>
    <w:rsid w:val="003D0DCC"/>
    <w:rsid w:val="003D1573"/>
    <w:rsid w:val="003D1631"/>
    <w:rsid w:val="003D1948"/>
    <w:rsid w:val="003D1C6F"/>
    <w:rsid w:val="003D1E3E"/>
    <w:rsid w:val="003D234A"/>
    <w:rsid w:val="003D23D2"/>
    <w:rsid w:val="003D28F4"/>
    <w:rsid w:val="003D2D66"/>
    <w:rsid w:val="003D2F87"/>
    <w:rsid w:val="003D3129"/>
    <w:rsid w:val="003D3238"/>
    <w:rsid w:val="003D3AE8"/>
    <w:rsid w:val="003D3E92"/>
    <w:rsid w:val="003D41DF"/>
    <w:rsid w:val="003D42D7"/>
    <w:rsid w:val="003D4681"/>
    <w:rsid w:val="003D510A"/>
    <w:rsid w:val="003D6DF3"/>
    <w:rsid w:val="003D7410"/>
    <w:rsid w:val="003E0D96"/>
    <w:rsid w:val="003E0EE4"/>
    <w:rsid w:val="003E0FBF"/>
    <w:rsid w:val="003E11D5"/>
    <w:rsid w:val="003E12EB"/>
    <w:rsid w:val="003E1374"/>
    <w:rsid w:val="003E1467"/>
    <w:rsid w:val="003E163C"/>
    <w:rsid w:val="003E1677"/>
    <w:rsid w:val="003E1800"/>
    <w:rsid w:val="003E188A"/>
    <w:rsid w:val="003E1AF0"/>
    <w:rsid w:val="003E1F48"/>
    <w:rsid w:val="003E2061"/>
    <w:rsid w:val="003E21C5"/>
    <w:rsid w:val="003E2487"/>
    <w:rsid w:val="003E2BFA"/>
    <w:rsid w:val="003E33CA"/>
    <w:rsid w:val="003E388A"/>
    <w:rsid w:val="003E3E50"/>
    <w:rsid w:val="003E42FF"/>
    <w:rsid w:val="003E6281"/>
    <w:rsid w:val="003E631A"/>
    <w:rsid w:val="003E7113"/>
    <w:rsid w:val="003E7E1F"/>
    <w:rsid w:val="003E7FEA"/>
    <w:rsid w:val="003F025F"/>
    <w:rsid w:val="003F0370"/>
    <w:rsid w:val="003F060B"/>
    <w:rsid w:val="003F094E"/>
    <w:rsid w:val="003F09D7"/>
    <w:rsid w:val="003F11EA"/>
    <w:rsid w:val="003F1A6E"/>
    <w:rsid w:val="003F2192"/>
    <w:rsid w:val="003F244F"/>
    <w:rsid w:val="003F25AD"/>
    <w:rsid w:val="003F2665"/>
    <w:rsid w:val="003F2905"/>
    <w:rsid w:val="003F292C"/>
    <w:rsid w:val="003F29DB"/>
    <w:rsid w:val="003F3BA9"/>
    <w:rsid w:val="003F3C25"/>
    <w:rsid w:val="003F487F"/>
    <w:rsid w:val="003F5199"/>
    <w:rsid w:val="003F543B"/>
    <w:rsid w:val="003F6240"/>
    <w:rsid w:val="003F6914"/>
    <w:rsid w:val="003F761B"/>
    <w:rsid w:val="00400101"/>
    <w:rsid w:val="004004B1"/>
    <w:rsid w:val="00400529"/>
    <w:rsid w:val="00400728"/>
    <w:rsid w:val="00400D09"/>
    <w:rsid w:val="004018BA"/>
    <w:rsid w:val="00401CA7"/>
    <w:rsid w:val="00401E2C"/>
    <w:rsid w:val="00402A0E"/>
    <w:rsid w:val="00402AA8"/>
    <w:rsid w:val="004030A9"/>
    <w:rsid w:val="004030F2"/>
    <w:rsid w:val="004036A7"/>
    <w:rsid w:val="0040388F"/>
    <w:rsid w:val="004039FE"/>
    <w:rsid w:val="004043EF"/>
    <w:rsid w:val="0040466F"/>
    <w:rsid w:val="00404A69"/>
    <w:rsid w:val="004050ED"/>
    <w:rsid w:val="00405620"/>
    <w:rsid w:val="00405696"/>
    <w:rsid w:val="00405B51"/>
    <w:rsid w:val="00406655"/>
    <w:rsid w:val="0040679A"/>
    <w:rsid w:val="0040705C"/>
    <w:rsid w:val="004071BA"/>
    <w:rsid w:val="00407341"/>
    <w:rsid w:val="00407356"/>
    <w:rsid w:val="00407FFB"/>
    <w:rsid w:val="00410B28"/>
    <w:rsid w:val="00410C99"/>
    <w:rsid w:val="004110D4"/>
    <w:rsid w:val="00411430"/>
    <w:rsid w:val="0041150C"/>
    <w:rsid w:val="00411CE8"/>
    <w:rsid w:val="00411E26"/>
    <w:rsid w:val="00412501"/>
    <w:rsid w:val="00412B6E"/>
    <w:rsid w:val="00412C35"/>
    <w:rsid w:val="00412CB7"/>
    <w:rsid w:val="00412DCD"/>
    <w:rsid w:val="00412E7A"/>
    <w:rsid w:val="00414047"/>
    <w:rsid w:val="004143AD"/>
    <w:rsid w:val="0041471E"/>
    <w:rsid w:val="00414824"/>
    <w:rsid w:val="00414DAF"/>
    <w:rsid w:val="00414E39"/>
    <w:rsid w:val="00415B4B"/>
    <w:rsid w:val="004161E7"/>
    <w:rsid w:val="004162B3"/>
    <w:rsid w:val="0041688F"/>
    <w:rsid w:val="004172BF"/>
    <w:rsid w:val="0041737E"/>
    <w:rsid w:val="004174E7"/>
    <w:rsid w:val="004175E9"/>
    <w:rsid w:val="00417667"/>
    <w:rsid w:val="00417727"/>
    <w:rsid w:val="0041780E"/>
    <w:rsid w:val="00417E52"/>
    <w:rsid w:val="00420225"/>
    <w:rsid w:val="004203B1"/>
    <w:rsid w:val="00420EB0"/>
    <w:rsid w:val="00421771"/>
    <w:rsid w:val="00421834"/>
    <w:rsid w:val="00421AA7"/>
    <w:rsid w:val="004221AA"/>
    <w:rsid w:val="00422261"/>
    <w:rsid w:val="00422445"/>
    <w:rsid w:val="0042291B"/>
    <w:rsid w:val="00422B19"/>
    <w:rsid w:val="00422BDA"/>
    <w:rsid w:val="0042357B"/>
    <w:rsid w:val="004235BD"/>
    <w:rsid w:val="00424048"/>
    <w:rsid w:val="004247BB"/>
    <w:rsid w:val="00424BA6"/>
    <w:rsid w:val="004254C0"/>
    <w:rsid w:val="00425D76"/>
    <w:rsid w:val="0042618C"/>
    <w:rsid w:val="0042636D"/>
    <w:rsid w:val="00426E0D"/>
    <w:rsid w:val="00427083"/>
    <w:rsid w:val="004273A7"/>
    <w:rsid w:val="004276AE"/>
    <w:rsid w:val="004301D6"/>
    <w:rsid w:val="00431A8C"/>
    <w:rsid w:val="00431EE8"/>
    <w:rsid w:val="00432A98"/>
    <w:rsid w:val="00432EF0"/>
    <w:rsid w:val="00433018"/>
    <w:rsid w:val="004334AB"/>
    <w:rsid w:val="00433676"/>
    <w:rsid w:val="00433F87"/>
    <w:rsid w:val="00434363"/>
    <w:rsid w:val="004347A7"/>
    <w:rsid w:val="00434DE5"/>
    <w:rsid w:val="00434FBD"/>
    <w:rsid w:val="00434FD1"/>
    <w:rsid w:val="004355DE"/>
    <w:rsid w:val="00435AA7"/>
    <w:rsid w:val="00435BAE"/>
    <w:rsid w:val="00435C46"/>
    <w:rsid w:val="00435CAC"/>
    <w:rsid w:val="00435D67"/>
    <w:rsid w:val="004367CB"/>
    <w:rsid w:val="004369D4"/>
    <w:rsid w:val="00436D1D"/>
    <w:rsid w:val="00437779"/>
    <w:rsid w:val="004377EA"/>
    <w:rsid w:val="00437C84"/>
    <w:rsid w:val="00437D4F"/>
    <w:rsid w:val="00437F16"/>
    <w:rsid w:val="00437FD1"/>
    <w:rsid w:val="004407DB"/>
    <w:rsid w:val="0044087F"/>
    <w:rsid w:val="00440940"/>
    <w:rsid w:val="00440AC5"/>
    <w:rsid w:val="00440DAF"/>
    <w:rsid w:val="00441D7D"/>
    <w:rsid w:val="00442B6C"/>
    <w:rsid w:val="00442EFE"/>
    <w:rsid w:val="00443303"/>
    <w:rsid w:val="0044355A"/>
    <w:rsid w:val="00443E6A"/>
    <w:rsid w:val="00443E80"/>
    <w:rsid w:val="00443ECB"/>
    <w:rsid w:val="004443F3"/>
    <w:rsid w:val="004448D7"/>
    <w:rsid w:val="00444C9F"/>
    <w:rsid w:val="00444E0F"/>
    <w:rsid w:val="004451A2"/>
    <w:rsid w:val="00445465"/>
    <w:rsid w:val="00445870"/>
    <w:rsid w:val="00445ABA"/>
    <w:rsid w:val="00446027"/>
    <w:rsid w:val="004461F8"/>
    <w:rsid w:val="0044661A"/>
    <w:rsid w:val="00446713"/>
    <w:rsid w:val="004467D8"/>
    <w:rsid w:val="00447033"/>
    <w:rsid w:val="004470ED"/>
    <w:rsid w:val="004474BA"/>
    <w:rsid w:val="004501C9"/>
    <w:rsid w:val="00450670"/>
    <w:rsid w:val="004509BC"/>
    <w:rsid w:val="00450B60"/>
    <w:rsid w:val="00450D21"/>
    <w:rsid w:val="00451061"/>
    <w:rsid w:val="004515DA"/>
    <w:rsid w:val="004515E8"/>
    <w:rsid w:val="00451C4B"/>
    <w:rsid w:val="00452013"/>
    <w:rsid w:val="0045301C"/>
    <w:rsid w:val="00453499"/>
    <w:rsid w:val="00453607"/>
    <w:rsid w:val="00454575"/>
    <w:rsid w:val="00454AA9"/>
    <w:rsid w:val="00455275"/>
    <w:rsid w:val="004559EC"/>
    <w:rsid w:val="00455AC4"/>
    <w:rsid w:val="00455D93"/>
    <w:rsid w:val="00456829"/>
    <w:rsid w:val="004568E9"/>
    <w:rsid w:val="00456DFC"/>
    <w:rsid w:val="00456EF9"/>
    <w:rsid w:val="0045758D"/>
    <w:rsid w:val="004577BE"/>
    <w:rsid w:val="004577E6"/>
    <w:rsid w:val="00457833"/>
    <w:rsid w:val="00457F34"/>
    <w:rsid w:val="00457FEB"/>
    <w:rsid w:val="00460B39"/>
    <w:rsid w:val="00460B43"/>
    <w:rsid w:val="0046130F"/>
    <w:rsid w:val="00461553"/>
    <w:rsid w:val="004618A7"/>
    <w:rsid w:val="00461F12"/>
    <w:rsid w:val="0046202E"/>
    <w:rsid w:val="004620A8"/>
    <w:rsid w:val="004622F2"/>
    <w:rsid w:val="0046243B"/>
    <w:rsid w:val="004624D5"/>
    <w:rsid w:val="00462A0C"/>
    <w:rsid w:val="00462E15"/>
    <w:rsid w:val="00462ED9"/>
    <w:rsid w:val="004635B5"/>
    <w:rsid w:val="00463A4A"/>
    <w:rsid w:val="00463B61"/>
    <w:rsid w:val="00463F28"/>
    <w:rsid w:val="004643B3"/>
    <w:rsid w:val="0046461A"/>
    <w:rsid w:val="00464809"/>
    <w:rsid w:val="00464C9B"/>
    <w:rsid w:val="00464CC0"/>
    <w:rsid w:val="00464D03"/>
    <w:rsid w:val="00465022"/>
    <w:rsid w:val="00465488"/>
    <w:rsid w:val="00465D5C"/>
    <w:rsid w:val="00466C9C"/>
    <w:rsid w:val="00467104"/>
    <w:rsid w:val="004673DC"/>
    <w:rsid w:val="00467461"/>
    <w:rsid w:val="00467676"/>
    <w:rsid w:val="00467786"/>
    <w:rsid w:val="00467B84"/>
    <w:rsid w:val="00467E99"/>
    <w:rsid w:val="00470599"/>
    <w:rsid w:val="004707DC"/>
    <w:rsid w:val="00471863"/>
    <w:rsid w:val="00471FD4"/>
    <w:rsid w:val="004725D0"/>
    <w:rsid w:val="00472D21"/>
    <w:rsid w:val="00473E3D"/>
    <w:rsid w:val="004744B4"/>
    <w:rsid w:val="0047454C"/>
    <w:rsid w:val="00474D96"/>
    <w:rsid w:val="00474EB8"/>
    <w:rsid w:val="00474F5F"/>
    <w:rsid w:val="00475154"/>
    <w:rsid w:val="004757AB"/>
    <w:rsid w:val="004758B2"/>
    <w:rsid w:val="00475B7B"/>
    <w:rsid w:val="00475CC8"/>
    <w:rsid w:val="004761B2"/>
    <w:rsid w:val="0047691D"/>
    <w:rsid w:val="0047705C"/>
    <w:rsid w:val="004774E8"/>
    <w:rsid w:val="0047780F"/>
    <w:rsid w:val="004779A8"/>
    <w:rsid w:val="00477ABF"/>
    <w:rsid w:val="00477BB1"/>
    <w:rsid w:val="004801A3"/>
    <w:rsid w:val="004804AD"/>
    <w:rsid w:val="004814B4"/>
    <w:rsid w:val="00481748"/>
    <w:rsid w:val="00481921"/>
    <w:rsid w:val="00481B5F"/>
    <w:rsid w:val="00481C77"/>
    <w:rsid w:val="00481C88"/>
    <w:rsid w:val="0048265C"/>
    <w:rsid w:val="0048308B"/>
    <w:rsid w:val="004836CF"/>
    <w:rsid w:val="00483C3B"/>
    <w:rsid w:val="00484029"/>
    <w:rsid w:val="00484761"/>
    <w:rsid w:val="00484D93"/>
    <w:rsid w:val="00485B7D"/>
    <w:rsid w:val="00485F94"/>
    <w:rsid w:val="00486141"/>
    <w:rsid w:val="004869EF"/>
    <w:rsid w:val="00486E26"/>
    <w:rsid w:val="00486F96"/>
    <w:rsid w:val="00486FDE"/>
    <w:rsid w:val="00487A78"/>
    <w:rsid w:val="00490050"/>
    <w:rsid w:val="004903DD"/>
    <w:rsid w:val="004905CC"/>
    <w:rsid w:val="0049077A"/>
    <w:rsid w:val="00490C08"/>
    <w:rsid w:val="00490C74"/>
    <w:rsid w:val="00491019"/>
    <w:rsid w:val="0049115C"/>
    <w:rsid w:val="00491275"/>
    <w:rsid w:val="004914A5"/>
    <w:rsid w:val="00491675"/>
    <w:rsid w:val="0049180E"/>
    <w:rsid w:val="00491864"/>
    <w:rsid w:val="0049268D"/>
    <w:rsid w:val="00492AD7"/>
    <w:rsid w:val="00492BA7"/>
    <w:rsid w:val="00493757"/>
    <w:rsid w:val="00493A3C"/>
    <w:rsid w:val="00493DA7"/>
    <w:rsid w:val="00493DCB"/>
    <w:rsid w:val="00493F78"/>
    <w:rsid w:val="004942BC"/>
    <w:rsid w:val="004942DD"/>
    <w:rsid w:val="0049458E"/>
    <w:rsid w:val="0049485A"/>
    <w:rsid w:val="00494FA9"/>
    <w:rsid w:val="004952CF"/>
    <w:rsid w:val="004957D1"/>
    <w:rsid w:val="00495BA0"/>
    <w:rsid w:val="00495BF5"/>
    <w:rsid w:val="0049623C"/>
    <w:rsid w:val="00496523"/>
    <w:rsid w:val="00496A2D"/>
    <w:rsid w:val="00496A41"/>
    <w:rsid w:val="00496D11"/>
    <w:rsid w:val="00497B3D"/>
    <w:rsid w:val="004A049A"/>
    <w:rsid w:val="004A04D0"/>
    <w:rsid w:val="004A0AB5"/>
    <w:rsid w:val="004A1105"/>
    <w:rsid w:val="004A1251"/>
    <w:rsid w:val="004A12CA"/>
    <w:rsid w:val="004A172B"/>
    <w:rsid w:val="004A193F"/>
    <w:rsid w:val="004A1AEC"/>
    <w:rsid w:val="004A1D6F"/>
    <w:rsid w:val="004A2020"/>
    <w:rsid w:val="004A21C2"/>
    <w:rsid w:val="004A3229"/>
    <w:rsid w:val="004A3400"/>
    <w:rsid w:val="004A396A"/>
    <w:rsid w:val="004A4041"/>
    <w:rsid w:val="004A4AA3"/>
    <w:rsid w:val="004A4EC6"/>
    <w:rsid w:val="004A4F29"/>
    <w:rsid w:val="004A4FCD"/>
    <w:rsid w:val="004A53BC"/>
    <w:rsid w:val="004A5C2B"/>
    <w:rsid w:val="004A6498"/>
    <w:rsid w:val="004A6C44"/>
    <w:rsid w:val="004A6DAA"/>
    <w:rsid w:val="004A70C3"/>
    <w:rsid w:val="004A71D1"/>
    <w:rsid w:val="004A727A"/>
    <w:rsid w:val="004A7564"/>
    <w:rsid w:val="004A799B"/>
    <w:rsid w:val="004B094C"/>
    <w:rsid w:val="004B09CA"/>
    <w:rsid w:val="004B12ED"/>
    <w:rsid w:val="004B2487"/>
    <w:rsid w:val="004B248E"/>
    <w:rsid w:val="004B3636"/>
    <w:rsid w:val="004B3820"/>
    <w:rsid w:val="004B39A2"/>
    <w:rsid w:val="004B452B"/>
    <w:rsid w:val="004B4534"/>
    <w:rsid w:val="004B46A7"/>
    <w:rsid w:val="004B4A28"/>
    <w:rsid w:val="004B4C66"/>
    <w:rsid w:val="004B4C91"/>
    <w:rsid w:val="004B4D1F"/>
    <w:rsid w:val="004B4E47"/>
    <w:rsid w:val="004B5399"/>
    <w:rsid w:val="004B5435"/>
    <w:rsid w:val="004B57C3"/>
    <w:rsid w:val="004B5A67"/>
    <w:rsid w:val="004B5B55"/>
    <w:rsid w:val="004B5DC1"/>
    <w:rsid w:val="004B6514"/>
    <w:rsid w:val="004B663B"/>
    <w:rsid w:val="004B7A4F"/>
    <w:rsid w:val="004B7CC0"/>
    <w:rsid w:val="004C0499"/>
    <w:rsid w:val="004C05A7"/>
    <w:rsid w:val="004C08F9"/>
    <w:rsid w:val="004C0F16"/>
    <w:rsid w:val="004C1385"/>
    <w:rsid w:val="004C17F1"/>
    <w:rsid w:val="004C215E"/>
    <w:rsid w:val="004C21C8"/>
    <w:rsid w:val="004C2259"/>
    <w:rsid w:val="004C2282"/>
    <w:rsid w:val="004C2291"/>
    <w:rsid w:val="004C2A18"/>
    <w:rsid w:val="004C3672"/>
    <w:rsid w:val="004C390B"/>
    <w:rsid w:val="004C3990"/>
    <w:rsid w:val="004C399A"/>
    <w:rsid w:val="004C3CE4"/>
    <w:rsid w:val="004C3DC4"/>
    <w:rsid w:val="004C4481"/>
    <w:rsid w:val="004C483A"/>
    <w:rsid w:val="004C5433"/>
    <w:rsid w:val="004C6428"/>
    <w:rsid w:val="004C64C3"/>
    <w:rsid w:val="004C651E"/>
    <w:rsid w:val="004C6BFD"/>
    <w:rsid w:val="004C6C1B"/>
    <w:rsid w:val="004C7777"/>
    <w:rsid w:val="004C7FAA"/>
    <w:rsid w:val="004D06CE"/>
    <w:rsid w:val="004D0830"/>
    <w:rsid w:val="004D11F7"/>
    <w:rsid w:val="004D1257"/>
    <w:rsid w:val="004D136B"/>
    <w:rsid w:val="004D142E"/>
    <w:rsid w:val="004D19D5"/>
    <w:rsid w:val="004D2511"/>
    <w:rsid w:val="004D266B"/>
    <w:rsid w:val="004D2CD6"/>
    <w:rsid w:val="004D2EC2"/>
    <w:rsid w:val="004D322C"/>
    <w:rsid w:val="004D38BE"/>
    <w:rsid w:val="004D3ADE"/>
    <w:rsid w:val="004D41B8"/>
    <w:rsid w:val="004D4471"/>
    <w:rsid w:val="004D4BCD"/>
    <w:rsid w:val="004D4BE4"/>
    <w:rsid w:val="004D4E3D"/>
    <w:rsid w:val="004D5361"/>
    <w:rsid w:val="004D55DE"/>
    <w:rsid w:val="004D593B"/>
    <w:rsid w:val="004D599B"/>
    <w:rsid w:val="004D721F"/>
    <w:rsid w:val="004D7225"/>
    <w:rsid w:val="004D772F"/>
    <w:rsid w:val="004D792F"/>
    <w:rsid w:val="004D7D61"/>
    <w:rsid w:val="004E0539"/>
    <w:rsid w:val="004E05F3"/>
    <w:rsid w:val="004E0642"/>
    <w:rsid w:val="004E06E9"/>
    <w:rsid w:val="004E0C49"/>
    <w:rsid w:val="004E0D6C"/>
    <w:rsid w:val="004E0D8C"/>
    <w:rsid w:val="004E0FBF"/>
    <w:rsid w:val="004E249F"/>
    <w:rsid w:val="004E2663"/>
    <w:rsid w:val="004E3267"/>
    <w:rsid w:val="004E367D"/>
    <w:rsid w:val="004E3B69"/>
    <w:rsid w:val="004E3B8C"/>
    <w:rsid w:val="004E4353"/>
    <w:rsid w:val="004E43F0"/>
    <w:rsid w:val="004E4BBF"/>
    <w:rsid w:val="004E4DBF"/>
    <w:rsid w:val="004E511C"/>
    <w:rsid w:val="004E5737"/>
    <w:rsid w:val="004E5C1F"/>
    <w:rsid w:val="004E6448"/>
    <w:rsid w:val="004E6740"/>
    <w:rsid w:val="004E6861"/>
    <w:rsid w:val="004E68EB"/>
    <w:rsid w:val="004E6AD2"/>
    <w:rsid w:val="004E76B5"/>
    <w:rsid w:val="004E78C0"/>
    <w:rsid w:val="004E7D72"/>
    <w:rsid w:val="004E7F88"/>
    <w:rsid w:val="004F0765"/>
    <w:rsid w:val="004F1050"/>
    <w:rsid w:val="004F13D1"/>
    <w:rsid w:val="004F1686"/>
    <w:rsid w:val="004F1B67"/>
    <w:rsid w:val="004F1D8C"/>
    <w:rsid w:val="004F29D8"/>
    <w:rsid w:val="004F3105"/>
    <w:rsid w:val="004F3256"/>
    <w:rsid w:val="004F39D7"/>
    <w:rsid w:val="004F39F1"/>
    <w:rsid w:val="004F3A72"/>
    <w:rsid w:val="004F3F5F"/>
    <w:rsid w:val="004F4833"/>
    <w:rsid w:val="004F4890"/>
    <w:rsid w:val="004F4C4A"/>
    <w:rsid w:val="004F51E6"/>
    <w:rsid w:val="004F5DD8"/>
    <w:rsid w:val="004F612D"/>
    <w:rsid w:val="004F62B8"/>
    <w:rsid w:val="004F6872"/>
    <w:rsid w:val="004F6CEA"/>
    <w:rsid w:val="004F6F5C"/>
    <w:rsid w:val="004F70B6"/>
    <w:rsid w:val="004F7247"/>
    <w:rsid w:val="004F732B"/>
    <w:rsid w:val="004F7C14"/>
    <w:rsid w:val="004F7F91"/>
    <w:rsid w:val="0050035D"/>
    <w:rsid w:val="005005D6"/>
    <w:rsid w:val="0050070E"/>
    <w:rsid w:val="00501214"/>
    <w:rsid w:val="00501313"/>
    <w:rsid w:val="00501405"/>
    <w:rsid w:val="00501882"/>
    <w:rsid w:val="005039D3"/>
    <w:rsid w:val="00503A13"/>
    <w:rsid w:val="00504717"/>
    <w:rsid w:val="005047A4"/>
    <w:rsid w:val="00504926"/>
    <w:rsid w:val="00504A2D"/>
    <w:rsid w:val="00504AE7"/>
    <w:rsid w:val="00506454"/>
    <w:rsid w:val="00506543"/>
    <w:rsid w:val="005067B9"/>
    <w:rsid w:val="00506E59"/>
    <w:rsid w:val="00510508"/>
    <w:rsid w:val="00511718"/>
    <w:rsid w:val="0051197B"/>
    <w:rsid w:val="00511CAF"/>
    <w:rsid w:val="00511D91"/>
    <w:rsid w:val="005120FF"/>
    <w:rsid w:val="0051288D"/>
    <w:rsid w:val="00512B9C"/>
    <w:rsid w:val="00512CB5"/>
    <w:rsid w:val="00512E41"/>
    <w:rsid w:val="00512F2D"/>
    <w:rsid w:val="00513069"/>
    <w:rsid w:val="005134B7"/>
    <w:rsid w:val="00513567"/>
    <w:rsid w:val="0051417C"/>
    <w:rsid w:val="0051479A"/>
    <w:rsid w:val="00514AE0"/>
    <w:rsid w:val="0051535C"/>
    <w:rsid w:val="00515598"/>
    <w:rsid w:val="005156F8"/>
    <w:rsid w:val="0051583B"/>
    <w:rsid w:val="00515A23"/>
    <w:rsid w:val="00516569"/>
    <w:rsid w:val="00516807"/>
    <w:rsid w:val="00516CC6"/>
    <w:rsid w:val="00517B6D"/>
    <w:rsid w:val="00517C31"/>
    <w:rsid w:val="00517CB6"/>
    <w:rsid w:val="00520277"/>
    <w:rsid w:val="005211F0"/>
    <w:rsid w:val="00521370"/>
    <w:rsid w:val="005216A7"/>
    <w:rsid w:val="00521CF6"/>
    <w:rsid w:val="0052207D"/>
    <w:rsid w:val="005222BD"/>
    <w:rsid w:val="00522F49"/>
    <w:rsid w:val="00523254"/>
    <w:rsid w:val="00523715"/>
    <w:rsid w:val="005238C4"/>
    <w:rsid w:val="00523D7C"/>
    <w:rsid w:val="005244D9"/>
    <w:rsid w:val="005247B9"/>
    <w:rsid w:val="00524DDB"/>
    <w:rsid w:val="0052552E"/>
    <w:rsid w:val="00525848"/>
    <w:rsid w:val="005259D7"/>
    <w:rsid w:val="00526190"/>
    <w:rsid w:val="005267F9"/>
    <w:rsid w:val="00526A98"/>
    <w:rsid w:val="00527123"/>
    <w:rsid w:val="005272E0"/>
    <w:rsid w:val="00527553"/>
    <w:rsid w:val="005275CE"/>
    <w:rsid w:val="00527A1A"/>
    <w:rsid w:val="00527E38"/>
    <w:rsid w:val="005302C6"/>
    <w:rsid w:val="0053049E"/>
    <w:rsid w:val="00530BFD"/>
    <w:rsid w:val="0053176C"/>
    <w:rsid w:val="00531DE8"/>
    <w:rsid w:val="00532453"/>
    <w:rsid w:val="005325B8"/>
    <w:rsid w:val="005332B2"/>
    <w:rsid w:val="005332DC"/>
    <w:rsid w:val="005334B0"/>
    <w:rsid w:val="0053369C"/>
    <w:rsid w:val="00533C68"/>
    <w:rsid w:val="005340AD"/>
    <w:rsid w:val="0053493A"/>
    <w:rsid w:val="0053518E"/>
    <w:rsid w:val="00535B14"/>
    <w:rsid w:val="00535B36"/>
    <w:rsid w:val="00535B50"/>
    <w:rsid w:val="00536072"/>
    <w:rsid w:val="005362C9"/>
    <w:rsid w:val="00536A96"/>
    <w:rsid w:val="00537344"/>
    <w:rsid w:val="0053742F"/>
    <w:rsid w:val="005378D9"/>
    <w:rsid w:val="00537934"/>
    <w:rsid w:val="00537ED1"/>
    <w:rsid w:val="0054085B"/>
    <w:rsid w:val="0054095D"/>
    <w:rsid w:val="00540B64"/>
    <w:rsid w:val="00541206"/>
    <w:rsid w:val="005415D7"/>
    <w:rsid w:val="00541A79"/>
    <w:rsid w:val="00541AE1"/>
    <w:rsid w:val="005420C1"/>
    <w:rsid w:val="00542982"/>
    <w:rsid w:val="00543034"/>
    <w:rsid w:val="005434BA"/>
    <w:rsid w:val="00543523"/>
    <w:rsid w:val="00543826"/>
    <w:rsid w:val="00543A66"/>
    <w:rsid w:val="00543AEE"/>
    <w:rsid w:val="0054426A"/>
    <w:rsid w:val="005443B4"/>
    <w:rsid w:val="005443BC"/>
    <w:rsid w:val="005449A1"/>
    <w:rsid w:val="005449E2"/>
    <w:rsid w:val="00544E8C"/>
    <w:rsid w:val="005454A2"/>
    <w:rsid w:val="00545E4E"/>
    <w:rsid w:val="00545ED6"/>
    <w:rsid w:val="00546631"/>
    <w:rsid w:val="00546831"/>
    <w:rsid w:val="00546DBF"/>
    <w:rsid w:val="00546F9D"/>
    <w:rsid w:val="005475A4"/>
    <w:rsid w:val="00547840"/>
    <w:rsid w:val="00547A6C"/>
    <w:rsid w:val="00547E97"/>
    <w:rsid w:val="00550150"/>
    <w:rsid w:val="005508AC"/>
    <w:rsid w:val="00550D1C"/>
    <w:rsid w:val="005519A9"/>
    <w:rsid w:val="00551CE0"/>
    <w:rsid w:val="00553068"/>
    <w:rsid w:val="005532A0"/>
    <w:rsid w:val="00553486"/>
    <w:rsid w:val="005538C2"/>
    <w:rsid w:val="00553FD7"/>
    <w:rsid w:val="005545CA"/>
    <w:rsid w:val="00554E9E"/>
    <w:rsid w:val="00555258"/>
    <w:rsid w:val="00555828"/>
    <w:rsid w:val="00555A44"/>
    <w:rsid w:val="005568C4"/>
    <w:rsid w:val="00556C7F"/>
    <w:rsid w:val="00556DA6"/>
    <w:rsid w:val="0055715D"/>
    <w:rsid w:val="00557197"/>
    <w:rsid w:val="005573BE"/>
    <w:rsid w:val="00557777"/>
    <w:rsid w:val="00557A4B"/>
    <w:rsid w:val="005600B5"/>
    <w:rsid w:val="00560179"/>
    <w:rsid w:val="005608BC"/>
    <w:rsid w:val="005608DC"/>
    <w:rsid w:val="00560FFD"/>
    <w:rsid w:val="0056198E"/>
    <w:rsid w:val="00561A77"/>
    <w:rsid w:val="005622E2"/>
    <w:rsid w:val="00563500"/>
    <w:rsid w:val="00563646"/>
    <w:rsid w:val="00563A22"/>
    <w:rsid w:val="00563BB0"/>
    <w:rsid w:val="00563C3E"/>
    <w:rsid w:val="00563E54"/>
    <w:rsid w:val="00563F5B"/>
    <w:rsid w:val="005644DB"/>
    <w:rsid w:val="00564868"/>
    <w:rsid w:val="00564ACC"/>
    <w:rsid w:val="00564C6D"/>
    <w:rsid w:val="00564DB0"/>
    <w:rsid w:val="00565420"/>
    <w:rsid w:val="00565BCC"/>
    <w:rsid w:val="00565D84"/>
    <w:rsid w:val="00565F56"/>
    <w:rsid w:val="00566093"/>
    <w:rsid w:val="0056645E"/>
    <w:rsid w:val="00566936"/>
    <w:rsid w:val="00566D7B"/>
    <w:rsid w:val="005679D9"/>
    <w:rsid w:val="00567AC1"/>
    <w:rsid w:val="00570160"/>
    <w:rsid w:val="00570627"/>
    <w:rsid w:val="00570E01"/>
    <w:rsid w:val="00571A24"/>
    <w:rsid w:val="00572829"/>
    <w:rsid w:val="00573625"/>
    <w:rsid w:val="00573680"/>
    <w:rsid w:val="00573AB2"/>
    <w:rsid w:val="00574344"/>
    <w:rsid w:val="00574CFF"/>
    <w:rsid w:val="005752D8"/>
    <w:rsid w:val="005757EC"/>
    <w:rsid w:val="00575C62"/>
    <w:rsid w:val="0057603F"/>
    <w:rsid w:val="005762AE"/>
    <w:rsid w:val="00576500"/>
    <w:rsid w:val="00576680"/>
    <w:rsid w:val="00576A56"/>
    <w:rsid w:val="00576E4E"/>
    <w:rsid w:val="00576F18"/>
    <w:rsid w:val="00576FFF"/>
    <w:rsid w:val="00577310"/>
    <w:rsid w:val="005774C8"/>
    <w:rsid w:val="0058026B"/>
    <w:rsid w:val="0058052B"/>
    <w:rsid w:val="0058086B"/>
    <w:rsid w:val="005809E9"/>
    <w:rsid w:val="00580E96"/>
    <w:rsid w:val="00581A5B"/>
    <w:rsid w:val="00581A8A"/>
    <w:rsid w:val="00581E79"/>
    <w:rsid w:val="00581F75"/>
    <w:rsid w:val="00582171"/>
    <w:rsid w:val="00582182"/>
    <w:rsid w:val="00582B67"/>
    <w:rsid w:val="00582BDB"/>
    <w:rsid w:val="005832D4"/>
    <w:rsid w:val="00583444"/>
    <w:rsid w:val="005835D7"/>
    <w:rsid w:val="00583876"/>
    <w:rsid w:val="00583FFA"/>
    <w:rsid w:val="005842C1"/>
    <w:rsid w:val="0058431C"/>
    <w:rsid w:val="0058435B"/>
    <w:rsid w:val="005845A3"/>
    <w:rsid w:val="0058463C"/>
    <w:rsid w:val="00584EBF"/>
    <w:rsid w:val="00585059"/>
    <w:rsid w:val="0058505A"/>
    <w:rsid w:val="0058510D"/>
    <w:rsid w:val="005854BA"/>
    <w:rsid w:val="005857C4"/>
    <w:rsid w:val="00585CC1"/>
    <w:rsid w:val="0058636A"/>
    <w:rsid w:val="0058761C"/>
    <w:rsid w:val="0058770F"/>
    <w:rsid w:val="00587E58"/>
    <w:rsid w:val="0059064A"/>
    <w:rsid w:val="005906C9"/>
    <w:rsid w:val="005907BA"/>
    <w:rsid w:val="00590A29"/>
    <w:rsid w:val="005919FD"/>
    <w:rsid w:val="00591D3A"/>
    <w:rsid w:val="005924EE"/>
    <w:rsid w:val="005927F7"/>
    <w:rsid w:val="005932DC"/>
    <w:rsid w:val="00593440"/>
    <w:rsid w:val="0059374F"/>
    <w:rsid w:val="0059385A"/>
    <w:rsid w:val="00593A00"/>
    <w:rsid w:val="00594622"/>
    <w:rsid w:val="00594821"/>
    <w:rsid w:val="0059499B"/>
    <w:rsid w:val="005949BA"/>
    <w:rsid w:val="0059542A"/>
    <w:rsid w:val="0059580F"/>
    <w:rsid w:val="0059598D"/>
    <w:rsid w:val="00596757"/>
    <w:rsid w:val="00596D00"/>
    <w:rsid w:val="0059760D"/>
    <w:rsid w:val="005979F3"/>
    <w:rsid w:val="00597B40"/>
    <w:rsid w:val="00597BBC"/>
    <w:rsid w:val="005A0827"/>
    <w:rsid w:val="005A18A5"/>
    <w:rsid w:val="005A19F3"/>
    <w:rsid w:val="005A1F99"/>
    <w:rsid w:val="005A2408"/>
    <w:rsid w:val="005A26D3"/>
    <w:rsid w:val="005A2807"/>
    <w:rsid w:val="005A3F41"/>
    <w:rsid w:val="005A4451"/>
    <w:rsid w:val="005A5CDC"/>
    <w:rsid w:val="005A5D6B"/>
    <w:rsid w:val="005A5F24"/>
    <w:rsid w:val="005A5FF3"/>
    <w:rsid w:val="005A6874"/>
    <w:rsid w:val="005A6A2C"/>
    <w:rsid w:val="005A7A92"/>
    <w:rsid w:val="005B0217"/>
    <w:rsid w:val="005B02C4"/>
    <w:rsid w:val="005B04C5"/>
    <w:rsid w:val="005B0A42"/>
    <w:rsid w:val="005B0C59"/>
    <w:rsid w:val="005B1004"/>
    <w:rsid w:val="005B1636"/>
    <w:rsid w:val="005B164A"/>
    <w:rsid w:val="005B1713"/>
    <w:rsid w:val="005B17F7"/>
    <w:rsid w:val="005B1AE4"/>
    <w:rsid w:val="005B2A7B"/>
    <w:rsid w:val="005B2DAA"/>
    <w:rsid w:val="005B2F94"/>
    <w:rsid w:val="005B3478"/>
    <w:rsid w:val="005B3967"/>
    <w:rsid w:val="005B3DA4"/>
    <w:rsid w:val="005B3F68"/>
    <w:rsid w:val="005B4406"/>
    <w:rsid w:val="005B4C55"/>
    <w:rsid w:val="005B4DC7"/>
    <w:rsid w:val="005B51AE"/>
    <w:rsid w:val="005B5A35"/>
    <w:rsid w:val="005B5CA3"/>
    <w:rsid w:val="005B5D75"/>
    <w:rsid w:val="005B604E"/>
    <w:rsid w:val="005B681F"/>
    <w:rsid w:val="005B7111"/>
    <w:rsid w:val="005B71AA"/>
    <w:rsid w:val="005B71FD"/>
    <w:rsid w:val="005B776F"/>
    <w:rsid w:val="005B7D3D"/>
    <w:rsid w:val="005B7D83"/>
    <w:rsid w:val="005C019C"/>
    <w:rsid w:val="005C0299"/>
    <w:rsid w:val="005C0748"/>
    <w:rsid w:val="005C0E05"/>
    <w:rsid w:val="005C1514"/>
    <w:rsid w:val="005C173C"/>
    <w:rsid w:val="005C1E5E"/>
    <w:rsid w:val="005C22E6"/>
    <w:rsid w:val="005C24B7"/>
    <w:rsid w:val="005C309E"/>
    <w:rsid w:val="005C36EC"/>
    <w:rsid w:val="005C375F"/>
    <w:rsid w:val="005C3835"/>
    <w:rsid w:val="005C3C0A"/>
    <w:rsid w:val="005C44AB"/>
    <w:rsid w:val="005C451F"/>
    <w:rsid w:val="005C473E"/>
    <w:rsid w:val="005C4FB2"/>
    <w:rsid w:val="005C5F81"/>
    <w:rsid w:val="005C626E"/>
    <w:rsid w:val="005C627B"/>
    <w:rsid w:val="005C6D9A"/>
    <w:rsid w:val="005C6F04"/>
    <w:rsid w:val="005C71F5"/>
    <w:rsid w:val="005C75C0"/>
    <w:rsid w:val="005C794D"/>
    <w:rsid w:val="005C7952"/>
    <w:rsid w:val="005C7B2B"/>
    <w:rsid w:val="005C7C56"/>
    <w:rsid w:val="005D01C4"/>
    <w:rsid w:val="005D0642"/>
    <w:rsid w:val="005D0772"/>
    <w:rsid w:val="005D0CC6"/>
    <w:rsid w:val="005D0F23"/>
    <w:rsid w:val="005D1F72"/>
    <w:rsid w:val="005D202F"/>
    <w:rsid w:val="005D295F"/>
    <w:rsid w:val="005D2B10"/>
    <w:rsid w:val="005D3122"/>
    <w:rsid w:val="005D3265"/>
    <w:rsid w:val="005D3405"/>
    <w:rsid w:val="005D3709"/>
    <w:rsid w:val="005D3731"/>
    <w:rsid w:val="005D3939"/>
    <w:rsid w:val="005D3B2C"/>
    <w:rsid w:val="005D3B71"/>
    <w:rsid w:val="005D3D6F"/>
    <w:rsid w:val="005D3F88"/>
    <w:rsid w:val="005D42EC"/>
    <w:rsid w:val="005D43E7"/>
    <w:rsid w:val="005D481A"/>
    <w:rsid w:val="005D4C8B"/>
    <w:rsid w:val="005D567B"/>
    <w:rsid w:val="005D6629"/>
    <w:rsid w:val="005D6653"/>
    <w:rsid w:val="005D6985"/>
    <w:rsid w:val="005D769F"/>
    <w:rsid w:val="005E01A6"/>
    <w:rsid w:val="005E02C7"/>
    <w:rsid w:val="005E03F8"/>
    <w:rsid w:val="005E063B"/>
    <w:rsid w:val="005E0912"/>
    <w:rsid w:val="005E0A55"/>
    <w:rsid w:val="005E0BE4"/>
    <w:rsid w:val="005E0EC6"/>
    <w:rsid w:val="005E1345"/>
    <w:rsid w:val="005E1384"/>
    <w:rsid w:val="005E17EF"/>
    <w:rsid w:val="005E1898"/>
    <w:rsid w:val="005E18FC"/>
    <w:rsid w:val="005E1F93"/>
    <w:rsid w:val="005E2494"/>
    <w:rsid w:val="005E303D"/>
    <w:rsid w:val="005E36C5"/>
    <w:rsid w:val="005E3812"/>
    <w:rsid w:val="005E38CE"/>
    <w:rsid w:val="005E3E24"/>
    <w:rsid w:val="005E41F2"/>
    <w:rsid w:val="005E467B"/>
    <w:rsid w:val="005E500C"/>
    <w:rsid w:val="005E50C4"/>
    <w:rsid w:val="005E5AFD"/>
    <w:rsid w:val="005E5D34"/>
    <w:rsid w:val="005E5FA3"/>
    <w:rsid w:val="005E6149"/>
    <w:rsid w:val="005E6342"/>
    <w:rsid w:val="005E6D9B"/>
    <w:rsid w:val="005E6EB2"/>
    <w:rsid w:val="005E75DE"/>
    <w:rsid w:val="005E7745"/>
    <w:rsid w:val="005F044E"/>
    <w:rsid w:val="005F06E7"/>
    <w:rsid w:val="005F0752"/>
    <w:rsid w:val="005F0B45"/>
    <w:rsid w:val="005F199F"/>
    <w:rsid w:val="005F1A4A"/>
    <w:rsid w:val="005F1B04"/>
    <w:rsid w:val="005F1D4F"/>
    <w:rsid w:val="005F39E3"/>
    <w:rsid w:val="005F3AC2"/>
    <w:rsid w:val="005F3B53"/>
    <w:rsid w:val="005F4426"/>
    <w:rsid w:val="005F4623"/>
    <w:rsid w:val="005F4B9A"/>
    <w:rsid w:val="005F4DCA"/>
    <w:rsid w:val="005F4EA4"/>
    <w:rsid w:val="005F51F1"/>
    <w:rsid w:val="005F5AC0"/>
    <w:rsid w:val="005F5F88"/>
    <w:rsid w:val="005F6134"/>
    <w:rsid w:val="005F6291"/>
    <w:rsid w:val="005F63B0"/>
    <w:rsid w:val="005F6FE5"/>
    <w:rsid w:val="005F7009"/>
    <w:rsid w:val="005F73A8"/>
    <w:rsid w:val="005F78A1"/>
    <w:rsid w:val="005F7971"/>
    <w:rsid w:val="005F7E70"/>
    <w:rsid w:val="005F7F50"/>
    <w:rsid w:val="0060020C"/>
    <w:rsid w:val="0060031E"/>
    <w:rsid w:val="00600BE7"/>
    <w:rsid w:val="006017F0"/>
    <w:rsid w:val="0060190E"/>
    <w:rsid w:val="00601E19"/>
    <w:rsid w:val="00602018"/>
    <w:rsid w:val="00602478"/>
    <w:rsid w:val="006024A7"/>
    <w:rsid w:val="006028BC"/>
    <w:rsid w:val="00602CCA"/>
    <w:rsid w:val="006034C8"/>
    <w:rsid w:val="00603ADF"/>
    <w:rsid w:val="00603CC9"/>
    <w:rsid w:val="0060442F"/>
    <w:rsid w:val="00604F00"/>
    <w:rsid w:val="0060556D"/>
    <w:rsid w:val="006056F0"/>
    <w:rsid w:val="00606857"/>
    <w:rsid w:val="00606993"/>
    <w:rsid w:val="00606C4F"/>
    <w:rsid w:val="00606D4E"/>
    <w:rsid w:val="00606E17"/>
    <w:rsid w:val="006070EC"/>
    <w:rsid w:val="00607784"/>
    <w:rsid w:val="006103A8"/>
    <w:rsid w:val="00610924"/>
    <w:rsid w:val="0061171B"/>
    <w:rsid w:val="00611750"/>
    <w:rsid w:val="006117A2"/>
    <w:rsid w:val="00612C6C"/>
    <w:rsid w:val="0061314E"/>
    <w:rsid w:val="00613260"/>
    <w:rsid w:val="00613A0A"/>
    <w:rsid w:val="00613B93"/>
    <w:rsid w:val="00613BDD"/>
    <w:rsid w:val="0061419D"/>
    <w:rsid w:val="006144B3"/>
    <w:rsid w:val="00614681"/>
    <w:rsid w:val="0061468E"/>
    <w:rsid w:val="00614FC3"/>
    <w:rsid w:val="006159BC"/>
    <w:rsid w:val="00615C92"/>
    <w:rsid w:val="00615FB5"/>
    <w:rsid w:val="00615FCD"/>
    <w:rsid w:val="006160AE"/>
    <w:rsid w:val="0061644E"/>
    <w:rsid w:val="0061669C"/>
    <w:rsid w:val="00616C67"/>
    <w:rsid w:val="00617145"/>
    <w:rsid w:val="0061743D"/>
    <w:rsid w:val="0061777A"/>
    <w:rsid w:val="0061785B"/>
    <w:rsid w:val="00617A20"/>
    <w:rsid w:val="0062061F"/>
    <w:rsid w:val="00620844"/>
    <w:rsid w:val="006209C8"/>
    <w:rsid w:val="00620AF3"/>
    <w:rsid w:val="006219B2"/>
    <w:rsid w:val="00621CA1"/>
    <w:rsid w:val="00622CC6"/>
    <w:rsid w:val="006234A2"/>
    <w:rsid w:val="00623639"/>
    <w:rsid w:val="00624121"/>
    <w:rsid w:val="006241CF"/>
    <w:rsid w:val="00625121"/>
    <w:rsid w:val="006259CD"/>
    <w:rsid w:val="00625AB0"/>
    <w:rsid w:val="00625B09"/>
    <w:rsid w:val="00626342"/>
    <w:rsid w:val="006269BE"/>
    <w:rsid w:val="00626A59"/>
    <w:rsid w:val="00626EF9"/>
    <w:rsid w:val="00627452"/>
    <w:rsid w:val="006274B1"/>
    <w:rsid w:val="0062757A"/>
    <w:rsid w:val="00627911"/>
    <w:rsid w:val="006302BD"/>
    <w:rsid w:val="006303D6"/>
    <w:rsid w:val="006303F0"/>
    <w:rsid w:val="00630651"/>
    <w:rsid w:val="006311B7"/>
    <w:rsid w:val="006314CF"/>
    <w:rsid w:val="006317BE"/>
    <w:rsid w:val="00631924"/>
    <w:rsid w:val="00631930"/>
    <w:rsid w:val="0063219D"/>
    <w:rsid w:val="006322C1"/>
    <w:rsid w:val="0063264C"/>
    <w:rsid w:val="00632B86"/>
    <w:rsid w:val="0063330E"/>
    <w:rsid w:val="00633723"/>
    <w:rsid w:val="0063379F"/>
    <w:rsid w:val="00633CAF"/>
    <w:rsid w:val="00634210"/>
    <w:rsid w:val="00634FE5"/>
    <w:rsid w:val="00635B7F"/>
    <w:rsid w:val="00635C5C"/>
    <w:rsid w:val="00636003"/>
    <w:rsid w:val="00636AF0"/>
    <w:rsid w:val="00636B03"/>
    <w:rsid w:val="00636BDD"/>
    <w:rsid w:val="00636FAC"/>
    <w:rsid w:val="00637149"/>
    <w:rsid w:val="006401A0"/>
    <w:rsid w:val="00640456"/>
    <w:rsid w:val="006404BD"/>
    <w:rsid w:val="0064070C"/>
    <w:rsid w:val="00640771"/>
    <w:rsid w:val="006422BB"/>
    <w:rsid w:val="00642B99"/>
    <w:rsid w:val="00642E60"/>
    <w:rsid w:val="00642FCA"/>
    <w:rsid w:val="0064336B"/>
    <w:rsid w:val="006441B9"/>
    <w:rsid w:val="006441FE"/>
    <w:rsid w:val="00644486"/>
    <w:rsid w:val="0064493B"/>
    <w:rsid w:val="006449AB"/>
    <w:rsid w:val="0064522D"/>
    <w:rsid w:val="0064597A"/>
    <w:rsid w:val="00645A1B"/>
    <w:rsid w:val="00645B7A"/>
    <w:rsid w:val="0064664E"/>
    <w:rsid w:val="0064667E"/>
    <w:rsid w:val="00646EA6"/>
    <w:rsid w:val="0064705F"/>
    <w:rsid w:val="0064716A"/>
    <w:rsid w:val="00647EBF"/>
    <w:rsid w:val="00650D19"/>
    <w:rsid w:val="00650D80"/>
    <w:rsid w:val="00650FB3"/>
    <w:rsid w:val="00651218"/>
    <w:rsid w:val="006516F0"/>
    <w:rsid w:val="00652169"/>
    <w:rsid w:val="0065227B"/>
    <w:rsid w:val="00652483"/>
    <w:rsid w:val="006527D9"/>
    <w:rsid w:val="006528F6"/>
    <w:rsid w:val="00652CB3"/>
    <w:rsid w:val="00652E1D"/>
    <w:rsid w:val="00653731"/>
    <w:rsid w:val="00653E1C"/>
    <w:rsid w:val="006541A9"/>
    <w:rsid w:val="00654F65"/>
    <w:rsid w:val="0065524A"/>
    <w:rsid w:val="0065544E"/>
    <w:rsid w:val="00655DBA"/>
    <w:rsid w:val="00656314"/>
    <w:rsid w:val="0065689B"/>
    <w:rsid w:val="006568EE"/>
    <w:rsid w:val="0065737F"/>
    <w:rsid w:val="006576AB"/>
    <w:rsid w:val="006603B0"/>
    <w:rsid w:val="00660F1B"/>
    <w:rsid w:val="00661806"/>
    <w:rsid w:val="006619C3"/>
    <w:rsid w:val="00661BB0"/>
    <w:rsid w:val="00661DE4"/>
    <w:rsid w:val="0066207D"/>
    <w:rsid w:val="00662856"/>
    <w:rsid w:val="00662CD1"/>
    <w:rsid w:val="00662CD6"/>
    <w:rsid w:val="00662F16"/>
    <w:rsid w:val="00663737"/>
    <w:rsid w:val="0066493E"/>
    <w:rsid w:val="00664C0E"/>
    <w:rsid w:val="00664C14"/>
    <w:rsid w:val="00665EA9"/>
    <w:rsid w:val="00665EC3"/>
    <w:rsid w:val="00666598"/>
    <w:rsid w:val="006669CF"/>
    <w:rsid w:val="00666D3A"/>
    <w:rsid w:val="00666EDF"/>
    <w:rsid w:val="006670AF"/>
    <w:rsid w:val="00667A09"/>
    <w:rsid w:val="00667CF5"/>
    <w:rsid w:val="00667D8C"/>
    <w:rsid w:val="00667E77"/>
    <w:rsid w:val="00670D20"/>
    <w:rsid w:val="00671560"/>
    <w:rsid w:val="006715F9"/>
    <w:rsid w:val="0067183A"/>
    <w:rsid w:val="00671BD7"/>
    <w:rsid w:val="00671C8A"/>
    <w:rsid w:val="00671EBA"/>
    <w:rsid w:val="00672152"/>
    <w:rsid w:val="0067242B"/>
    <w:rsid w:val="00673236"/>
    <w:rsid w:val="0067362C"/>
    <w:rsid w:val="00673A78"/>
    <w:rsid w:val="00673D52"/>
    <w:rsid w:val="00674208"/>
    <w:rsid w:val="00674D3C"/>
    <w:rsid w:val="006750E5"/>
    <w:rsid w:val="00675919"/>
    <w:rsid w:val="00675EC2"/>
    <w:rsid w:val="006761F6"/>
    <w:rsid w:val="0067641D"/>
    <w:rsid w:val="0067657B"/>
    <w:rsid w:val="0067682B"/>
    <w:rsid w:val="00676C07"/>
    <w:rsid w:val="00676E92"/>
    <w:rsid w:val="00676FA8"/>
    <w:rsid w:val="00677515"/>
    <w:rsid w:val="00677A89"/>
    <w:rsid w:val="00677F40"/>
    <w:rsid w:val="006800DC"/>
    <w:rsid w:val="0068024F"/>
    <w:rsid w:val="006806C6"/>
    <w:rsid w:val="0068080E"/>
    <w:rsid w:val="006814DF"/>
    <w:rsid w:val="0068168B"/>
    <w:rsid w:val="00681BE7"/>
    <w:rsid w:val="00681C30"/>
    <w:rsid w:val="00681EE5"/>
    <w:rsid w:val="00681EF8"/>
    <w:rsid w:val="00682704"/>
    <w:rsid w:val="00682AA6"/>
    <w:rsid w:val="00682BC1"/>
    <w:rsid w:val="00682BD2"/>
    <w:rsid w:val="00682E2C"/>
    <w:rsid w:val="0068321E"/>
    <w:rsid w:val="006833FA"/>
    <w:rsid w:val="006837DF"/>
    <w:rsid w:val="00683909"/>
    <w:rsid w:val="00683F41"/>
    <w:rsid w:val="00684315"/>
    <w:rsid w:val="006847EC"/>
    <w:rsid w:val="00684BF3"/>
    <w:rsid w:val="00684DBD"/>
    <w:rsid w:val="00685770"/>
    <w:rsid w:val="006867AF"/>
    <w:rsid w:val="0068681C"/>
    <w:rsid w:val="00686CA7"/>
    <w:rsid w:val="00686DC2"/>
    <w:rsid w:val="0068753A"/>
    <w:rsid w:val="00687824"/>
    <w:rsid w:val="00690447"/>
    <w:rsid w:val="00690A7D"/>
    <w:rsid w:val="00690AFE"/>
    <w:rsid w:val="006910D4"/>
    <w:rsid w:val="006914FB"/>
    <w:rsid w:val="006918C5"/>
    <w:rsid w:val="00691E19"/>
    <w:rsid w:val="00691FF7"/>
    <w:rsid w:val="006928B4"/>
    <w:rsid w:val="006931D2"/>
    <w:rsid w:val="00693438"/>
    <w:rsid w:val="0069381A"/>
    <w:rsid w:val="00693BDB"/>
    <w:rsid w:val="00694080"/>
    <w:rsid w:val="00694CEF"/>
    <w:rsid w:val="0069505A"/>
    <w:rsid w:val="0069568E"/>
    <w:rsid w:val="00695767"/>
    <w:rsid w:val="0069586F"/>
    <w:rsid w:val="00695ADB"/>
    <w:rsid w:val="00695EC9"/>
    <w:rsid w:val="0069610D"/>
    <w:rsid w:val="00696197"/>
    <w:rsid w:val="0069663C"/>
    <w:rsid w:val="00697346"/>
    <w:rsid w:val="006977CC"/>
    <w:rsid w:val="00697CAA"/>
    <w:rsid w:val="006A0045"/>
    <w:rsid w:val="006A00EB"/>
    <w:rsid w:val="006A063B"/>
    <w:rsid w:val="006A0BF6"/>
    <w:rsid w:val="006A185D"/>
    <w:rsid w:val="006A1DA0"/>
    <w:rsid w:val="006A1EC0"/>
    <w:rsid w:val="006A2718"/>
    <w:rsid w:val="006A2A40"/>
    <w:rsid w:val="006A34F2"/>
    <w:rsid w:val="006A36DF"/>
    <w:rsid w:val="006A4377"/>
    <w:rsid w:val="006A4987"/>
    <w:rsid w:val="006A558A"/>
    <w:rsid w:val="006A5596"/>
    <w:rsid w:val="006A6120"/>
    <w:rsid w:val="006A67FE"/>
    <w:rsid w:val="006A6A9E"/>
    <w:rsid w:val="006A6C9F"/>
    <w:rsid w:val="006A73CF"/>
    <w:rsid w:val="006A75C2"/>
    <w:rsid w:val="006A777E"/>
    <w:rsid w:val="006B0581"/>
    <w:rsid w:val="006B0729"/>
    <w:rsid w:val="006B18D7"/>
    <w:rsid w:val="006B25CF"/>
    <w:rsid w:val="006B2D6C"/>
    <w:rsid w:val="006B2DAD"/>
    <w:rsid w:val="006B317B"/>
    <w:rsid w:val="006B34FC"/>
    <w:rsid w:val="006B39D6"/>
    <w:rsid w:val="006B3DB2"/>
    <w:rsid w:val="006B3F2C"/>
    <w:rsid w:val="006B4192"/>
    <w:rsid w:val="006B4410"/>
    <w:rsid w:val="006B447E"/>
    <w:rsid w:val="006B4512"/>
    <w:rsid w:val="006B4795"/>
    <w:rsid w:val="006B5502"/>
    <w:rsid w:val="006B56F5"/>
    <w:rsid w:val="006B577B"/>
    <w:rsid w:val="006B59E8"/>
    <w:rsid w:val="006B5A15"/>
    <w:rsid w:val="006B5C5A"/>
    <w:rsid w:val="006B5E92"/>
    <w:rsid w:val="006B6D09"/>
    <w:rsid w:val="006B765E"/>
    <w:rsid w:val="006B7B70"/>
    <w:rsid w:val="006C20CD"/>
    <w:rsid w:val="006C251C"/>
    <w:rsid w:val="006C2701"/>
    <w:rsid w:val="006C2F8E"/>
    <w:rsid w:val="006C3111"/>
    <w:rsid w:val="006C3588"/>
    <w:rsid w:val="006C385A"/>
    <w:rsid w:val="006C3AF2"/>
    <w:rsid w:val="006C43A0"/>
    <w:rsid w:val="006C567B"/>
    <w:rsid w:val="006C5811"/>
    <w:rsid w:val="006C583E"/>
    <w:rsid w:val="006C5928"/>
    <w:rsid w:val="006C5BEC"/>
    <w:rsid w:val="006C5C27"/>
    <w:rsid w:val="006C6105"/>
    <w:rsid w:val="006C6AB3"/>
    <w:rsid w:val="006C6DE8"/>
    <w:rsid w:val="006C7C80"/>
    <w:rsid w:val="006C7C92"/>
    <w:rsid w:val="006C7D5C"/>
    <w:rsid w:val="006D07E5"/>
    <w:rsid w:val="006D0C43"/>
    <w:rsid w:val="006D0E10"/>
    <w:rsid w:val="006D1357"/>
    <w:rsid w:val="006D14D3"/>
    <w:rsid w:val="006D1687"/>
    <w:rsid w:val="006D1ABD"/>
    <w:rsid w:val="006D1B29"/>
    <w:rsid w:val="006D239C"/>
    <w:rsid w:val="006D26FA"/>
    <w:rsid w:val="006D2887"/>
    <w:rsid w:val="006D28DE"/>
    <w:rsid w:val="006D2EA4"/>
    <w:rsid w:val="006D2F91"/>
    <w:rsid w:val="006D30B5"/>
    <w:rsid w:val="006D376D"/>
    <w:rsid w:val="006D3F6C"/>
    <w:rsid w:val="006D4432"/>
    <w:rsid w:val="006D4A38"/>
    <w:rsid w:val="006D4FA3"/>
    <w:rsid w:val="006D5F31"/>
    <w:rsid w:val="006D61BF"/>
    <w:rsid w:val="006D6C4A"/>
    <w:rsid w:val="006D71D2"/>
    <w:rsid w:val="006D7D9A"/>
    <w:rsid w:val="006E07AA"/>
    <w:rsid w:val="006E0D01"/>
    <w:rsid w:val="006E0D96"/>
    <w:rsid w:val="006E0DBA"/>
    <w:rsid w:val="006E1592"/>
    <w:rsid w:val="006E1A44"/>
    <w:rsid w:val="006E1F0C"/>
    <w:rsid w:val="006E261C"/>
    <w:rsid w:val="006E2AB7"/>
    <w:rsid w:val="006E2D36"/>
    <w:rsid w:val="006E2E64"/>
    <w:rsid w:val="006E3113"/>
    <w:rsid w:val="006E3273"/>
    <w:rsid w:val="006E3645"/>
    <w:rsid w:val="006E37B9"/>
    <w:rsid w:val="006E3892"/>
    <w:rsid w:val="006E3B7D"/>
    <w:rsid w:val="006E408B"/>
    <w:rsid w:val="006E438E"/>
    <w:rsid w:val="006E4634"/>
    <w:rsid w:val="006E48FB"/>
    <w:rsid w:val="006E4A39"/>
    <w:rsid w:val="006E52C7"/>
    <w:rsid w:val="006E5303"/>
    <w:rsid w:val="006E5989"/>
    <w:rsid w:val="006E653C"/>
    <w:rsid w:val="006E6770"/>
    <w:rsid w:val="006E69A6"/>
    <w:rsid w:val="006E70D5"/>
    <w:rsid w:val="006E725C"/>
    <w:rsid w:val="006E7EF5"/>
    <w:rsid w:val="006F00BE"/>
    <w:rsid w:val="006F0924"/>
    <w:rsid w:val="006F0D7D"/>
    <w:rsid w:val="006F0EB4"/>
    <w:rsid w:val="006F13F2"/>
    <w:rsid w:val="006F15BB"/>
    <w:rsid w:val="006F1EAD"/>
    <w:rsid w:val="006F1EC8"/>
    <w:rsid w:val="006F2532"/>
    <w:rsid w:val="006F28DD"/>
    <w:rsid w:val="006F2BF2"/>
    <w:rsid w:val="006F2CF6"/>
    <w:rsid w:val="006F2EED"/>
    <w:rsid w:val="006F34AC"/>
    <w:rsid w:val="006F40EA"/>
    <w:rsid w:val="006F47A1"/>
    <w:rsid w:val="006F5466"/>
    <w:rsid w:val="006F5F2F"/>
    <w:rsid w:val="006F608B"/>
    <w:rsid w:val="006F6199"/>
    <w:rsid w:val="006F62C5"/>
    <w:rsid w:val="006F681D"/>
    <w:rsid w:val="006F688A"/>
    <w:rsid w:val="006F6D68"/>
    <w:rsid w:val="006F7155"/>
    <w:rsid w:val="007000C0"/>
    <w:rsid w:val="00700597"/>
    <w:rsid w:val="00700C92"/>
    <w:rsid w:val="00700F19"/>
    <w:rsid w:val="007011BA"/>
    <w:rsid w:val="007016EB"/>
    <w:rsid w:val="0070259E"/>
    <w:rsid w:val="00702946"/>
    <w:rsid w:val="0070310B"/>
    <w:rsid w:val="00703794"/>
    <w:rsid w:val="00703AD6"/>
    <w:rsid w:val="00704156"/>
    <w:rsid w:val="00704385"/>
    <w:rsid w:val="0070442E"/>
    <w:rsid w:val="007048C2"/>
    <w:rsid w:val="007049E0"/>
    <w:rsid w:val="00704D69"/>
    <w:rsid w:val="007051E6"/>
    <w:rsid w:val="00705636"/>
    <w:rsid w:val="00705698"/>
    <w:rsid w:val="0070589D"/>
    <w:rsid w:val="00705B67"/>
    <w:rsid w:val="00705EBB"/>
    <w:rsid w:val="00706988"/>
    <w:rsid w:val="00706B25"/>
    <w:rsid w:val="00706C91"/>
    <w:rsid w:val="00706D07"/>
    <w:rsid w:val="00707141"/>
    <w:rsid w:val="0070743B"/>
    <w:rsid w:val="00707933"/>
    <w:rsid w:val="007104A9"/>
    <w:rsid w:val="00710568"/>
    <w:rsid w:val="0071068C"/>
    <w:rsid w:val="00710718"/>
    <w:rsid w:val="007113E1"/>
    <w:rsid w:val="00711571"/>
    <w:rsid w:val="007116A7"/>
    <w:rsid w:val="0071183D"/>
    <w:rsid w:val="00712382"/>
    <w:rsid w:val="00712B73"/>
    <w:rsid w:val="0071336D"/>
    <w:rsid w:val="007136AF"/>
    <w:rsid w:val="00713719"/>
    <w:rsid w:val="00713D25"/>
    <w:rsid w:val="00713E3B"/>
    <w:rsid w:val="00713EA9"/>
    <w:rsid w:val="00714284"/>
    <w:rsid w:val="00714348"/>
    <w:rsid w:val="00714882"/>
    <w:rsid w:val="00714EAC"/>
    <w:rsid w:val="007151F1"/>
    <w:rsid w:val="007157FD"/>
    <w:rsid w:val="007159A2"/>
    <w:rsid w:val="00715D6A"/>
    <w:rsid w:val="00715E55"/>
    <w:rsid w:val="007160D1"/>
    <w:rsid w:val="00716225"/>
    <w:rsid w:val="00716368"/>
    <w:rsid w:val="007164AC"/>
    <w:rsid w:val="00716A80"/>
    <w:rsid w:val="00716CE5"/>
    <w:rsid w:val="007174C9"/>
    <w:rsid w:val="00717CD0"/>
    <w:rsid w:val="00720330"/>
    <w:rsid w:val="00720675"/>
    <w:rsid w:val="00720D91"/>
    <w:rsid w:val="00720DD8"/>
    <w:rsid w:val="007210C0"/>
    <w:rsid w:val="0072126C"/>
    <w:rsid w:val="0072346B"/>
    <w:rsid w:val="0072386A"/>
    <w:rsid w:val="0072391E"/>
    <w:rsid w:val="007240AE"/>
    <w:rsid w:val="00724ECA"/>
    <w:rsid w:val="007250CC"/>
    <w:rsid w:val="00725210"/>
    <w:rsid w:val="007255F8"/>
    <w:rsid w:val="0072573B"/>
    <w:rsid w:val="0072575C"/>
    <w:rsid w:val="007257CF"/>
    <w:rsid w:val="00725B54"/>
    <w:rsid w:val="007261D7"/>
    <w:rsid w:val="007261F1"/>
    <w:rsid w:val="007262B1"/>
    <w:rsid w:val="00726BA2"/>
    <w:rsid w:val="00726BCF"/>
    <w:rsid w:val="00727067"/>
    <w:rsid w:val="0073020B"/>
    <w:rsid w:val="00730A26"/>
    <w:rsid w:val="00730CA9"/>
    <w:rsid w:val="00730D19"/>
    <w:rsid w:val="00730EB1"/>
    <w:rsid w:val="0073199B"/>
    <w:rsid w:val="00731AFC"/>
    <w:rsid w:val="007323EB"/>
    <w:rsid w:val="007327F7"/>
    <w:rsid w:val="0073313F"/>
    <w:rsid w:val="00733469"/>
    <w:rsid w:val="00733C04"/>
    <w:rsid w:val="007342DB"/>
    <w:rsid w:val="007342FF"/>
    <w:rsid w:val="0073475A"/>
    <w:rsid w:val="007348E4"/>
    <w:rsid w:val="00734D46"/>
    <w:rsid w:val="00735F54"/>
    <w:rsid w:val="007363D0"/>
    <w:rsid w:val="00736556"/>
    <w:rsid w:val="00736D3D"/>
    <w:rsid w:val="0073738A"/>
    <w:rsid w:val="007378CF"/>
    <w:rsid w:val="007406DD"/>
    <w:rsid w:val="00741C73"/>
    <w:rsid w:val="00741C90"/>
    <w:rsid w:val="007422CF"/>
    <w:rsid w:val="007423C8"/>
    <w:rsid w:val="00743071"/>
    <w:rsid w:val="00743558"/>
    <w:rsid w:val="00743971"/>
    <w:rsid w:val="00744409"/>
    <w:rsid w:val="0074444C"/>
    <w:rsid w:val="007444E7"/>
    <w:rsid w:val="007445D1"/>
    <w:rsid w:val="00744F93"/>
    <w:rsid w:val="007457C6"/>
    <w:rsid w:val="00745C41"/>
    <w:rsid w:val="00745EA4"/>
    <w:rsid w:val="00745FDA"/>
    <w:rsid w:val="00746476"/>
    <w:rsid w:val="00746D06"/>
    <w:rsid w:val="00747551"/>
    <w:rsid w:val="0074777F"/>
    <w:rsid w:val="00747B69"/>
    <w:rsid w:val="0075007D"/>
    <w:rsid w:val="00750ED3"/>
    <w:rsid w:val="007511D7"/>
    <w:rsid w:val="00751379"/>
    <w:rsid w:val="0075190B"/>
    <w:rsid w:val="00751945"/>
    <w:rsid w:val="00751BCE"/>
    <w:rsid w:val="00751D04"/>
    <w:rsid w:val="00751DF3"/>
    <w:rsid w:val="007526CF"/>
    <w:rsid w:val="007527DD"/>
    <w:rsid w:val="007529FD"/>
    <w:rsid w:val="00752A58"/>
    <w:rsid w:val="00752F35"/>
    <w:rsid w:val="00753607"/>
    <w:rsid w:val="00753DCC"/>
    <w:rsid w:val="00754005"/>
    <w:rsid w:val="0075400B"/>
    <w:rsid w:val="0075455A"/>
    <w:rsid w:val="007545F0"/>
    <w:rsid w:val="007549CD"/>
    <w:rsid w:val="00754AD4"/>
    <w:rsid w:val="00754AF7"/>
    <w:rsid w:val="00754D71"/>
    <w:rsid w:val="00755205"/>
    <w:rsid w:val="00755F0A"/>
    <w:rsid w:val="00756579"/>
    <w:rsid w:val="007565F0"/>
    <w:rsid w:val="00756893"/>
    <w:rsid w:val="00756F64"/>
    <w:rsid w:val="00757160"/>
    <w:rsid w:val="007576AE"/>
    <w:rsid w:val="007577E7"/>
    <w:rsid w:val="00757BA9"/>
    <w:rsid w:val="00760153"/>
    <w:rsid w:val="007602A6"/>
    <w:rsid w:val="00760379"/>
    <w:rsid w:val="0076083E"/>
    <w:rsid w:val="00760BF7"/>
    <w:rsid w:val="00761146"/>
    <w:rsid w:val="0076151B"/>
    <w:rsid w:val="007615E5"/>
    <w:rsid w:val="00761686"/>
    <w:rsid w:val="00761711"/>
    <w:rsid w:val="00761BAC"/>
    <w:rsid w:val="00761C2F"/>
    <w:rsid w:val="007621F2"/>
    <w:rsid w:val="00762BCE"/>
    <w:rsid w:val="007633EF"/>
    <w:rsid w:val="00763891"/>
    <w:rsid w:val="00763CC7"/>
    <w:rsid w:val="00763E8C"/>
    <w:rsid w:val="007640C0"/>
    <w:rsid w:val="0076422D"/>
    <w:rsid w:val="00765050"/>
    <w:rsid w:val="007653DB"/>
    <w:rsid w:val="00765440"/>
    <w:rsid w:val="00765BAD"/>
    <w:rsid w:val="00765C4C"/>
    <w:rsid w:val="007668BC"/>
    <w:rsid w:val="00766CB7"/>
    <w:rsid w:val="0076746F"/>
    <w:rsid w:val="007674ED"/>
    <w:rsid w:val="007675D6"/>
    <w:rsid w:val="00767BAD"/>
    <w:rsid w:val="00767FCB"/>
    <w:rsid w:val="007700C0"/>
    <w:rsid w:val="0077029F"/>
    <w:rsid w:val="00770991"/>
    <w:rsid w:val="00770F26"/>
    <w:rsid w:val="00771E98"/>
    <w:rsid w:val="00771FBC"/>
    <w:rsid w:val="0077228A"/>
    <w:rsid w:val="00772790"/>
    <w:rsid w:val="00772B45"/>
    <w:rsid w:val="00772CDF"/>
    <w:rsid w:val="00773531"/>
    <w:rsid w:val="007736FD"/>
    <w:rsid w:val="0077394D"/>
    <w:rsid w:val="0077408D"/>
    <w:rsid w:val="0077468C"/>
    <w:rsid w:val="00774968"/>
    <w:rsid w:val="00774C6F"/>
    <w:rsid w:val="00774E0A"/>
    <w:rsid w:val="0077535F"/>
    <w:rsid w:val="00775467"/>
    <w:rsid w:val="00776592"/>
    <w:rsid w:val="00776888"/>
    <w:rsid w:val="00776E79"/>
    <w:rsid w:val="0077709B"/>
    <w:rsid w:val="00777B4F"/>
    <w:rsid w:val="00777CFC"/>
    <w:rsid w:val="00777D92"/>
    <w:rsid w:val="0078035B"/>
    <w:rsid w:val="00780861"/>
    <w:rsid w:val="007808CD"/>
    <w:rsid w:val="0078175E"/>
    <w:rsid w:val="00781883"/>
    <w:rsid w:val="00781FDA"/>
    <w:rsid w:val="007820F0"/>
    <w:rsid w:val="0078248C"/>
    <w:rsid w:val="00782A8C"/>
    <w:rsid w:val="00783082"/>
    <w:rsid w:val="00783A30"/>
    <w:rsid w:val="00783FA4"/>
    <w:rsid w:val="00783FC8"/>
    <w:rsid w:val="00784B8E"/>
    <w:rsid w:val="00784F3C"/>
    <w:rsid w:val="007851C8"/>
    <w:rsid w:val="007856AE"/>
    <w:rsid w:val="00785D84"/>
    <w:rsid w:val="00786317"/>
    <w:rsid w:val="00786681"/>
    <w:rsid w:val="0078670C"/>
    <w:rsid w:val="007868A9"/>
    <w:rsid w:val="0078733B"/>
    <w:rsid w:val="00790133"/>
    <w:rsid w:val="007904D4"/>
    <w:rsid w:val="0079087E"/>
    <w:rsid w:val="00790AB3"/>
    <w:rsid w:val="00790E29"/>
    <w:rsid w:val="007911AD"/>
    <w:rsid w:val="00791DB7"/>
    <w:rsid w:val="007923FC"/>
    <w:rsid w:val="00792D87"/>
    <w:rsid w:val="00792D91"/>
    <w:rsid w:val="00793445"/>
    <w:rsid w:val="007936DC"/>
    <w:rsid w:val="0079370D"/>
    <w:rsid w:val="00793D3F"/>
    <w:rsid w:val="00793E90"/>
    <w:rsid w:val="00793F43"/>
    <w:rsid w:val="007941A4"/>
    <w:rsid w:val="00794824"/>
    <w:rsid w:val="007950BF"/>
    <w:rsid w:val="00795294"/>
    <w:rsid w:val="007954E2"/>
    <w:rsid w:val="007955AA"/>
    <w:rsid w:val="007958AB"/>
    <w:rsid w:val="007958CB"/>
    <w:rsid w:val="0079593C"/>
    <w:rsid w:val="00795FEC"/>
    <w:rsid w:val="00796232"/>
    <w:rsid w:val="007962D2"/>
    <w:rsid w:val="00796822"/>
    <w:rsid w:val="00796A45"/>
    <w:rsid w:val="007971B9"/>
    <w:rsid w:val="007976B6"/>
    <w:rsid w:val="007A0447"/>
    <w:rsid w:val="007A082A"/>
    <w:rsid w:val="007A0A44"/>
    <w:rsid w:val="007A11ED"/>
    <w:rsid w:val="007A18F0"/>
    <w:rsid w:val="007A2107"/>
    <w:rsid w:val="007A2DBC"/>
    <w:rsid w:val="007A2E41"/>
    <w:rsid w:val="007A3015"/>
    <w:rsid w:val="007A30F2"/>
    <w:rsid w:val="007A31F1"/>
    <w:rsid w:val="007A3A9C"/>
    <w:rsid w:val="007A4217"/>
    <w:rsid w:val="007A4361"/>
    <w:rsid w:val="007A45E6"/>
    <w:rsid w:val="007A472B"/>
    <w:rsid w:val="007A4759"/>
    <w:rsid w:val="007A4A9C"/>
    <w:rsid w:val="007A4B1F"/>
    <w:rsid w:val="007A4C27"/>
    <w:rsid w:val="007A5188"/>
    <w:rsid w:val="007A5742"/>
    <w:rsid w:val="007A5988"/>
    <w:rsid w:val="007A5D4A"/>
    <w:rsid w:val="007A6A6C"/>
    <w:rsid w:val="007A6CC7"/>
    <w:rsid w:val="007A6E9B"/>
    <w:rsid w:val="007A6FD5"/>
    <w:rsid w:val="007A72C1"/>
    <w:rsid w:val="007A73F6"/>
    <w:rsid w:val="007A74B7"/>
    <w:rsid w:val="007A77DC"/>
    <w:rsid w:val="007A77FC"/>
    <w:rsid w:val="007A785C"/>
    <w:rsid w:val="007B0186"/>
    <w:rsid w:val="007B01F9"/>
    <w:rsid w:val="007B0989"/>
    <w:rsid w:val="007B1039"/>
    <w:rsid w:val="007B185E"/>
    <w:rsid w:val="007B1C68"/>
    <w:rsid w:val="007B1D59"/>
    <w:rsid w:val="007B1DCF"/>
    <w:rsid w:val="007B1E25"/>
    <w:rsid w:val="007B1EA1"/>
    <w:rsid w:val="007B26FB"/>
    <w:rsid w:val="007B2F39"/>
    <w:rsid w:val="007B2FC8"/>
    <w:rsid w:val="007B313B"/>
    <w:rsid w:val="007B395E"/>
    <w:rsid w:val="007B3BA1"/>
    <w:rsid w:val="007B3BA5"/>
    <w:rsid w:val="007B3E0B"/>
    <w:rsid w:val="007B40D9"/>
    <w:rsid w:val="007B434D"/>
    <w:rsid w:val="007B4BE0"/>
    <w:rsid w:val="007B4DAF"/>
    <w:rsid w:val="007B5199"/>
    <w:rsid w:val="007B5215"/>
    <w:rsid w:val="007B52C2"/>
    <w:rsid w:val="007B5CCB"/>
    <w:rsid w:val="007B5D80"/>
    <w:rsid w:val="007B5DF2"/>
    <w:rsid w:val="007B62C9"/>
    <w:rsid w:val="007B6320"/>
    <w:rsid w:val="007B6536"/>
    <w:rsid w:val="007B664C"/>
    <w:rsid w:val="007B6AEF"/>
    <w:rsid w:val="007B6DF6"/>
    <w:rsid w:val="007B70BD"/>
    <w:rsid w:val="007B7B33"/>
    <w:rsid w:val="007C0198"/>
    <w:rsid w:val="007C04E3"/>
    <w:rsid w:val="007C04F4"/>
    <w:rsid w:val="007C1323"/>
    <w:rsid w:val="007C171E"/>
    <w:rsid w:val="007C1D32"/>
    <w:rsid w:val="007C1D7E"/>
    <w:rsid w:val="007C228E"/>
    <w:rsid w:val="007C23C0"/>
    <w:rsid w:val="007C2521"/>
    <w:rsid w:val="007C315A"/>
    <w:rsid w:val="007C3216"/>
    <w:rsid w:val="007C39C2"/>
    <w:rsid w:val="007C435F"/>
    <w:rsid w:val="007C492D"/>
    <w:rsid w:val="007C4A9D"/>
    <w:rsid w:val="007C4EFF"/>
    <w:rsid w:val="007C4F62"/>
    <w:rsid w:val="007C507E"/>
    <w:rsid w:val="007C5444"/>
    <w:rsid w:val="007C554E"/>
    <w:rsid w:val="007C5999"/>
    <w:rsid w:val="007C64AD"/>
    <w:rsid w:val="007C67A6"/>
    <w:rsid w:val="007C6A36"/>
    <w:rsid w:val="007C7912"/>
    <w:rsid w:val="007C792B"/>
    <w:rsid w:val="007C7B4D"/>
    <w:rsid w:val="007D000B"/>
    <w:rsid w:val="007D0155"/>
    <w:rsid w:val="007D0402"/>
    <w:rsid w:val="007D0D10"/>
    <w:rsid w:val="007D0DAA"/>
    <w:rsid w:val="007D150E"/>
    <w:rsid w:val="007D1665"/>
    <w:rsid w:val="007D1A0E"/>
    <w:rsid w:val="007D2255"/>
    <w:rsid w:val="007D2936"/>
    <w:rsid w:val="007D2F07"/>
    <w:rsid w:val="007D4BA0"/>
    <w:rsid w:val="007D4BE7"/>
    <w:rsid w:val="007D4F5E"/>
    <w:rsid w:val="007D5100"/>
    <w:rsid w:val="007D56BC"/>
    <w:rsid w:val="007D57B5"/>
    <w:rsid w:val="007D5BFE"/>
    <w:rsid w:val="007D6486"/>
    <w:rsid w:val="007D6D1B"/>
    <w:rsid w:val="007D6E34"/>
    <w:rsid w:val="007D74D6"/>
    <w:rsid w:val="007D752D"/>
    <w:rsid w:val="007E0503"/>
    <w:rsid w:val="007E05C8"/>
    <w:rsid w:val="007E0E48"/>
    <w:rsid w:val="007E17AF"/>
    <w:rsid w:val="007E180D"/>
    <w:rsid w:val="007E1A95"/>
    <w:rsid w:val="007E24A3"/>
    <w:rsid w:val="007E284F"/>
    <w:rsid w:val="007E2BC1"/>
    <w:rsid w:val="007E2E4D"/>
    <w:rsid w:val="007E32CF"/>
    <w:rsid w:val="007E37A7"/>
    <w:rsid w:val="007E3C55"/>
    <w:rsid w:val="007E5588"/>
    <w:rsid w:val="007E599D"/>
    <w:rsid w:val="007E5B65"/>
    <w:rsid w:val="007E67B0"/>
    <w:rsid w:val="007E6A07"/>
    <w:rsid w:val="007E6BFD"/>
    <w:rsid w:val="007E6E59"/>
    <w:rsid w:val="007E7A68"/>
    <w:rsid w:val="007E7E9A"/>
    <w:rsid w:val="007F011F"/>
    <w:rsid w:val="007F037B"/>
    <w:rsid w:val="007F0BAA"/>
    <w:rsid w:val="007F0C5C"/>
    <w:rsid w:val="007F0DE7"/>
    <w:rsid w:val="007F0F9C"/>
    <w:rsid w:val="007F1672"/>
    <w:rsid w:val="007F1A45"/>
    <w:rsid w:val="007F1E81"/>
    <w:rsid w:val="007F1F56"/>
    <w:rsid w:val="007F2480"/>
    <w:rsid w:val="007F297B"/>
    <w:rsid w:val="007F2A11"/>
    <w:rsid w:val="007F351B"/>
    <w:rsid w:val="007F42AB"/>
    <w:rsid w:val="007F4A9D"/>
    <w:rsid w:val="007F5090"/>
    <w:rsid w:val="007F509B"/>
    <w:rsid w:val="007F50C5"/>
    <w:rsid w:val="007F5182"/>
    <w:rsid w:val="007F55AA"/>
    <w:rsid w:val="007F55B8"/>
    <w:rsid w:val="007F5871"/>
    <w:rsid w:val="007F5BDD"/>
    <w:rsid w:val="007F67E7"/>
    <w:rsid w:val="007F700F"/>
    <w:rsid w:val="007F7156"/>
    <w:rsid w:val="007F7205"/>
    <w:rsid w:val="007F7225"/>
    <w:rsid w:val="008001B5"/>
    <w:rsid w:val="00800273"/>
    <w:rsid w:val="00800448"/>
    <w:rsid w:val="00800B67"/>
    <w:rsid w:val="008010CE"/>
    <w:rsid w:val="00801373"/>
    <w:rsid w:val="0080190A"/>
    <w:rsid w:val="00801CD7"/>
    <w:rsid w:val="0080235F"/>
    <w:rsid w:val="00802419"/>
    <w:rsid w:val="00802A9A"/>
    <w:rsid w:val="00802DA5"/>
    <w:rsid w:val="00802F76"/>
    <w:rsid w:val="00802FA9"/>
    <w:rsid w:val="0080336F"/>
    <w:rsid w:val="00803482"/>
    <w:rsid w:val="008039B8"/>
    <w:rsid w:val="00803E89"/>
    <w:rsid w:val="008045DD"/>
    <w:rsid w:val="00804A57"/>
    <w:rsid w:val="008055FF"/>
    <w:rsid w:val="0080562C"/>
    <w:rsid w:val="00805FF3"/>
    <w:rsid w:val="008060D2"/>
    <w:rsid w:val="0080700B"/>
    <w:rsid w:val="008072D6"/>
    <w:rsid w:val="008106FA"/>
    <w:rsid w:val="00810991"/>
    <w:rsid w:val="00810DD5"/>
    <w:rsid w:val="008111C3"/>
    <w:rsid w:val="00811799"/>
    <w:rsid w:val="00811C99"/>
    <w:rsid w:val="00811D1C"/>
    <w:rsid w:val="00812EC3"/>
    <w:rsid w:val="00813268"/>
    <w:rsid w:val="00813732"/>
    <w:rsid w:val="00813769"/>
    <w:rsid w:val="00813875"/>
    <w:rsid w:val="00813E95"/>
    <w:rsid w:val="00813EAC"/>
    <w:rsid w:val="00814424"/>
    <w:rsid w:val="00814749"/>
    <w:rsid w:val="00814A06"/>
    <w:rsid w:val="008150D7"/>
    <w:rsid w:val="00816140"/>
    <w:rsid w:val="0081677D"/>
    <w:rsid w:val="008169C6"/>
    <w:rsid w:val="00816FEA"/>
    <w:rsid w:val="0081714D"/>
    <w:rsid w:val="008174AE"/>
    <w:rsid w:val="00817BDA"/>
    <w:rsid w:val="00817E8B"/>
    <w:rsid w:val="0082037E"/>
    <w:rsid w:val="0082050A"/>
    <w:rsid w:val="008215D6"/>
    <w:rsid w:val="008219FE"/>
    <w:rsid w:val="00821B95"/>
    <w:rsid w:val="008223A2"/>
    <w:rsid w:val="00822F99"/>
    <w:rsid w:val="0082337A"/>
    <w:rsid w:val="00824BD1"/>
    <w:rsid w:val="00824F8C"/>
    <w:rsid w:val="00825490"/>
    <w:rsid w:val="0082580B"/>
    <w:rsid w:val="00825AF4"/>
    <w:rsid w:val="00825D99"/>
    <w:rsid w:val="00825F3B"/>
    <w:rsid w:val="00826004"/>
    <w:rsid w:val="0082706B"/>
    <w:rsid w:val="0082720F"/>
    <w:rsid w:val="0082797A"/>
    <w:rsid w:val="00827B40"/>
    <w:rsid w:val="0083003C"/>
    <w:rsid w:val="00830132"/>
    <w:rsid w:val="0083041F"/>
    <w:rsid w:val="00830B3D"/>
    <w:rsid w:val="0083122E"/>
    <w:rsid w:val="00831363"/>
    <w:rsid w:val="008316FA"/>
    <w:rsid w:val="00832422"/>
    <w:rsid w:val="008325BD"/>
    <w:rsid w:val="00832CC2"/>
    <w:rsid w:val="00833532"/>
    <w:rsid w:val="00833A6A"/>
    <w:rsid w:val="00833B96"/>
    <w:rsid w:val="00833E17"/>
    <w:rsid w:val="00834063"/>
    <w:rsid w:val="008345A8"/>
    <w:rsid w:val="0083498A"/>
    <w:rsid w:val="00834CAD"/>
    <w:rsid w:val="008356B5"/>
    <w:rsid w:val="00835846"/>
    <w:rsid w:val="0083636D"/>
    <w:rsid w:val="00836FED"/>
    <w:rsid w:val="00837458"/>
    <w:rsid w:val="00837EA6"/>
    <w:rsid w:val="00840C79"/>
    <w:rsid w:val="00840E68"/>
    <w:rsid w:val="008414BA"/>
    <w:rsid w:val="008415E1"/>
    <w:rsid w:val="00841679"/>
    <w:rsid w:val="0084184C"/>
    <w:rsid w:val="00841B8F"/>
    <w:rsid w:val="00841CB4"/>
    <w:rsid w:val="00842350"/>
    <w:rsid w:val="008428AE"/>
    <w:rsid w:val="00842F8C"/>
    <w:rsid w:val="0084334E"/>
    <w:rsid w:val="00843413"/>
    <w:rsid w:val="008438F8"/>
    <w:rsid w:val="00843EA7"/>
    <w:rsid w:val="00843FBD"/>
    <w:rsid w:val="008441C0"/>
    <w:rsid w:val="008442FB"/>
    <w:rsid w:val="008447A7"/>
    <w:rsid w:val="00844A95"/>
    <w:rsid w:val="00844CE1"/>
    <w:rsid w:val="00844D4D"/>
    <w:rsid w:val="008453B7"/>
    <w:rsid w:val="008453EA"/>
    <w:rsid w:val="0084567C"/>
    <w:rsid w:val="0084571E"/>
    <w:rsid w:val="00845E40"/>
    <w:rsid w:val="0084612C"/>
    <w:rsid w:val="00846187"/>
    <w:rsid w:val="00846680"/>
    <w:rsid w:val="00846A38"/>
    <w:rsid w:val="00846F97"/>
    <w:rsid w:val="00847099"/>
    <w:rsid w:val="00847344"/>
    <w:rsid w:val="00847685"/>
    <w:rsid w:val="008477AE"/>
    <w:rsid w:val="00847DA2"/>
    <w:rsid w:val="00847DBF"/>
    <w:rsid w:val="008500B5"/>
    <w:rsid w:val="008501C7"/>
    <w:rsid w:val="008501EA"/>
    <w:rsid w:val="00850639"/>
    <w:rsid w:val="00850C91"/>
    <w:rsid w:val="00850D05"/>
    <w:rsid w:val="00850D9D"/>
    <w:rsid w:val="00851148"/>
    <w:rsid w:val="008513C1"/>
    <w:rsid w:val="00851926"/>
    <w:rsid w:val="008519E9"/>
    <w:rsid w:val="00851CC2"/>
    <w:rsid w:val="00851CF4"/>
    <w:rsid w:val="008524E8"/>
    <w:rsid w:val="00852B16"/>
    <w:rsid w:val="00852C3F"/>
    <w:rsid w:val="00853034"/>
    <w:rsid w:val="0085363D"/>
    <w:rsid w:val="00853B48"/>
    <w:rsid w:val="00854276"/>
    <w:rsid w:val="0085432C"/>
    <w:rsid w:val="00854351"/>
    <w:rsid w:val="008546BE"/>
    <w:rsid w:val="00855481"/>
    <w:rsid w:val="008555A3"/>
    <w:rsid w:val="00856CD1"/>
    <w:rsid w:val="0085731C"/>
    <w:rsid w:val="008578E4"/>
    <w:rsid w:val="00857F45"/>
    <w:rsid w:val="008608DA"/>
    <w:rsid w:val="00860BF2"/>
    <w:rsid w:val="00861199"/>
    <w:rsid w:val="008611E1"/>
    <w:rsid w:val="008615D9"/>
    <w:rsid w:val="00861777"/>
    <w:rsid w:val="008617A7"/>
    <w:rsid w:val="00861A5C"/>
    <w:rsid w:val="00861B52"/>
    <w:rsid w:val="00861CFC"/>
    <w:rsid w:val="00861DE8"/>
    <w:rsid w:val="0086209A"/>
    <w:rsid w:val="00862361"/>
    <w:rsid w:val="00862882"/>
    <w:rsid w:val="00862AF2"/>
    <w:rsid w:val="00862B27"/>
    <w:rsid w:val="0086343F"/>
    <w:rsid w:val="00863633"/>
    <w:rsid w:val="00863B11"/>
    <w:rsid w:val="00863C10"/>
    <w:rsid w:val="00864376"/>
    <w:rsid w:val="008646CD"/>
    <w:rsid w:val="00864C7E"/>
    <w:rsid w:val="00865A1B"/>
    <w:rsid w:val="00865F87"/>
    <w:rsid w:val="0086650F"/>
    <w:rsid w:val="00866B05"/>
    <w:rsid w:val="00866DF3"/>
    <w:rsid w:val="00867869"/>
    <w:rsid w:val="00867B9B"/>
    <w:rsid w:val="0087056D"/>
    <w:rsid w:val="00870838"/>
    <w:rsid w:val="0087122A"/>
    <w:rsid w:val="008713B8"/>
    <w:rsid w:val="00871490"/>
    <w:rsid w:val="008715AD"/>
    <w:rsid w:val="00871772"/>
    <w:rsid w:val="00871812"/>
    <w:rsid w:val="00871A2B"/>
    <w:rsid w:val="00872377"/>
    <w:rsid w:val="00872780"/>
    <w:rsid w:val="00872B0D"/>
    <w:rsid w:val="00872BAF"/>
    <w:rsid w:val="00872D11"/>
    <w:rsid w:val="00873B6E"/>
    <w:rsid w:val="00873C60"/>
    <w:rsid w:val="00873FB1"/>
    <w:rsid w:val="00874127"/>
    <w:rsid w:val="00874D95"/>
    <w:rsid w:val="0087557A"/>
    <w:rsid w:val="00875BE2"/>
    <w:rsid w:val="00875FDB"/>
    <w:rsid w:val="00876671"/>
    <w:rsid w:val="00876B35"/>
    <w:rsid w:val="00876D60"/>
    <w:rsid w:val="00876F68"/>
    <w:rsid w:val="008772C2"/>
    <w:rsid w:val="008778D4"/>
    <w:rsid w:val="00880A59"/>
    <w:rsid w:val="00880D4D"/>
    <w:rsid w:val="00881008"/>
    <w:rsid w:val="00881688"/>
    <w:rsid w:val="0088177B"/>
    <w:rsid w:val="00881890"/>
    <w:rsid w:val="00881B53"/>
    <w:rsid w:val="00882278"/>
    <w:rsid w:val="00882B19"/>
    <w:rsid w:val="00883372"/>
    <w:rsid w:val="0088348A"/>
    <w:rsid w:val="00883514"/>
    <w:rsid w:val="008837EE"/>
    <w:rsid w:val="00883800"/>
    <w:rsid w:val="0088398E"/>
    <w:rsid w:val="00883CB7"/>
    <w:rsid w:val="00884071"/>
    <w:rsid w:val="008844A2"/>
    <w:rsid w:val="008847F4"/>
    <w:rsid w:val="008848DE"/>
    <w:rsid w:val="00884FF1"/>
    <w:rsid w:val="00885600"/>
    <w:rsid w:val="0088591C"/>
    <w:rsid w:val="00885A3D"/>
    <w:rsid w:val="00885E5D"/>
    <w:rsid w:val="00885F0E"/>
    <w:rsid w:val="008867FC"/>
    <w:rsid w:val="008868EE"/>
    <w:rsid w:val="00886D5D"/>
    <w:rsid w:val="0088710F"/>
    <w:rsid w:val="00887A8E"/>
    <w:rsid w:val="00887C04"/>
    <w:rsid w:val="00887D45"/>
    <w:rsid w:val="00887E5F"/>
    <w:rsid w:val="00887F58"/>
    <w:rsid w:val="00890D8F"/>
    <w:rsid w:val="00891006"/>
    <w:rsid w:val="00891106"/>
    <w:rsid w:val="008911DA"/>
    <w:rsid w:val="0089122A"/>
    <w:rsid w:val="00891B18"/>
    <w:rsid w:val="00891B88"/>
    <w:rsid w:val="00891D20"/>
    <w:rsid w:val="00892701"/>
    <w:rsid w:val="008927E6"/>
    <w:rsid w:val="008929D3"/>
    <w:rsid w:val="00892C1D"/>
    <w:rsid w:val="0089353B"/>
    <w:rsid w:val="008935D3"/>
    <w:rsid w:val="00893FD9"/>
    <w:rsid w:val="008943B2"/>
    <w:rsid w:val="00894549"/>
    <w:rsid w:val="008951B8"/>
    <w:rsid w:val="0089520D"/>
    <w:rsid w:val="008954B1"/>
    <w:rsid w:val="0089551C"/>
    <w:rsid w:val="00895B53"/>
    <w:rsid w:val="008968A0"/>
    <w:rsid w:val="00896C67"/>
    <w:rsid w:val="008978AA"/>
    <w:rsid w:val="00897BF1"/>
    <w:rsid w:val="008A04C0"/>
    <w:rsid w:val="008A09E9"/>
    <w:rsid w:val="008A1280"/>
    <w:rsid w:val="008A1792"/>
    <w:rsid w:val="008A2AA9"/>
    <w:rsid w:val="008A2BCF"/>
    <w:rsid w:val="008A30F5"/>
    <w:rsid w:val="008A3575"/>
    <w:rsid w:val="008A3905"/>
    <w:rsid w:val="008A3A00"/>
    <w:rsid w:val="008A3AF7"/>
    <w:rsid w:val="008A3B01"/>
    <w:rsid w:val="008A43B9"/>
    <w:rsid w:val="008A46AF"/>
    <w:rsid w:val="008A5219"/>
    <w:rsid w:val="008A596A"/>
    <w:rsid w:val="008A6232"/>
    <w:rsid w:val="008A68D4"/>
    <w:rsid w:val="008A692E"/>
    <w:rsid w:val="008A6BF8"/>
    <w:rsid w:val="008A6E9B"/>
    <w:rsid w:val="008A7443"/>
    <w:rsid w:val="008A74D6"/>
    <w:rsid w:val="008A75F7"/>
    <w:rsid w:val="008A7A94"/>
    <w:rsid w:val="008B0515"/>
    <w:rsid w:val="008B08B8"/>
    <w:rsid w:val="008B0A43"/>
    <w:rsid w:val="008B0DB4"/>
    <w:rsid w:val="008B101F"/>
    <w:rsid w:val="008B12AD"/>
    <w:rsid w:val="008B19DA"/>
    <w:rsid w:val="008B1A6E"/>
    <w:rsid w:val="008B1B1A"/>
    <w:rsid w:val="008B1BA9"/>
    <w:rsid w:val="008B1F88"/>
    <w:rsid w:val="008B2714"/>
    <w:rsid w:val="008B3657"/>
    <w:rsid w:val="008B3754"/>
    <w:rsid w:val="008B394F"/>
    <w:rsid w:val="008B3C12"/>
    <w:rsid w:val="008B3C3E"/>
    <w:rsid w:val="008B3F73"/>
    <w:rsid w:val="008B40E1"/>
    <w:rsid w:val="008B4F9B"/>
    <w:rsid w:val="008B562F"/>
    <w:rsid w:val="008B5C93"/>
    <w:rsid w:val="008B6642"/>
    <w:rsid w:val="008B6BE1"/>
    <w:rsid w:val="008B7B10"/>
    <w:rsid w:val="008B7C3F"/>
    <w:rsid w:val="008B7CC5"/>
    <w:rsid w:val="008C04C0"/>
    <w:rsid w:val="008C0FD8"/>
    <w:rsid w:val="008C11DF"/>
    <w:rsid w:val="008C1346"/>
    <w:rsid w:val="008C18DB"/>
    <w:rsid w:val="008C19A9"/>
    <w:rsid w:val="008C1B6D"/>
    <w:rsid w:val="008C2379"/>
    <w:rsid w:val="008C2C50"/>
    <w:rsid w:val="008C3263"/>
    <w:rsid w:val="008C35FB"/>
    <w:rsid w:val="008C3BC0"/>
    <w:rsid w:val="008C3E0B"/>
    <w:rsid w:val="008C3FB2"/>
    <w:rsid w:val="008C4308"/>
    <w:rsid w:val="008C43E9"/>
    <w:rsid w:val="008C461F"/>
    <w:rsid w:val="008C469D"/>
    <w:rsid w:val="008C4855"/>
    <w:rsid w:val="008C48B7"/>
    <w:rsid w:val="008C49EB"/>
    <w:rsid w:val="008C4D60"/>
    <w:rsid w:val="008C563F"/>
    <w:rsid w:val="008C568F"/>
    <w:rsid w:val="008C600D"/>
    <w:rsid w:val="008C63A9"/>
    <w:rsid w:val="008C69D2"/>
    <w:rsid w:val="008C6BF8"/>
    <w:rsid w:val="008C6D04"/>
    <w:rsid w:val="008C6D15"/>
    <w:rsid w:val="008C709B"/>
    <w:rsid w:val="008C7150"/>
    <w:rsid w:val="008C71E8"/>
    <w:rsid w:val="008C7585"/>
    <w:rsid w:val="008C7CB3"/>
    <w:rsid w:val="008D0034"/>
    <w:rsid w:val="008D017E"/>
    <w:rsid w:val="008D07D3"/>
    <w:rsid w:val="008D1137"/>
    <w:rsid w:val="008D125F"/>
    <w:rsid w:val="008D1A7E"/>
    <w:rsid w:val="008D21C6"/>
    <w:rsid w:val="008D2A6C"/>
    <w:rsid w:val="008D2DFE"/>
    <w:rsid w:val="008D3189"/>
    <w:rsid w:val="008D3216"/>
    <w:rsid w:val="008D33BE"/>
    <w:rsid w:val="008D34E0"/>
    <w:rsid w:val="008D35B6"/>
    <w:rsid w:val="008D36FE"/>
    <w:rsid w:val="008D3DA6"/>
    <w:rsid w:val="008D4215"/>
    <w:rsid w:val="008D4F91"/>
    <w:rsid w:val="008D4FD9"/>
    <w:rsid w:val="008D56F4"/>
    <w:rsid w:val="008D5A03"/>
    <w:rsid w:val="008D5FC8"/>
    <w:rsid w:val="008D6172"/>
    <w:rsid w:val="008D631F"/>
    <w:rsid w:val="008D6BAF"/>
    <w:rsid w:val="008D7EBE"/>
    <w:rsid w:val="008E0068"/>
    <w:rsid w:val="008E02CC"/>
    <w:rsid w:val="008E0E45"/>
    <w:rsid w:val="008E0EA7"/>
    <w:rsid w:val="008E1445"/>
    <w:rsid w:val="008E1550"/>
    <w:rsid w:val="008E1FC3"/>
    <w:rsid w:val="008E1FFA"/>
    <w:rsid w:val="008E2459"/>
    <w:rsid w:val="008E290E"/>
    <w:rsid w:val="008E2B13"/>
    <w:rsid w:val="008E2B39"/>
    <w:rsid w:val="008E2CC7"/>
    <w:rsid w:val="008E2D35"/>
    <w:rsid w:val="008E2D9B"/>
    <w:rsid w:val="008E3139"/>
    <w:rsid w:val="008E3208"/>
    <w:rsid w:val="008E350D"/>
    <w:rsid w:val="008E3A21"/>
    <w:rsid w:val="008E3C1B"/>
    <w:rsid w:val="008E49FA"/>
    <w:rsid w:val="008E4E99"/>
    <w:rsid w:val="008E4FD0"/>
    <w:rsid w:val="008E54CE"/>
    <w:rsid w:val="008E56C3"/>
    <w:rsid w:val="008E5D55"/>
    <w:rsid w:val="008E67FB"/>
    <w:rsid w:val="008E71F7"/>
    <w:rsid w:val="008E7540"/>
    <w:rsid w:val="008E7815"/>
    <w:rsid w:val="008F079B"/>
    <w:rsid w:val="008F1525"/>
    <w:rsid w:val="008F1574"/>
    <w:rsid w:val="008F1D3D"/>
    <w:rsid w:val="008F2110"/>
    <w:rsid w:val="008F2182"/>
    <w:rsid w:val="008F21E3"/>
    <w:rsid w:val="008F230B"/>
    <w:rsid w:val="008F25E7"/>
    <w:rsid w:val="008F2A50"/>
    <w:rsid w:val="008F3768"/>
    <w:rsid w:val="008F392B"/>
    <w:rsid w:val="008F3B30"/>
    <w:rsid w:val="008F3BE5"/>
    <w:rsid w:val="008F45C7"/>
    <w:rsid w:val="008F45F6"/>
    <w:rsid w:val="008F4A4F"/>
    <w:rsid w:val="008F4C62"/>
    <w:rsid w:val="008F4FD9"/>
    <w:rsid w:val="008F56E1"/>
    <w:rsid w:val="008F622F"/>
    <w:rsid w:val="008F67AE"/>
    <w:rsid w:val="008F6C04"/>
    <w:rsid w:val="008F6EFA"/>
    <w:rsid w:val="008F70D4"/>
    <w:rsid w:val="008F7125"/>
    <w:rsid w:val="008F734F"/>
    <w:rsid w:val="008F78D3"/>
    <w:rsid w:val="008F795A"/>
    <w:rsid w:val="008F7ED5"/>
    <w:rsid w:val="009005B8"/>
    <w:rsid w:val="0090068F"/>
    <w:rsid w:val="009007CD"/>
    <w:rsid w:val="0090097D"/>
    <w:rsid w:val="00900BAE"/>
    <w:rsid w:val="00902147"/>
    <w:rsid w:val="009027D5"/>
    <w:rsid w:val="0090384E"/>
    <w:rsid w:val="00903B4F"/>
    <w:rsid w:val="00904270"/>
    <w:rsid w:val="00904D38"/>
    <w:rsid w:val="00904D3B"/>
    <w:rsid w:val="00905043"/>
    <w:rsid w:val="00905473"/>
    <w:rsid w:val="009054A0"/>
    <w:rsid w:val="009054A9"/>
    <w:rsid w:val="00905ACC"/>
    <w:rsid w:val="00905CDF"/>
    <w:rsid w:val="00906006"/>
    <w:rsid w:val="0090619B"/>
    <w:rsid w:val="009066EC"/>
    <w:rsid w:val="009067EE"/>
    <w:rsid w:val="00906A19"/>
    <w:rsid w:val="00906A1B"/>
    <w:rsid w:val="00906D7F"/>
    <w:rsid w:val="00906E3F"/>
    <w:rsid w:val="00906F72"/>
    <w:rsid w:val="009070BB"/>
    <w:rsid w:val="009077F1"/>
    <w:rsid w:val="00907EA8"/>
    <w:rsid w:val="00907FF9"/>
    <w:rsid w:val="00910161"/>
    <w:rsid w:val="009101CC"/>
    <w:rsid w:val="00910758"/>
    <w:rsid w:val="00911835"/>
    <w:rsid w:val="009118CB"/>
    <w:rsid w:val="00911B2B"/>
    <w:rsid w:val="00911C26"/>
    <w:rsid w:val="009121D7"/>
    <w:rsid w:val="0091295F"/>
    <w:rsid w:val="00912E51"/>
    <w:rsid w:val="009137D9"/>
    <w:rsid w:val="00913DBA"/>
    <w:rsid w:val="00913E76"/>
    <w:rsid w:val="0091403C"/>
    <w:rsid w:val="00914088"/>
    <w:rsid w:val="009143A0"/>
    <w:rsid w:val="0091457C"/>
    <w:rsid w:val="009153B7"/>
    <w:rsid w:val="0091598E"/>
    <w:rsid w:val="00915A07"/>
    <w:rsid w:val="00915EB9"/>
    <w:rsid w:val="009162A2"/>
    <w:rsid w:val="009162AD"/>
    <w:rsid w:val="00916C20"/>
    <w:rsid w:val="0091733D"/>
    <w:rsid w:val="00917609"/>
    <w:rsid w:val="0091778D"/>
    <w:rsid w:val="0092101A"/>
    <w:rsid w:val="009210BF"/>
    <w:rsid w:val="00921479"/>
    <w:rsid w:val="009215F4"/>
    <w:rsid w:val="00921AC4"/>
    <w:rsid w:val="00922006"/>
    <w:rsid w:val="009220D5"/>
    <w:rsid w:val="0092279A"/>
    <w:rsid w:val="009228CD"/>
    <w:rsid w:val="0092307A"/>
    <w:rsid w:val="00923183"/>
    <w:rsid w:val="00923728"/>
    <w:rsid w:val="00923D90"/>
    <w:rsid w:val="00923DD7"/>
    <w:rsid w:val="009248B9"/>
    <w:rsid w:val="00925E83"/>
    <w:rsid w:val="009263DD"/>
    <w:rsid w:val="00926B9F"/>
    <w:rsid w:val="00926D0C"/>
    <w:rsid w:val="00926D5A"/>
    <w:rsid w:val="00926FFA"/>
    <w:rsid w:val="009271E7"/>
    <w:rsid w:val="00927A8E"/>
    <w:rsid w:val="00927C11"/>
    <w:rsid w:val="00927CA3"/>
    <w:rsid w:val="00927F19"/>
    <w:rsid w:val="00930070"/>
    <w:rsid w:val="009304EE"/>
    <w:rsid w:val="009307C9"/>
    <w:rsid w:val="00930A51"/>
    <w:rsid w:val="00930E1A"/>
    <w:rsid w:val="00930FBC"/>
    <w:rsid w:val="00931108"/>
    <w:rsid w:val="009311E8"/>
    <w:rsid w:val="009315DB"/>
    <w:rsid w:val="00931908"/>
    <w:rsid w:val="00931975"/>
    <w:rsid w:val="00931DB9"/>
    <w:rsid w:val="00931FC4"/>
    <w:rsid w:val="00932325"/>
    <w:rsid w:val="00932353"/>
    <w:rsid w:val="00932671"/>
    <w:rsid w:val="00932D8C"/>
    <w:rsid w:val="00932F78"/>
    <w:rsid w:val="00932FE9"/>
    <w:rsid w:val="00932FF6"/>
    <w:rsid w:val="00933723"/>
    <w:rsid w:val="0093399F"/>
    <w:rsid w:val="00933A39"/>
    <w:rsid w:val="00933A8D"/>
    <w:rsid w:val="00933C63"/>
    <w:rsid w:val="00934415"/>
    <w:rsid w:val="009346F1"/>
    <w:rsid w:val="00934CAF"/>
    <w:rsid w:val="009352B9"/>
    <w:rsid w:val="0093536F"/>
    <w:rsid w:val="0093540A"/>
    <w:rsid w:val="009359A9"/>
    <w:rsid w:val="00935CA7"/>
    <w:rsid w:val="00936118"/>
    <w:rsid w:val="00936618"/>
    <w:rsid w:val="00936908"/>
    <w:rsid w:val="00936C78"/>
    <w:rsid w:val="00936EE4"/>
    <w:rsid w:val="009374B0"/>
    <w:rsid w:val="0093796C"/>
    <w:rsid w:val="00940962"/>
    <w:rsid w:val="00940FFF"/>
    <w:rsid w:val="0094116D"/>
    <w:rsid w:val="0094144B"/>
    <w:rsid w:val="00941502"/>
    <w:rsid w:val="009416FE"/>
    <w:rsid w:val="00942219"/>
    <w:rsid w:val="00942806"/>
    <w:rsid w:val="0094339A"/>
    <w:rsid w:val="00943EE7"/>
    <w:rsid w:val="00944582"/>
    <w:rsid w:val="009446FA"/>
    <w:rsid w:val="0094473D"/>
    <w:rsid w:val="00944B5F"/>
    <w:rsid w:val="00944EE2"/>
    <w:rsid w:val="00945168"/>
    <w:rsid w:val="009452F1"/>
    <w:rsid w:val="0094532D"/>
    <w:rsid w:val="00945639"/>
    <w:rsid w:val="0094574F"/>
    <w:rsid w:val="0094613D"/>
    <w:rsid w:val="00946550"/>
    <w:rsid w:val="00946C54"/>
    <w:rsid w:val="00946DB4"/>
    <w:rsid w:val="00947049"/>
    <w:rsid w:val="00947FBD"/>
    <w:rsid w:val="00947FF4"/>
    <w:rsid w:val="0095079E"/>
    <w:rsid w:val="00950FAB"/>
    <w:rsid w:val="009515D5"/>
    <w:rsid w:val="009518A9"/>
    <w:rsid w:val="00951B8B"/>
    <w:rsid w:val="00951E62"/>
    <w:rsid w:val="0095254F"/>
    <w:rsid w:val="0095293C"/>
    <w:rsid w:val="00952BDF"/>
    <w:rsid w:val="009530D6"/>
    <w:rsid w:val="00953104"/>
    <w:rsid w:val="009534D9"/>
    <w:rsid w:val="00953540"/>
    <w:rsid w:val="00953706"/>
    <w:rsid w:val="00953D89"/>
    <w:rsid w:val="00953FF8"/>
    <w:rsid w:val="00954217"/>
    <w:rsid w:val="009542F2"/>
    <w:rsid w:val="009543C9"/>
    <w:rsid w:val="00954740"/>
    <w:rsid w:val="009547D0"/>
    <w:rsid w:val="0095564E"/>
    <w:rsid w:val="00955CF6"/>
    <w:rsid w:val="00956337"/>
    <w:rsid w:val="0095692A"/>
    <w:rsid w:val="00956B8A"/>
    <w:rsid w:val="009570C8"/>
    <w:rsid w:val="00957228"/>
    <w:rsid w:val="00957948"/>
    <w:rsid w:val="00957B15"/>
    <w:rsid w:val="00957B3D"/>
    <w:rsid w:val="00957D78"/>
    <w:rsid w:val="00960301"/>
    <w:rsid w:val="00960539"/>
    <w:rsid w:val="00960643"/>
    <w:rsid w:val="00960A26"/>
    <w:rsid w:val="00960C11"/>
    <w:rsid w:val="00960D81"/>
    <w:rsid w:val="0096171F"/>
    <w:rsid w:val="00961821"/>
    <w:rsid w:val="009619A0"/>
    <w:rsid w:val="00962062"/>
    <w:rsid w:val="00962867"/>
    <w:rsid w:val="00963750"/>
    <w:rsid w:val="0096484D"/>
    <w:rsid w:val="00964F8B"/>
    <w:rsid w:val="00965072"/>
    <w:rsid w:val="00965105"/>
    <w:rsid w:val="0096544C"/>
    <w:rsid w:val="00965A1A"/>
    <w:rsid w:val="00965B1F"/>
    <w:rsid w:val="00966392"/>
    <w:rsid w:val="009666F1"/>
    <w:rsid w:val="009667E3"/>
    <w:rsid w:val="00966A3B"/>
    <w:rsid w:val="00966D7D"/>
    <w:rsid w:val="009672CA"/>
    <w:rsid w:val="009673B4"/>
    <w:rsid w:val="0096750E"/>
    <w:rsid w:val="00967C24"/>
    <w:rsid w:val="00967DF1"/>
    <w:rsid w:val="00967E17"/>
    <w:rsid w:val="00967EC0"/>
    <w:rsid w:val="00970794"/>
    <w:rsid w:val="00970A0F"/>
    <w:rsid w:val="00971087"/>
    <w:rsid w:val="009714A9"/>
    <w:rsid w:val="00971590"/>
    <w:rsid w:val="00971605"/>
    <w:rsid w:val="00971966"/>
    <w:rsid w:val="009719BD"/>
    <w:rsid w:val="00972C12"/>
    <w:rsid w:val="00972D37"/>
    <w:rsid w:val="00973DA3"/>
    <w:rsid w:val="0097434F"/>
    <w:rsid w:val="009750AC"/>
    <w:rsid w:val="009751AA"/>
    <w:rsid w:val="009751DF"/>
    <w:rsid w:val="0097531D"/>
    <w:rsid w:val="009761E7"/>
    <w:rsid w:val="00976275"/>
    <w:rsid w:val="00976CCF"/>
    <w:rsid w:val="0097737F"/>
    <w:rsid w:val="00977444"/>
    <w:rsid w:val="00977548"/>
    <w:rsid w:val="00977AE3"/>
    <w:rsid w:val="00980406"/>
    <w:rsid w:val="00981327"/>
    <w:rsid w:val="0098216A"/>
    <w:rsid w:val="009827F5"/>
    <w:rsid w:val="00982A09"/>
    <w:rsid w:val="00982F5B"/>
    <w:rsid w:val="00982FF1"/>
    <w:rsid w:val="00983086"/>
    <w:rsid w:val="0098308A"/>
    <w:rsid w:val="00983212"/>
    <w:rsid w:val="00983A4F"/>
    <w:rsid w:val="00983A8D"/>
    <w:rsid w:val="009849C9"/>
    <w:rsid w:val="00984B1A"/>
    <w:rsid w:val="0098511A"/>
    <w:rsid w:val="009857F0"/>
    <w:rsid w:val="00985932"/>
    <w:rsid w:val="0098631F"/>
    <w:rsid w:val="009869AB"/>
    <w:rsid w:val="00986B4E"/>
    <w:rsid w:val="00986DE9"/>
    <w:rsid w:val="00986DEA"/>
    <w:rsid w:val="00986FFB"/>
    <w:rsid w:val="009870F0"/>
    <w:rsid w:val="009879EC"/>
    <w:rsid w:val="00990068"/>
    <w:rsid w:val="00990A9A"/>
    <w:rsid w:val="00990CDA"/>
    <w:rsid w:val="0099101B"/>
    <w:rsid w:val="00992387"/>
    <w:rsid w:val="00992B4E"/>
    <w:rsid w:val="00992CF2"/>
    <w:rsid w:val="00992F81"/>
    <w:rsid w:val="00993492"/>
    <w:rsid w:val="009939AC"/>
    <w:rsid w:val="00994856"/>
    <w:rsid w:val="00995743"/>
    <w:rsid w:val="00995902"/>
    <w:rsid w:val="00995C20"/>
    <w:rsid w:val="00996711"/>
    <w:rsid w:val="00997052"/>
    <w:rsid w:val="00997084"/>
    <w:rsid w:val="00997298"/>
    <w:rsid w:val="009973CB"/>
    <w:rsid w:val="00997675"/>
    <w:rsid w:val="009A0214"/>
    <w:rsid w:val="009A0924"/>
    <w:rsid w:val="009A0CF7"/>
    <w:rsid w:val="009A0D8B"/>
    <w:rsid w:val="009A1128"/>
    <w:rsid w:val="009A1EC7"/>
    <w:rsid w:val="009A249F"/>
    <w:rsid w:val="009A2555"/>
    <w:rsid w:val="009A2CEF"/>
    <w:rsid w:val="009A342C"/>
    <w:rsid w:val="009A36F8"/>
    <w:rsid w:val="009A3B64"/>
    <w:rsid w:val="009A3C1D"/>
    <w:rsid w:val="009A3D3B"/>
    <w:rsid w:val="009A4D24"/>
    <w:rsid w:val="009A4F73"/>
    <w:rsid w:val="009A53BE"/>
    <w:rsid w:val="009A55C7"/>
    <w:rsid w:val="009A59BB"/>
    <w:rsid w:val="009A5D8B"/>
    <w:rsid w:val="009A65C2"/>
    <w:rsid w:val="009A6E2A"/>
    <w:rsid w:val="009A7A8F"/>
    <w:rsid w:val="009A7EB6"/>
    <w:rsid w:val="009A7EBC"/>
    <w:rsid w:val="009A7FFD"/>
    <w:rsid w:val="009B0162"/>
    <w:rsid w:val="009B04C3"/>
    <w:rsid w:val="009B0B60"/>
    <w:rsid w:val="009B149E"/>
    <w:rsid w:val="009B167E"/>
    <w:rsid w:val="009B16A2"/>
    <w:rsid w:val="009B2195"/>
    <w:rsid w:val="009B21E4"/>
    <w:rsid w:val="009B2524"/>
    <w:rsid w:val="009B26B7"/>
    <w:rsid w:val="009B2B56"/>
    <w:rsid w:val="009B2D00"/>
    <w:rsid w:val="009B2DB5"/>
    <w:rsid w:val="009B32E2"/>
    <w:rsid w:val="009B377F"/>
    <w:rsid w:val="009B4C47"/>
    <w:rsid w:val="009B4F25"/>
    <w:rsid w:val="009B564C"/>
    <w:rsid w:val="009B6A10"/>
    <w:rsid w:val="009B6AF3"/>
    <w:rsid w:val="009B70B8"/>
    <w:rsid w:val="009B71FF"/>
    <w:rsid w:val="009B7A59"/>
    <w:rsid w:val="009B7EF7"/>
    <w:rsid w:val="009C02E7"/>
    <w:rsid w:val="009C0BEF"/>
    <w:rsid w:val="009C0F42"/>
    <w:rsid w:val="009C159D"/>
    <w:rsid w:val="009C18CC"/>
    <w:rsid w:val="009C1B22"/>
    <w:rsid w:val="009C1C85"/>
    <w:rsid w:val="009C1E2E"/>
    <w:rsid w:val="009C234B"/>
    <w:rsid w:val="009C2691"/>
    <w:rsid w:val="009C2CAA"/>
    <w:rsid w:val="009C312B"/>
    <w:rsid w:val="009C3209"/>
    <w:rsid w:val="009C34AE"/>
    <w:rsid w:val="009C3A60"/>
    <w:rsid w:val="009C3D61"/>
    <w:rsid w:val="009C412F"/>
    <w:rsid w:val="009C4686"/>
    <w:rsid w:val="009C46D3"/>
    <w:rsid w:val="009C4DDE"/>
    <w:rsid w:val="009C4DED"/>
    <w:rsid w:val="009C4F49"/>
    <w:rsid w:val="009C52B1"/>
    <w:rsid w:val="009C53BF"/>
    <w:rsid w:val="009C5865"/>
    <w:rsid w:val="009C5A70"/>
    <w:rsid w:val="009C5C81"/>
    <w:rsid w:val="009C5D25"/>
    <w:rsid w:val="009C6CBD"/>
    <w:rsid w:val="009C7087"/>
    <w:rsid w:val="009C76EB"/>
    <w:rsid w:val="009C7F8F"/>
    <w:rsid w:val="009C7F98"/>
    <w:rsid w:val="009D0356"/>
    <w:rsid w:val="009D06C9"/>
    <w:rsid w:val="009D0954"/>
    <w:rsid w:val="009D0C7E"/>
    <w:rsid w:val="009D0DD5"/>
    <w:rsid w:val="009D1DC6"/>
    <w:rsid w:val="009D207B"/>
    <w:rsid w:val="009D2EBA"/>
    <w:rsid w:val="009D3893"/>
    <w:rsid w:val="009D3945"/>
    <w:rsid w:val="009D3ECE"/>
    <w:rsid w:val="009D3FDF"/>
    <w:rsid w:val="009D4109"/>
    <w:rsid w:val="009D4942"/>
    <w:rsid w:val="009D4DE3"/>
    <w:rsid w:val="009D5396"/>
    <w:rsid w:val="009D5A58"/>
    <w:rsid w:val="009D6353"/>
    <w:rsid w:val="009D6385"/>
    <w:rsid w:val="009D6CBB"/>
    <w:rsid w:val="009D7261"/>
    <w:rsid w:val="009D7430"/>
    <w:rsid w:val="009D7644"/>
    <w:rsid w:val="009D7E0C"/>
    <w:rsid w:val="009E03F6"/>
    <w:rsid w:val="009E0C37"/>
    <w:rsid w:val="009E168C"/>
    <w:rsid w:val="009E17C6"/>
    <w:rsid w:val="009E1EBC"/>
    <w:rsid w:val="009E2212"/>
    <w:rsid w:val="009E2A11"/>
    <w:rsid w:val="009E2C47"/>
    <w:rsid w:val="009E2C83"/>
    <w:rsid w:val="009E2CED"/>
    <w:rsid w:val="009E39C5"/>
    <w:rsid w:val="009E3BD3"/>
    <w:rsid w:val="009E3D13"/>
    <w:rsid w:val="009E4051"/>
    <w:rsid w:val="009E43A2"/>
    <w:rsid w:val="009E44F3"/>
    <w:rsid w:val="009E49B7"/>
    <w:rsid w:val="009E4ABF"/>
    <w:rsid w:val="009E5265"/>
    <w:rsid w:val="009E58A8"/>
    <w:rsid w:val="009E5BB0"/>
    <w:rsid w:val="009E6170"/>
    <w:rsid w:val="009E62C7"/>
    <w:rsid w:val="009E6A3A"/>
    <w:rsid w:val="009E6A88"/>
    <w:rsid w:val="009E7250"/>
    <w:rsid w:val="009E74B2"/>
    <w:rsid w:val="009F01B5"/>
    <w:rsid w:val="009F02E8"/>
    <w:rsid w:val="009F0F14"/>
    <w:rsid w:val="009F1028"/>
    <w:rsid w:val="009F133B"/>
    <w:rsid w:val="009F1E96"/>
    <w:rsid w:val="009F1EE6"/>
    <w:rsid w:val="009F2313"/>
    <w:rsid w:val="009F25AF"/>
    <w:rsid w:val="009F330C"/>
    <w:rsid w:val="009F332E"/>
    <w:rsid w:val="009F33F8"/>
    <w:rsid w:val="009F34C2"/>
    <w:rsid w:val="009F3851"/>
    <w:rsid w:val="009F3925"/>
    <w:rsid w:val="009F39A3"/>
    <w:rsid w:val="009F4296"/>
    <w:rsid w:val="009F4399"/>
    <w:rsid w:val="009F4DD8"/>
    <w:rsid w:val="009F4EC3"/>
    <w:rsid w:val="009F50C7"/>
    <w:rsid w:val="009F525B"/>
    <w:rsid w:val="009F52E3"/>
    <w:rsid w:val="009F5897"/>
    <w:rsid w:val="009F59A3"/>
    <w:rsid w:val="009F619E"/>
    <w:rsid w:val="009F61B8"/>
    <w:rsid w:val="009F63C0"/>
    <w:rsid w:val="009F63DB"/>
    <w:rsid w:val="009F6C6A"/>
    <w:rsid w:val="009F7028"/>
    <w:rsid w:val="009F7224"/>
    <w:rsid w:val="009F731B"/>
    <w:rsid w:val="009F7402"/>
    <w:rsid w:val="009F78DD"/>
    <w:rsid w:val="009F7C94"/>
    <w:rsid w:val="009F7F91"/>
    <w:rsid w:val="00A00028"/>
    <w:rsid w:val="00A0038C"/>
    <w:rsid w:val="00A00478"/>
    <w:rsid w:val="00A00845"/>
    <w:rsid w:val="00A00D47"/>
    <w:rsid w:val="00A00FA8"/>
    <w:rsid w:val="00A010C1"/>
    <w:rsid w:val="00A01329"/>
    <w:rsid w:val="00A0138D"/>
    <w:rsid w:val="00A01436"/>
    <w:rsid w:val="00A01B2A"/>
    <w:rsid w:val="00A01E4E"/>
    <w:rsid w:val="00A023BB"/>
    <w:rsid w:val="00A0244C"/>
    <w:rsid w:val="00A02EF5"/>
    <w:rsid w:val="00A03234"/>
    <w:rsid w:val="00A03396"/>
    <w:rsid w:val="00A03877"/>
    <w:rsid w:val="00A04303"/>
    <w:rsid w:val="00A04A8A"/>
    <w:rsid w:val="00A054F0"/>
    <w:rsid w:val="00A05F8B"/>
    <w:rsid w:val="00A061F6"/>
    <w:rsid w:val="00A0626B"/>
    <w:rsid w:val="00A06BD1"/>
    <w:rsid w:val="00A07598"/>
    <w:rsid w:val="00A1006C"/>
    <w:rsid w:val="00A101B8"/>
    <w:rsid w:val="00A108D7"/>
    <w:rsid w:val="00A109AA"/>
    <w:rsid w:val="00A10CB8"/>
    <w:rsid w:val="00A10EB2"/>
    <w:rsid w:val="00A10FB4"/>
    <w:rsid w:val="00A117D3"/>
    <w:rsid w:val="00A11B90"/>
    <w:rsid w:val="00A1225D"/>
    <w:rsid w:val="00A1283B"/>
    <w:rsid w:val="00A12DCD"/>
    <w:rsid w:val="00A13AA4"/>
    <w:rsid w:val="00A14C03"/>
    <w:rsid w:val="00A14C2C"/>
    <w:rsid w:val="00A152E4"/>
    <w:rsid w:val="00A15973"/>
    <w:rsid w:val="00A16503"/>
    <w:rsid w:val="00A1659C"/>
    <w:rsid w:val="00A16B9A"/>
    <w:rsid w:val="00A16D86"/>
    <w:rsid w:val="00A17115"/>
    <w:rsid w:val="00A178E6"/>
    <w:rsid w:val="00A17B43"/>
    <w:rsid w:val="00A2068B"/>
    <w:rsid w:val="00A20A64"/>
    <w:rsid w:val="00A2153D"/>
    <w:rsid w:val="00A216A0"/>
    <w:rsid w:val="00A21A29"/>
    <w:rsid w:val="00A21D2B"/>
    <w:rsid w:val="00A220CF"/>
    <w:rsid w:val="00A231ED"/>
    <w:rsid w:val="00A2335F"/>
    <w:rsid w:val="00A2350E"/>
    <w:rsid w:val="00A23F35"/>
    <w:rsid w:val="00A241A9"/>
    <w:rsid w:val="00A241AB"/>
    <w:rsid w:val="00A241F8"/>
    <w:rsid w:val="00A24B84"/>
    <w:rsid w:val="00A24C21"/>
    <w:rsid w:val="00A24D5A"/>
    <w:rsid w:val="00A252CD"/>
    <w:rsid w:val="00A25666"/>
    <w:rsid w:val="00A26263"/>
    <w:rsid w:val="00A2663B"/>
    <w:rsid w:val="00A267F0"/>
    <w:rsid w:val="00A26E7B"/>
    <w:rsid w:val="00A272A8"/>
    <w:rsid w:val="00A27921"/>
    <w:rsid w:val="00A30A20"/>
    <w:rsid w:val="00A30B96"/>
    <w:rsid w:val="00A30C40"/>
    <w:rsid w:val="00A3120C"/>
    <w:rsid w:val="00A313EB"/>
    <w:rsid w:val="00A31496"/>
    <w:rsid w:val="00A31744"/>
    <w:rsid w:val="00A3184A"/>
    <w:rsid w:val="00A31AF1"/>
    <w:rsid w:val="00A31DF5"/>
    <w:rsid w:val="00A32E02"/>
    <w:rsid w:val="00A3376F"/>
    <w:rsid w:val="00A33A47"/>
    <w:rsid w:val="00A343C7"/>
    <w:rsid w:val="00A35AAC"/>
    <w:rsid w:val="00A36AE4"/>
    <w:rsid w:val="00A36F40"/>
    <w:rsid w:val="00A37557"/>
    <w:rsid w:val="00A37D27"/>
    <w:rsid w:val="00A37FCC"/>
    <w:rsid w:val="00A37FF3"/>
    <w:rsid w:val="00A40414"/>
    <w:rsid w:val="00A406D6"/>
    <w:rsid w:val="00A4090E"/>
    <w:rsid w:val="00A41350"/>
    <w:rsid w:val="00A4188B"/>
    <w:rsid w:val="00A419B8"/>
    <w:rsid w:val="00A42646"/>
    <w:rsid w:val="00A42F99"/>
    <w:rsid w:val="00A431C9"/>
    <w:rsid w:val="00A431D4"/>
    <w:rsid w:val="00A436CD"/>
    <w:rsid w:val="00A437E2"/>
    <w:rsid w:val="00A43E37"/>
    <w:rsid w:val="00A440C2"/>
    <w:rsid w:val="00A446BE"/>
    <w:rsid w:val="00A44764"/>
    <w:rsid w:val="00A4522C"/>
    <w:rsid w:val="00A45D53"/>
    <w:rsid w:val="00A45DFA"/>
    <w:rsid w:val="00A46441"/>
    <w:rsid w:val="00A46C79"/>
    <w:rsid w:val="00A47199"/>
    <w:rsid w:val="00A47422"/>
    <w:rsid w:val="00A5088B"/>
    <w:rsid w:val="00A51168"/>
    <w:rsid w:val="00A520EC"/>
    <w:rsid w:val="00A522FC"/>
    <w:rsid w:val="00A5233B"/>
    <w:rsid w:val="00A5250A"/>
    <w:rsid w:val="00A528C9"/>
    <w:rsid w:val="00A52E6F"/>
    <w:rsid w:val="00A531F5"/>
    <w:rsid w:val="00A53C74"/>
    <w:rsid w:val="00A53FA3"/>
    <w:rsid w:val="00A54074"/>
    <w:rsid w:val="00A548FE"/>
    <w:rsid w:val="00A54E05"/>
    <w:rsid w:val="00A55DE1"/>
    <w:rsid w:val="00A569D6"/>
    <w:rsid w:val="00A56DAC"/>
    <w:rsid w:val="00A5737F"/>
    <w:rsid w:val="00A576C4"/>
    <w:rsid w:val="00A5777E"/>
    <w:rsid w:val="00A57783"/>
    <w:rsid w:val="00A60659"/>
    <w:rsid w:val="00A609A7"/>
    <w:rsid w:val="00A60FB3"/>
    <w:rsid w:val="00A61C3A"/>
    <w:rsid w:val="00A62781"/>
    <w:rsid w:val="00A62ED5"/>
    <w:rsid w:val="00A6315C"/>
    <w:rsid w:val="00A63544"/>
    <w:rsid w:val="00A6359E"/>
    <w:rsid w:val="00A63836"/>
    <w:rsid w:val="00A63C41"/>
    <w:rsid w:val="00A63CA3"/>
    <w:rsid w:val="00A63DFA"/>
    <w:rsid w:val="00A63DFB"/>
    <w:rsid w:val="00A63ED3"/>
    <w:rsid w:val="00A63F24"/>
    <w:rsid w:val="00A642CE"/>
    <w:rsid w:val="00A64602"/>
    <w:rsid w:val="00A64EA5"/>
    <w:rsid w:val="00A64F02"/>
    <w:rsid w:val="00A650C6"/>
    <w:rsid w:val="00A651B3"/>
    <w:rsid w:val="00A65501"/>
    <w:rsid w:val="00A657CF"/>
    <w:rsid w:val="00A65EDE"/>
    <w:rsid w:val="00A66FB6"/>
    <w:rsid w:val="00A67D37"/>
    <w:rsid w:val="00A70238"/>
    <w:rsid w:val="00A705C4"/>
    <w:rsid w:val="00A70C2E"/>
    <w:rsid w:val="00A710EE"/>
    <w:rsid w:val="00A71151"/>
    <w:rsid w:val="00A71803"/>
    <w:rsid w:val="00A71BA0"/>
    <w:rsid w:val="00A71C8F"/>
    <w:rsid w:val="00A71CD3"/>
    <w:rsid w:val="00A725B3"/>
    <w:rsid w:val="00A72760"/>
    <w:rsid w:val="00A72B38"/>
    <w:rsid w:val="00A73039"/>
    <w:rsid w:val="00A73387"/>
    <w:rsid w:val="00A73A3B"/>
    <w:rsid w:val="00A73B85"/>
    <w:rsid w:val="00A73D84"/>
    <w:rsid w:val="00A74685"/>
    <w:rsid w:val="00A74CBF"/>
    <w:rsid w:val="00A751F8"/>
    <w:rsid w:val="00A7541C"/>
    <w:rsid w:val="00A75486"/>
    <w:rsid w:val="00A75602"/>
    <w:rsid w:val="00A75E3E"/>
    <w:rsid w:val="00A75F14"/>
    <w:rsid w:val="00A763A0"/>
    <w:rsid w:val="00A76B27"/>
    <w:rsid w:val="00A76B73"/>
    <w:rsid w:val="00A76CB1"/>
    <w:rsid w:val="00A8006A"/>
    <w:rsid w:val="00A80076"/>
    <w:rsid w:val="00A80B48"/>
    <w:rsid w:val="00A80D8B"/>
    <w:rsid w:val="00A81FB3"/>
    <w:rsid w:val="00A8206E"/>
    <w:rsid w:val="00A822F4"/>
    <w:rsid w:val="00A825A1"/>
    <w:rsid w:val="00A82BD1"/>
    <w:rsid w:val="00A82EB7"/>
    <w:rsid w:val="00A83419"/>
    <w:rsid w:val="00A83433"/>
    <w:rsid w:val="00A84698"/>
    <w:rsid w:val="00A846DF"/>
    <w:rsid w:val="00A847E8"/>
    <w:rsid w:val="00A852C0"/>
    <w:rsid w:val="00A8597A"/>
    <w:rsid w:val="00A8642C"/>
    <w:rsid w:val="00A86566"/>
    <w:rsid w:val="00A86A49"/>
    <w:rsid w:val="00A86A57"/>
    <w:rsid w:val="00A87191"/>
    <w:rsid w:val="00A8719B"/>
    <w:rsid w:val="00A8722D"/>
    <w:rsid w:val="00A873A8"/>
    <w:rsid w:val="00A87F6B"/>
    <w:rsid w:val="00A90579"/>
    <w:rsid w:val="00A90AA3"/>
    <w:rsid w:val="00A90DF7"/>
    <w:rsid w:val="00A90F2E"/>
    <w:rsid w:val="00A91011"/>
    <w:rsid w:val="00A92248"/>
    <w:rsid w:val="00A92585"/>
    <w:rsid w:val="00A9275C"/>
    <w:rsid w:val="00A928BD"/>
    <w:rsid w:val="00A93075"/>
    <w:rsid w:val="00A93347"/>
    <w:rsid w:val="00A93395"/>
    <w:rsid w:val="00A933A7"/>
    <w:rsid w:val="00A93416"/>
    <w:rsid w:val="00A93834"/>
    <w:rsid w:val="00A944F2"/>
    <w:rsid w:val="00A945FD"/>
    <w:rsid w:val="00A947B8"/>
    <w:rsid w:val="00A94A4D"/>
    <w:rsid w:val="00A94F2E"/>
    <w:rsid w:val="00A95076"/>
    <w:rsid w:val="00A95680"/>
    <w:rsid w:val="00A95724"/>
    <w:rsid w:val="00A95D37"/>
    <w:rsid w:val="00A95FC5"/>
    <w:rsid w:val="00A965C6"/>
    <w:rsid w:val="00A96E51"/>
    <w:rsid w:val="00A972A7"/>
    <w:rsid w:val="00A97B27"/>
    <w:rsid w:val="00A97D79"/>
    <w:rsid w:val="00A97FDA"/>
    <w:rsid w:val="00AA00D5"/>
    <w:rsid w:val="00AA058E"/>
    <w:rsid w:val="00AA07F3"/>
    <w:rsid w:val="00AA0EED"/>
    <w:rsid w:val="00AA11A5"/>
    <w:rsid w:val="00AA1620"/>
    <w:rsid w:val="00AA1688"/>
    <w:rsid w:val="00AA17F2"/>
    <w:rsid w:val="00AA18CF"/>
    <w:rsid w:val="00AA228B"/>
    <w:rsid w:val="00AA27EB"/>
    <w:rsid w:val="00AA2BB3"/>
    <w:rsid w:val="00AA2D99"/>
    <w:rsid w:val="00AA3122"/>
    <w:rsid w:val="00AA33A9"/>
    <w:rsid w:val="00AA363E"/>
    <w:rsid w:val="00AA376C"/>
    <w:rsid w:val="00AA48C8"/>
    <w:rsid w:val="00AA4956"/>
    <w:rsid w:val="00AA60E0"/>
    <w:rsid w:val="00AA6838"/>
    <w:rsid w:val="00AA6EEA"/>
    <w:rsid w:val="00AA70E4"/>
    <w:rsid w:val="00AA7873"/>
    <w:rsid w:val="00AB05C3"/>
    <w:rsid w:val="00AB071A"/>
    <w:rsid w:val="00AB0C8B"/>
    <w:rsid w:val="00AB156D"/>
    <w:rsid w:val="00AB1872"/>
    <w:rsid w:val="00AB1C10"/>
    <w:rsid w:val="00AB26D6"/>
    <w:rsid w:val="00AB3131"/>
    <w:rsid w:val="00AB3A73"/>
    <w:rsid w:val="00AB3C82"/>
    <w:rsid w:val="00AB4050"/>
    <w:rsid w:val="00AB43CB"/>
    <w:rsid w:val="00AB45F4"/>
    <w:rsid w:val="00AB4969"/>
    <w:rsid w:val="00AB4CF0"/>
    <w:rsid w:val="00AB50D2"/>
    <w:rsid w:val="00AB5285"/>
    <w:rsid w:val="00AB6183"/>
    <w:rsid w:val="00AB6A56"/>
    <w:rsid w:val="00AB6D25"/>
    <w:rsid w:val="00AB6F70"/>
    <w:rsid w:val="00AB78D1"/>
    <w:rsid w:val="00AB7D9D"/>
    <w:rsid w:val="00AB7F5C"/>
    <w:rsid w:val="00AC0E6C"/>
    <w:rsid w:val="00AC0FE7"/>
    <w:rsid w:val="00AC1321"/>
    <w:rsid w:val="00AC16B9"/>
    <w:rsid w:val="00AC18DA"/>
    <w:rsid w:val="00AC1AD1"/>
    <w:rsid w:val="00AC1D44"/>
    <w:rsid w:val="00AC1E8A"/>
    <w:rsid w:val="00AC1F6E"/>
    <w:rsid w:val="00AC2449"/>
    <w:rsid w:val="00AC24D2"/>
    <w:rsid w:val="00AC2E71"/>
    <w:rsid w:val="00AC3038"/>
    <w:rsid w:val="00AC3379"/>
    <w:rsid w:val="00AC37A6"/>
    <w:rsid w:val="00AC381C"/>
    <w:rsid w:val="00AC4431"/>
    <w:rsid w:val="00AC463E"/>
    <w:rsid w:val="00AC46B8"/>
    <w:rsid w:val="00AC4D90"/>
    <w:rsid w:val="00AC542C"/>
    <w:rsid w:val="00AC56B5"/>
    <w:rsid w:val="00AC5824"/>
    <w:rsid w:val="00AC58FD"/>
    <w:rsid w:val="00AC5EB1"/>
    <w:rsid w:val="00AC5F2A"/>
    <w:rsid w:val="00AC602A"/>
    <w:rsid w:val="00AC6375"/>
    <w:rsid w:val="00AC66F4"/>
    <w:rsid w:val="00AC7AA0"/>
    <w:rsid w:val="00AD024E"/>
    <w:rsid w:val="00AD080D"/>
    <w:rsid w:val="00AD0A97"/>
    <w:rsid w:val="00AD1E68"/>
    <w:rsid w:val="00AD2033"/>
    <w:rsid w:val="00AD22D3"/>
    <w:rsid w:val="00AD30FA"/>
    <w:rsid w:val="00AD390C"/>
    <w:rsid w:val="00AD3D1C"/>
    <w:rsid w:val="00AD3DB3"/>
    <w:rsid w:val="00AD4245"/>
    <w:rsid w:val="00AD4442"/>
    <w:rsid w:val="00AD4567"/>
    <w:rsid w:val="00AD45EE"/>
    <w:rsid w:val="00AD4B4F"/>
    <w:rsid w:val="00AD529E"/>
    <w:rsid w:val="00AD56A4"/>
    <w:rsid w:val="00AD5A11"/>
    <w:rsid w:val="00AD65DD"/>
    <w:rsid w:val="00AD67FF"/>
    <w:rsid w:val="00AD7544"/>
    <w:rsid w:val="00AD7A3D"/>
    <w:rsid w:val="00AD7B08"/>
    <w:rsid w:val="00AD7CB6"/>
    <w:rsid w:val="00AE0506"/>
    <w:rsid w:val="00AE0926"/>
    <w:rsid w:val="00AE09B7"/>
    <w:rsid w:val="00AE0B1A"/>
    <w:rsid w:val="00AE1314"/>
    <w:rsid w:val="00AE1A5B"/>
    <w:rsid w:val="00AE29D8"/>
    <w:rsid w:val="00AE2CF1"/>
    <w:rsid w:val="00AE36B1"/>
    <w:rsid w:val="00AE3E00"/>
    <w:rsid w:val="00AE4232"/>
    <w:rsid w:val="00AE4B95"/>
    <w:rsid w:val="00AE6D7B"/>
    <w:rsid w:val="00AE6DBA"/>
    <w:rsid w:val="00AE70F4"/>
    <w:rsid w:val="00AE763B"/>
    <w:rsid w:val="00AE7B37"/>
    <w:rsid w:val="00AE7D97"/>
    <w:rsid w:val="00AF01E4"/>
    <w:rsid w:val="00AF027A"/>
    <w:rsid w:val="00AF0310"/>
    <w:rsid w:val="00AF0771"/>
    <w:rsid w:val="00AF10B4"/>
    <w:rsid w:val="00AF1398"/>
    <w:rsid w:val="00AF1712"/>
    <w:rsid w:val="00AF2B11"/>
    <w:rsid w:val="00AF2D13"/>
    <w:rsid w:val="00AF34D1"/>
    <w:rsid w:val="00AF3A24"/>
    <w:rsid w:val="00AF3B27"/>
    <w:rsid w:val="00AF49E3"/>
    <w:rsid w:val="00AF4C3B"/>
    <w:rsid w:val="00AF4EDE"/>
    <w:rsid w:val="00AF4FA9"/>
    <w:rsid w:val="00AF5053"/>
    <w:rsid w:val="00AF5506"/>
    <w:rsid w:val="00AF56B5"/>
    <w:rsid w:val="00AF59E4"/>
    <w:rsid w:val="00AF5A6B"/>
    <w:rsid w:val="00AF5CF9"/>
    <w:rsid w:val="00AF5FCD"/>
    <w:rsid w:val="00AF60DF"/>
    <w:rsid w:val="00AF64B0"/>
    <w:rsid w:val="00AF6755"/>
    <w:rsid w:val="00AF6E9B"/>
    <w:rsid w:val="00AF7355"/>
    <w:rsid w:val="00AF77B5"/>
    <w:rsid w:val="00AF7BDA"/>
    <w:rsid w:val="00AF7E0E"/>
    <w:rsid w:val="00B005DF"/>
    <w:rsid w:val="00B00A14"/>
    <w:rsid w:val="00B00C22"/>
    <w:rsid w:val="00B0127B"/>
    <w:rsid w:val="00B01846"/>
    <w:rsid w:val="00B01C0D"/>
    <w:rsid w:val="00B01CBC"/>
    <w:rsid w:val="00B02437"/>
    <w:rsid w:val="00B02B02"/>
    <w:rsid w:val="00B031EA"/>
    <w:rsid w:val="00B03432"/>
    <w:rsid w:val="00B038CE"/>
    <w:rsid w:val="00B03E30"/>
    <w:rsid w:val="00B0413F"/>
    <w:rsid w:val="00B04232"/>
    <w:rsid w:val="00B0486F"/>
    <w:rsid w:val="00B04950"/>
    <w:rsid w:val="00B04B5A"/>
    <w:rsid w:val="00B04CEE"/>
    <w:rsid w:val="00B05665"/>
    <w:rsid w:val="00B05C31"/>
    <w:rsid w:val="00B06583"/>
    <w:rsid w:val="00B06B84"/>
    <w:rsid w:val="00B0718A"/>
    <w:rsid w:val="00B074B4"/>
    <w:rsid w:val="00B109DD"/>
    <w:rsid w:val="00B11F6E"/>
    <w:rsid w:val="00B12639"/>
    <w:rsid w:val="00B12B30"/>
    <w:rsid w:val="00B13142"/>
    <w:rsid w:val="00B13CD7"/>
    <w:rsid w:val="00B143A4"/>
    <w:rsid w:val="00B14DCF"/>
    <w:rsid w:val="00B15091"/>
    <w:rsid w:val="00B1594D"/>
    <w:rsid w:val="00B15A5B"/>
    <w:rsid w:val="00B15CF9"/>
    <w:rsid w:val="00B161D0"/>
    <w:rsid w:val="00B16936"/>
    <w:rsid w:val="00B172F2"/>
    <w:rsid w:val="00B17AA1"/>
    <w:rsid w:val="00B2121F"/>
    <w:rsid w:val="00B21902"/>
    <w:rsid w:val="00B21EED"/>
    <w:rsid w:val="00B22B89"/>
    <w:rsid w:val="00B22C01"/>
    <w:rsid w:val="00B22CA6"/>
    <w:rsid w:val="00B2355A"/>
    <w:rsid w:val="00B23A2C"/>
    <w:rsid w:val="00B23C23"/>
    <w:rsid w:val="00B25382"/>
    <w:rsid w:val="00B25DCB"/>
    <w:rsid w:val="00B25E4A"/>
    <w:rsid w:val="00B2679F"/>
    <w:rsid w:val="00B269FC"/>
    <w:rsid w:val="00B279D5"/>
    <w:rsid w:val="00B27C06"/>
    <w:rsid w:val="00B27E5A"/>
    <w:rsid w:val="00B30097"/>
    <w:rsid w:val="00B30D5E"/>
    <w:rsid w:val="00B3109B"/>
    <w:rsid w:val="00B318AD"/>
    <w:rsid w:val="00B32584"/>
    <w:rsid w:val="00B325C5"/>
    <w:rsid w:val="00B32923"/>
    <w:rsid w:val="00B32DEA"/>
    <w:rsid w:val="00B33512"/>
    <w:rsid w:val="00B335B4"/>
    <w:rsid w:val="00B335E2"/>
    <w:rsid w:val="00B3370A"/>
    <w:rsid w:val="00B3406D"/>
    <w:rsid w:val="00B34253"/>
    <w:rsid w:val="00B34F34"/>
    <w:rsid w:val="00B34FF0"/>
    <w:rsid w:val="00B352CC"/>
    <w:rsid w:val="00B35985"/>
    <w:rsid w:val="00B3648D"/>
    <w:rsid w:val="00B36D2D"/>
    <w:rsid w:val="00B37190"/>
    <w:rsid w:val="00B372C5"/>
    <w:rsid w:val="00B377FA"/>
    <w:rsid w:val="00B37998"/>
    <w:rsid w:val="00B37F0D"/>
    <w:rsid w:val="00B40550"/>
    <w:rsid w:val="00B41263"/>
    <w:rsid w:val="00B412FF"/>
    <w:rsid w:val="00B416A5"/>
    <w:rsid w:val="00B41AFF"/>
    <w:rsid w:val="00B41FAF"/>
    <w:rsid w:val="00B422C0"/>
    <w:rsid w:val="00B422CB"/>
    <w:rsid w:val="00B425C5"/>
    <w:rsid w:val="00B42672"/>
    <w:rsid w:val="00B427F7"/>
    <w:rsid w:val="00B428BE"/>
    <w:rsid w:val="00B42C4B"/>
    <w:rsid w:val="00B42EF3"/>
    <w:rsid w:val="00B437F5"/>
    <w:rsid w:val="00B439DA"/>
    <w:rsid w:val="00B44ED5"/>
    <w:rsid w:val="00B45095"/>
    <w:rsid w:val="00B45254"/>
    <w:rsid w:val="00B45CC8"/>
    <w:rsid w:val="00B464A1"/>
    <w:rsid w:val="00B46538"/>
    <w:rsid w:val="00B4656B"/>
    <w:rsid w:val="00B46AEC"/>
    <w:rsid w:val="00B46B91"/>
    <w:rsid w:val="00B47277"/>
    <w:rsid w:val="00B474C8"/>
    <w:rsid w:val="00B47FFA"/>
    <w:rsid w:val="00B501B0"/>
    <w:rsid w:val="00B503CB"/>
    <w:rsid w:val="00B50734"/>
    <w:rsid w:val="00B50BC2"/>
    <w:rsid w:val="00B50C0D"/>
    <w:rsid w:val="00B51475"/>
    <w:rsid w:val="00B515C8"/>
    <w:rsid w:val="00B5187D"/>
    <w:rsid w:val="00B522A2"/>
    <w:rsid w:val="00B52827"/>
    <w:rsid w:val="00B528AD"/>
    <w:rsid w:val="00B529AF"/>
    <w:rsid w:val="00B5350E"/>
    <w:rsid w:val="00B53EAC"/>
    <w:rsid w:val="00B5434F"/>
    <w:rsid w:val="00B54390"/>
    <w:rsid w:val="00B54885"/>
    <w:rsid w:val="00B54913"/>
    <w:rsid w:val="00B54BFB"/>
    <w:rsid w:val="00B54DCB"/>
    <w:rsid w:val="00B553BD"/>
    <w:rsid w:val="00B55CF4"/>
    <w:rsid w:val="00B55D1C"/>
    <w:rsid w:val="00B56289"/>
    <w:rsid w:val="00B56797"/>
    <w:rsid w:val="00B5681B"/>
    <w:rsid w:val="00B56D00"/>
    <w:rsid w:val="00B56D6F"/>
    <w:rsid w:val="00B56E7E"/>
    <w:rsid w:val="00B57280"/>
    <w:rsid w:val="00B57A23"/>
    <w:rsid w:val="00B57AEA"/>
    <w:rsid w:val="00B57EE0"/>
    <w:rsid w:val="00B60A5F"/>
    <w:rsid w:val="00B60C1A"/>
    <w:rsid w:val="00B61937"/>
    <w:rsid w:val="00B61AF9"/>
    <w:rsid w:val="00B61DA1"/>
    <w:rsid w:val="00B62680"/>
    <w:rsid w:val="00B62699"/>
    <w:rsid w:val="00B63BB1"/>
    <w:rsid w:val="00B63E3E"/>
    <w:rsid w:val="00B6439D"/>
    <w:rsid w:val="00B645AD"/>
    <w:rsid w:val="00B645B8"/>
    <w:rsid w:val="00B64993"/>
    <w:rsid w:val="00B64CDA"/>
    <w:rsid w:val="00B64DA9"/>
    <w:rsid w:val="00B64EE9"/>
    <w:rsid w:val="00B64F90"/>
    <w:rsid w:val="00B6511E"/>
    <w:rsid w:val="00B652D6"/>
    <w:rsid w:val="00B660E3"/>
    <w:rsid w:val="00B663C4"/>
    <w:rsid w:val="00B667B7"/>
    <w:rsid w:val="00B673B5"/>
    <w:rsid w:val="00B67DFD"/>
    <w:rsid w:val="00B71803"/>
    <w:rsid w:val="00B71F77"/>
    <w:rsid w:val="00B71FEF"/>
    <w:rsid w:val="00B724B9"/>
    <w:rsid w:val="00B72592"/>
    <w:rsid w:val="00B7351B"/>
    <w:rsid w:val="00B73786"/>
    <w:rsid w:val="00B737B1"/>
    <w:rsid w:val="00B73A5E"/>
    <w:rsid w:val="00B73A60"/>
    <w:rsid w:val="00B73AFB"/>
    <w:rsid w:val="00B73C52"/>
    <w:rsid w:val="00B73F00"/>
    <w:rsid w:val="00B74219"/>
    <w:rsid w:val="00B7442E"/>
    <w:rsid w:val="00B7449E"/>
    <w:rsid w:val="00B744AB"/>
    <w:rsid w:val="00B74E17"/>
    <w:rsid w:val="00B74F5F"/>
    <w:rsid w:val="00B754C0"/>
    <w:rsid w:val="00B758AF"/>
    <w:rsid w:val="00B75D49"/>
    <w:rsid w:val="00B76A59"/>
    <w:rsid w:val="00B76BC9"/>
    <w:rsid w:val="00B76CEE"/>
    <w:rsid w:val="00B76E08"/>
    <w:rsid w:val="00B7797F"/>
    <w:rsid w:val="00B77DEF"/>
    <w:rsid w:val="00B77F79"/>
    <w:rsid w:val="00B802A4"/>
    <w:rsid w:val="00B80E87"/>
    <w:rsid w:val="00B8134B"/>
    <w:rsid w:val="00B817E9"/>
    <w:rsid w:val="00B822F8"/>
    <w:rsid w:val="00B82BE3"/>
    <w:rsid w:val="00B82C24"/>
    <w:rsid w:val="00B82D88"/>
    <w:rsid w:val="00B8304F"/>
    <w:rsid w:val="00B83599"/>
    <w:rsid w:val="00B83662"/>
    <w:rsid w:val="00B83716"/>
    <w:rsid w:val="00B84D24"/>
    <w:rsid w:val="00B84ED4"/>
    <w:rsid w:val="00B85377"/>
    <w:rsid w:val="00B85942"/>
    <w:rsid w:val="00B866B0"/>
    <w:rsid w:val="00B86A04"/>
    <w:rsid w:val="00B86A35"/>
    <w:rsid w:val="00B86D3A"/>
    <w:rsid w:val="00B90003"/>
    <w:rsid w:val="00B901B1"/>
    <w:rsid w:val="00B90D56"/>
    <w:rsid w:val="00B91248"/>
    <w:rsid w:val="00B91EB7"/>
    <w:rsid w:val="00B92474"/>
    <w:rsid w:val="00B930BD"/>
    <w:rsid w:val="00B935D8"/>
    <w:rsid w:val="00B93721"/>
    <w:rsid w:val="00B942EB"/>
    <w:rsid w:val="00B9451B"/>
    <w:rsid w:val="00B9497E"/>
    <w:rsid w:val="00B94A0D"/>
    <w:rsid w:val="00B94DAD"/>
    <w:rsid w:val="00B94F10"/>
    <w:rsid w:val="00B951A2"/>
    <w:rsid w:val="00B95245"/>
    <w:rsid w:val="00B952AF"/>
    <w:rsid w:val="00B952F0"/>
    <w:rsid w:val="00B95EE3"/>
    <w:rsid w:val="00B96309"/>
    <w:rsid w:val="00B96362"/>
    <w:rsid w:val="00B96B33"/>
    <w:rsid w:val="00B97B68"/>
    <w:rsid w:val="00B97D4D"/>
    <w:rsid w:val="00B97F60"/>
    <w:rsid w:val="00BA04D5"/>
    <w:rsid w:val="00BA0805"/>
    <w:rsid w:val="00BA0A3F"/>
    <w:rsid w:val="00BA0E12"/>
    <w:rsid w:val="00BA1314"/>
    <w:rsid w:val="00BA15A9"/>
    <w:rsid w:val="00BA187D"/>
    <w:rsid w:val="00BA1D79"/>
    <w:rsid w:val="00BA2B07"/>
    <w:rsid w:val="00BA3760"/>
    <w:rsid w:val="00BA37F5"/>
    <w:rsid w:val="00BA38B0"/>
    <w:rsid w:val="00BA3EC5"/>
    <w:rsid w:val="00BA4725"/>
    <w:rsid w:val="00BA491A"/>
    <w:rsid w:val="00BA50E5"/>
    <w:rsid w:val="00BA5758"/>
    <w:rsid w:val="00BA5A1F"/>
    <w:rsid w:val="00BA6097"/>
    <w:rsid w:val="00BA620D"/>
    <w:rsid w:val="00BA65FA"/>
    <w:rsid w:val="00BA6957"/>
    <w:rsid w:val="00BA6C5C"/>
    <w:rsid w:val="00BA725D"/>
    <w:rsid w:val="00BA7BFE"/>
    <w:rsid w:val="00BA7D01"/>
    <w:rsid w:val="00BB004F"/>
    <w:rsid w:val="00BB00AC"/>
    <w:rsid w:val="00BB0117"/>
    <w:rsid w:val="00BB018C"/>
    <w:rsid w:val="00BB0DCB"/>
    <w:rsid w:val="00BB1241"/>
    <w:rsid w:val="00BB1299"/>
    <w:rsid w:val="00BB1FDC"/>
    <w:rsid w:val="00BB262F"/>
    <w:rsid w:val="00BB2A26"/>
    <w:rsid w:val="00BB2ACC"/>
    <w:rsid w:val="00BB2B57"/>
    <w:rsid w:val="00BB2C90"/>
    <w:rsid w:val="00BB2D13"/>
    <w:rsid w:val="00BB30DB"/>
    <w:rsid w:val="00BB37DF"/>
    <w:rsid w:val="00BB43F2"/>
    <w:rsid w:val="00BB4AAB"/>
    <w:rsid w:val="00BB4ED1"/>
    <w:rsid w:val="00BB56AC"/>
    <w:rsid w:val="00BB58AB"/>
    <w:rsid w:val="00BB6086"/>
    <w:rsid w:val="00BB61CE"/>
    <w:rsid w:val="00BB6925"/>
    <w:rsid w:val="00BB6BB5"/>
    <w:rsid w:val="00BB79CA"/>
    <w:rsid w:val="00BB7DA2"/>
    <w:rsid w:val="00BC00C7"/>
    <w:rsid w:val="00BC0115"/>
    <w:rsid w:val="00BC03CF"/>
    <w:rsid w:val="00BC0487"/>
    <w:rsid w:val="00BC0891"/>
    <w:rsid w:val="00BC0B01"/>
    <w:rsid w:val="00BC0B45"/>
    <w:rsid w:val="00BC0C31"/>
    <w:rsid w:val="00BC1371"/>
    <w:rsid w:val="00BC1A96"/>
    <w:rsid w:val="00BC22B8"/>
    <w:rsid w:val="00BC22DD"/>
    <w:rsid w:val="00BC2609"/>
    <w:rsid w:val="00BC28C7"/>
    <w:rsid w:val="00BC2BC0"/>
    <w:rsid w:val="00BC2E50"/>
    <w:rsid w:val="00BC2EEC"/>
    <w:rsid w:val="00BC2F75"/>
    <w:rsid w:val="00BC34F0"/>
    <w:rsid w:val="00BC36BD"/>
    <w:rsid w:val="00BC402A"/>
    <w:rsid w:val="00BC4A56"/>
    <w:rsid w:val="00BC4EB7"/>
    <w:rsid w:val="00BC53C4"/>
    <w:rsid w:val="00BC550F"/>
    <w:rsid w:val="00BC5719"/>
    <w:rsid w:val="00BC5834"/>
    <w:rsid w:val="00BC5E43"/>
    <w:rsid w:val="00BC5ED2"/>
    <w:rsid w:val="00BC5F4D"/>
    <w:rsid w:val="00BC5F8F"/>
    <w:rsid w:val="00BC6396"/>
    <w:rsid w:val="00BC64DB"/>
    <w:rsid w:val="00BC6634"/>
    <w:rsid w:val="00BC66D1"/>
    <w:rsid w:val="00BC68E0"/>
    <w:rsid w:val="00BC6B9C"/>
    <w:rsid w:val="00BC6CD4"/>
    <w:rsid w:val="00BC7A8C"/>
    <w:rsid w:val="00BC7E2C"/>
    <w:rsid w:val="00BD0318"/>
    <w:rsid w:val="00BD1593"/>
    <w:rsid w:val="00BD163C"/>
    <w:rsid w:val="00BD18A3"/>
    <w:rsid w:val="00BD1FFF"/>
    <w:rsid w:val="00BD2185"/>
    <w:rsid w:val="00BD21DC"/>
    <w:rsid w:val="00BD2B9D"/>
    <w:rsid w:val="00BD350C"/>
    <w:rsid w:val="00BD359C"/>
    <w:rsid w:val="00BD37D6"/>
    <w:rsid w:val="00BD3F76"/>
    <w:rsid w:val="00BD50E0"/>
    <w:rsid w:val="00BD5867"/>
    <w:rsid w:val="00BD5A4E"/>
    <w:rsid w:val="00BD616C"/>
    <w:rsid w:val="00BD643E"/>
    <w:rsid w:val="00BD64D6"/>
    <w:rsid w:val="00BD6976"/>
    <w:rsid w:val="00BD7285"/>
    <w:rsid w:val="00BD72CB"/>
    <w:rsid w:val="00BD79B6"/>
    <w:rsid w:val="00BD7F09"/>
    <w:rsid w:val="00BE139D"/>
    <w:rsid w:val="00BE155B"/>
    <w:rsid w:val="00BE1902"/>
    <w:rsid w:val="00BE1ACC"/>
    <w:rsid w:val="00BE240A"/>
    <w:rsid w:val="00BE24F2"/>
    <w:rsid w:val="00BE262C"/>
    <w:rsid w:val="00BE29C5"/>
    <w:rsid w:val="00BE2F80"/>
    <w:rsid w:val="00BE2FB7"/>
    <w:rsid w:val="00BE31B2"/>
    <w:rsid w:val="00BE3789"/>
    <w:rsid w:val="00BE3D3C"/>
    <w:rsid w:val="00BE3F87"/>
    <w:rsid w:val="00BE3FD9"/>
    <w:rsid w:val="00BE4932"/>
    <w:rsid w:val="00BE53C1"/>
    <w:rsid w:val="00BE57EE"/>
    <w:rsid w:val="00BE5D95"/>
    <w:rsid w:val="00BE631F"/>
    <w:rsid w:val="00BE6FF6"/>
    <w:rsid w:val="00BE6FFF"/>
    <w:rsid w:val="00BE76FE"/>
    <w:rsid w:val="00BE79BB"/>
    <w:rsid w:val="00BE7B15"/>
    <w:rsid w:val="00BF03CE"/>
    <w:rsid w:val="00BF045F"/>
    <w:rsid w:val="00BF0D0F"/>
    <w:rsid w:val="00BF18AB"/>
    <w:rsid w:val="00BF1A61"/>
    <w:rsid w:val="00BF1B67"/>
    <w:rsid w:val="00BF25AE"/>
    <w:rsid w:val="00BF2E82"/>
    <w:rsid w:val="00BF340B"/>
    <w:rsid w:val="00BF3636"/>
    <w:rsid w:val="00BF41AA"/>
    <w:rsid w:val="00BF4940"/>
    <w:rsid w:val="00BF5606"/>
    <w:rsid w:val="00BF56DF"/>
    <w:rsid w:val="00BF5A7F"/>
    <w:rsid w:val="00BF5EFF"/>
    <w:rsid w:val="00BF6810"/>
    <w:rsid w:val="00BF694E"/>
    <w:rsid w:val="00BF6F08"/>
    <w:rsid w:val="00BF6FB1"/>
    <w:rsid w:val="00BF731A"/>
    <w:rsid w:val="00BF7556"/>
    <w:rsid w:val="00BF7D64"/>
    <w:rsid w:val="00C00120"/>
    <w:rsid w:val="00C00212"/>
    <w:rsid w:val="00C008C8"/>
    <w:rsid w:val="00C01552"/>
    <w:rsid w:val="00C015D1"/>
    <w:rsid w:val="00C01995"/>
    <w:rsid w:val="00C01CC7"/>
    <w:rsid w:val="00C023CC"/>
    <w:rsid w:val="00C0247A"/>
    <w:rsid w:val="00C02744"/>
    <w:rsid w:val="00C02E73"/>
    <w:rsid w:val="00C0303F"/>
    <w:rsid w:val="00C0319E"/>
    <w:rsid w:val="00C033E5"/>
    <w:rsid w:val="00C03934"/>
    <w:rsid w:val="00C047D6"/>
    <w:rsid w:val="00C04921"/>
    <w:rsid w:val="00C04D45"/>
    <w:rsid w:val="00C04D71"/>
    <w:rsid w:val="00C050FD"/>
    <w:rsid w:val="00C05437"/>
    <w:rsid w:val="00C05C3F"/>
    <w:rsid w:val="00C060F0"/>
    <w:rsid w:val="00C064C0"/>
    <w:rsid w:val="00C06C00"/>
    <w:rsid w:val="00C06D3A"/>
    <w:rsid w:val="00C06DA6"/>
    <w:rsid w:val="00C06E91"/>
    <w:rsid w:val="00C06EC6"/>
    <w:rsid w:val="00C07389"/>
    <w:rsid w:val="00C07424"/>
    <w:rsid w:val="00C07488"/>
    <w:rsid w:val="00C0769A"/>
    <w:rsid w:val="00C10203"/>
    <w:rsid w:val="00C10511"/>
    <w:rsid w:val="00C10B69"/>
    <w:rsid w:val="00C10C6B"/>
    <w:rsid w:val="00C10ED5"/>
    <w:rsid w:val="00C10EF3"/>
    <w:rsid w:val="00C110E4"/>
    <w:rsid w:val="00C119B5"/>
    <w:rsid w:val="00C11A23"/>
    <w:rsid w:val="00C11DF5"/>
    <w:rsid w:val="00C11E57"/>
    <w:rsid w:val="00C1210F"/>
    <w:rsid w:val="00C1216A"/>
    <w:rsid w:val="00C12383"/>
    <w:rsid w:val="00C123E3"/>
    <w:rsid w:val="00C12637"/>
    <w:rsid w:val="00C12867"/>
    <w:rsid w:val="00C128B9"/>
    <w:rsid w:val="00C128FB"/>
    <w:rsid w:val="00C12B40"/>
    <w:rsid w:val="00C12BE8"/>
    <w:rsid w:val="00C12C68"/>
    <w:rsid w:val="00C12F54"/>
    <w:rsid w:val="00C13E7C"/>
    <w:rsid w:val="00C142EC"/>
    <w:rsid w:val="00C1522A"/>
    <w:rsid w:val="00C15755"/>
    <w:rsid w:val="00C15EE9"/>
    <w:rsid w:val="00C163AD"/>
    <w:rsid w:val="00C169E7"/>
    <w:rsid w:val="00C16D11"/>
    <w:rsid w:val="00C16FF9"/>
    <w:rsid w:val="00C17069"/>
    <w:rsid w:val="00C17475"/>
    <w:rsid w:val="00C20423"/>
    <w:rsid w:val="00C20769"/>
    <w:rsid w:val="00C20D10"/>
    <w:rsid w:val="00C20E49"/>
    <w:rsid w:val="00C217E2"/>
    <w:rsid w:val="00C22055"/>
    <w:rsid w:val="00C22071"/>
    <w:rsid w:val="00C22126"/>
    <w:rsid w:val="00C22435"/>
    <w:rsid w:val="00C22FCB"/>
    <w:rsid w:val="00C2312A"/>
    <w:rsid w:val="00C2329C"/>
    <w:rsid w:val="00C235C5"/>
    <w:rsid w:val="00C2398C"/>
    <w:rsid w:val="00C23A62"/>
    <w:rsid w:val="00C24959"/>
    <w:rsid w:val="00C2533E"/>
    <w:rsid w:val="00C25703"/>
    <w:rsid w:val="00C262F0"/>
    <w:rsid w:val="00C26F61"/>
    <w:rsid w:val="00C273EB"/>
    <w:rsid w:val="00C275ED"/>
    <w:rsid w:val="00C276AA"/>
    <w:rsid w:val="00C27B59"/>
    <w:rsid w:val="00C27D9F"/>
    <w:rsid w:val="00C27E47"/>
    <w:rsid w:val="00C306E0"/>
    <w:rsid w:val="00C30E64"/>
    <w:rsid w:val="00C31199"/>
    <w:rsid w:val="00C3160A"/>
    <w:rsid w:val="00C32387"/>
    <w:rsid w:val="00C3283A"/>
    <w:rsid w:val="00C3349D"/>
    <w:rsid w:val="00C33C52"/>
    <w:rsid w:val="00C33F1B"/>
    <w:rsid w:val="00C33F6D"/>
    <w:rsid w:val="00C34231"/>
    <w:rsid w:val="00C34240"/>
    <w:rsid w:val="00C34EA6"/>
    <w:rsid w:val="00C34ED4"/>
    <w:rsid w:val="00C34F92"/>
    <w:rsid w:val="00C35C59"/>
    <w:rsid w:val="00C35E25"/>
    <w:rsid w:val="00C361C6"/>
    <w:rsid w:val="00C36326"/>
    <w:rsid w:val="00C36D27"/>
    <w:rsid w:val="00C3775B"/>
    <w:rsid w:val="00C378E2"/>
    <w:rsid w:val="00C37B35"/>
    <w:rsid w:val="00C41BD9"/>
    <w:rsid w:val="00C41DB3"/>
    <w:rsid w:val="00C4274F"/>
    <w:rsid w:val="00C42875"/>
    <w:rsid w:val="00C428B5"/>
    <w:rsid w:val="00C42E43"/>
    <w:rsid w:val="00C43065"/>
    <w:rsid w:val="00C43164"/>
    <w:rsid w:val="00C43DA4"/>
    <w:rsid w:val="00C444EA"/>
    <w:rsid w:val="00C45526"/>
    <w:rsid w:val="00C45630"/>
    <w:rsid w:val="00C4653B"/>
    <w:rsid w:val="00C4671E"/>
    <w:rsid w:val="00C46EFF"/>
    <w:rsid w:val="00C4709C"/>
    <w:rsid w:val="00C479F7"/>
    <w:rsid w:val="00C47C1B"/>
    <w:rsid w:val="00C47C4B"/>
    <w:rsid w:val="00C500B8"/>
    <w:rsid w:val="00C50132"/>
    <w:rsid w:val="00C501C7"/>
    <w:rsid w:val="00C50320"/>
    <w:rsid w:val="00C50945"/>
    <w:rsid w:val="00C50E5C"/>
    <w:rsid w:val="00C50E5E"/>
    <w:rsid w:val="00C5133E"/>
    <w:rsid w:val="00C5188F"/>
    <w:rsid w:val="00C51A52"/>
    <w:rsid w:val="00C51D20"/>
    <w:rsid w:val="00C51D52"/>
    <w:rsid w:val="00C52EF9"/>
    <w:rsid w:val="00C5315C"/>
    <w:rsid w:val="00C539EF"/>
    <w:rsid w:val="00C53B73"/>
    <w:rsid w:val="00C53C2A"/>
    <w:rsid w:val="00C53CED"/>
    <w:rsid w:val="00C54210"/>
    <w:rsid w:val="00C54469"/>
    <w:rsid w:val="00C544E5"/>
    <w:rsid w:val="00C545D6"/>
    <w:rsid w:val="00C54C21"/>
    <w:rsid w:val="00C553A2"/>
    <w:rsid w:val="00C55447"/>
    <w:rsid w:val="00C56223"/>
    <w:rsid w:val="00C5622F"/>
    <w:rsid w:val="00C56328"/>
    <w:rsid w:val="00C568E0"/>
    <w:rsid w:val="00C568E8"/>
    <w:rsid w:val="00C5710B"/>
    <w:rsid w:val="00C57904"/>
    <w:rsid w:val="00C6112A"/>
    <w:rsid w:val="00C623D4"/>
    <w:rsid w:val="00C6272D"/>
    <w:rsid w:val="00C637AB"/>
    <w:rsid w:val="00C64986"/>
    <w:rsid w:val="00C64AC4"/>
    <w:rsid w:val="00C64F3E"/>
    <w:rsid w:val="00C65033"/>
    <w:rsid w:val="00C65830"/>
    <w:rsid w:val="00C65D9B"/>
    <w:rsid w:val="00C65F9F"/>
    <w:rsid w:val="00C66288"/>
    <w:rsid w:val="00C66607"/>
    <w:rsid w:val="00C66C4B"/>
    <w:rsid w:val="00C67844"/>
    <w:rsid w:val="00C6791F"/>
    <w:rsid w:val="00C6796B"/>
    <w:rsid w:val="00C67D02"/>
    <w:rsid w:val="00C67E14"/>
    <w:rsid w:val="00C70392"/>
    <w:rsid w:val="00C706EE"/>
    <w:rsid w:val="00C716C6"/>
    <w:rsid w:val="00C72241"/>
    <w:rsid w:val="00C727A8"/>
    <w:rsid w:val="00C72C8E"/>
    <w:rsid w:val="00C73DF8"/>
    <w:rsid w:val="00C74A84"/>
    <w:rsid w:val="00C754F5"/>
    <w:rsid w:val="00C75820"/>
    <w:rsid w:val="00C75A1A"/>
    <w:rsid w:val="00C75CE2"/>
    <w:rsid w:val="00C7614F"/>
    <w:rsid w:val="00C76195"/>
    <w:rsid w:val="00C76641"/>
    <w:rsid w:val="00C770BA"/>
    <w:rsid w:val="00C772B8"/>
    <w:rsid w:val="00C774A7"/>
    <w:rsid w:val="00C7772B"/>
    <w:rsid w:val="00C779DA"/>
    <w:rsid w:val="00C77EBD"/>
    <w:rsid w:val="00C77F9F"/>
    <w:rsid w:val="00C77FFA"/>
    <w:rsid w:val="00C803EA"/>
    <w:rsid w:val="00C80805"/>
    <w:rsid w:val="00C8129B"/>
    <w:rsid w:val="00C817BA"/>
    <w:rsid w:val="00C81F68"/>
    <w:rsid w:val="00C82459"/>
    <w:rsid w:val="00C82B3D"/>
    <w:rsid w:val="00C82B93"/>
    <w:rsid w:val="00C82EFE"/>
    <w:rsid w:val="00C83067"/>
    <w:rsid w:val="00C831D9"/>
    <w:rsid w:val="00C835FA"/>
    <w:rsid w:val="00C83949"/>
    <w:rsid w:val="00C84541"/>
    <w:rsid w:val="00C863EE"/>
    <w:rsid w:val="00C86F02"/>
    <w:rsid w:val="00C87369"/>
    <w:rsid w:val="00C87A43"/>
    <w:rsid w:val="00C87CF0"/>
    <w:rsid w:val="00C87FBD"/>
    <w:rsid w:val="00C901B8"/>
    <w:rsid w:val="00C9025A"/>
    <w:rsid w:val="00C902A4"/>
    <w:rsid w:val="00C90358"/>
    <w:rsid w:val="00C905E3"/>
    <w:rsid w:val="00C90FAE"/>
    <w:rsid w:val="00C915B8"/>
    <w:rsid w:val="00C917A3"/>
    <w:rsid w:val="00C92633"/>
    <w:rsid w:val="00C926F4"/>
    <w:rsid w:val="00C92B62"/>
    <w:rsid w:val="00C936AF"/>
    <w:rsid w:val="00C938EB"/>
    <w:rsid w:val="00C93C18"/>
    <w:rsid w:val="00C94674"/>
    <w:rsid w:val="00C94818"/>
    <w:rsid w:val="00C9514C"/>
    <w:rsid w:val="00C9531A"/>
    <w:rsid w:val="00C953F2"/>
    <w:rsid w:val="00C954D4"/>
    <w:rsid w:val="00C959C6"/>
    <w:rsid w:val="00C95A07"/>
    <w:rsid w:val="00C95C96"/>
    <w:rsid w:val="00C96191"/>
    <w:rsid w:val="00C967E4"/>
    <w:rsid w:val="00C96970"/>
    <w:rsid w:val="00C96982"/>
    <w:rsid w:val="00C96A1E"/>
    <w:rsid w:val="00C96AFA"/>
    <w:rsid w:val="00C97010"/>
    <w:rsid w:val="00C97055"/>
    <w:rsid w:val="00C97BA1"/>
    <w:rsid w:val="00C97F34"/>
    <w:rsid w:val="00CA0D0F"/>
    <w:rsid w:val="00CA1645"/>
    <w:rsid w:val="00CA18F6"/>
    <w:rsid w:val="00CA1932"/>
    <w:rsid w:val="00CA231D"/>
    <w:rsid w:val="00CA23C2"/>
    <w:rsid w:val="00CA2701"/>
    <w:rsid w:val="00CA2A95"/>
    <w:rsid w:val="00CA2C3C"/>
    <w:rsid w:val="00CA2CC2"/>
    <w:rsid w:val="00CA2E6D"/>
    <w:rsid w:val="00CA358A"/>
    <w:rsid w:val="00CA407E"/>
    <w:rsid w:val="00CA430E"/>
    <w:rsid w:val="00CA4FCA"/>
    <w:rsid w:val="00CA6050"/>
    <w:rsid w:val="00CA63C4"/>
    <w:rsid w:val="00CA6988"/>
    <w:rsid w:val="00CA6B40"/>
    <w:rsid w:val="00CA7012"/>
    <w:rsid w:val="00CA72FD"/>
    <w:rsid w:val="00CA75CD"/>
    <w:rsid w:val="00CA7715"/>
    <w:rsid w:val="00CA7F34"/>
    <w:rsid w:val="00CB0108"/>
    <w:rsid w:val="00CB023D"/>
    <w:rsid w:val="00CB06B4"/>
    <w:rsid w:val="00CB0A81"/>
    <w:rsid w:val="00CB18B9"/>
    <w:rsid w:val="00CB1F0D"/>
    <w:rsid w:val="00CB2776"/>
    <w:rsid w:val="00CB28FB"/>
    <w:rsid w:val="00CB31C5"/>
    <w:rsid w:val="00CB357E"/>
    <w:rsid w:val="00CB3A4A"/>
    <w:rsid w:val="00CB4093"/>
    <w:rsid w:val="00CB428C"/>
    <w:rsid w:val="00CB477A"/>
    <w:rsid w:val="00CB4B19"/>
    <w:rsid w:val="00CB4D46"/>
    <w:rsid w:val="00CB4F5F"/>
    <w:rsid w:val="00CB5178"/>
    <w:rsid w:val="00CB5531"/>
    <w:rsid w:val="00CB6562"/>
    <w:rsid w:val="00CB6A14"/>
    <w:rsid w:val="00CB6EA3"/>
    <w:rsid w:val="00CB7405"/>
    <w:rsid w:val="00CB7965"/>
    <w:rsid w:val="00CB7F14"/>
    <w:rsid w:val="00CC0112"/>
    <w:rsid w:val="00CC021B"/>
    <w:rsid w:val="00CC04F8"/>
    <w:rsid w:val="00CC0A67"/>
    <w:rsid w:val="00CC0A84"/>
    <w:rsid w:val="00CC0C7C"/>
    <w:rsid w:val="00CC0E1D"/>
    <w:rsid w:val="00CC0E69"/>
    <w:rsid w:val="00CC1440"/>
    <w:rsid w:val="00CC146F"/>
    <w:rsid w:val="00CC1D3D"/>
    <w:rsid w:val="00CC2CE9"/>
    <w:rsid w:val="00CC3064"/>
    <w:rsid w:val="00CC30EB"/>
    <w:rsid w:val="00CC32C1"/>
    <w:rsid w:val="00CC33A8"/>
    <w:rsid w:val="00CC34B0"/>
    <w:rsid w:val="00CC350B"/>
    <w:rsid w:val="00CC3CA7"/>
    <w:rsid w:val="00CC3E1D"/>
    <w:rsid w:val="00CC42B7"/>
    <w:rsid w:val="00CC4564"/>
    <w:rsid w:val="00CC45ED"/>
    <w:rsid w:val="00CC4767"/>
    <w:rsid w:val="00CC47F2"/>
    <w:rsid w:val="00CC5117"/>
    <w:rsid w:val="00CC55FE"/>
    <w:rsid w:val="00CC5639"/>
    <w:rsid w:val="00CC5A22"/>
    <w:rsid w:val="00CC5CFB"/>
    <w:rsid w:val="00CC5DF3"/>
    <w:rsid w:val="00CC5E21"/>
    <w:rsid w:val="00CC6388"/>
    <w:rsid w:val="00CC6453"/>
    <w:rsid w:val="00CC67D2"/>
    <w:rsid w:val="00CC6910"/>
    <w:rsid w:val="00CC6EE0"/>
    <w:rsid w:val="00CC72E8"/>
    <w:rsid w:val="00CC7309"/>
    <w:rsid w:val="00CC7561"/>
    <w:rsid w:val="00CC77B6"/>
    <w:rsid w:val="00CD07B7"/>
    <w:rsid w:val="00CD07FE"/>
    <w:rsid w:val="00CD0995"/>
    <w:rsid w:val="00CD0A99"/>
    <w:rsid w:val="00CD0AA0"/>
    <w:rsid w:val="00CD0BDC"/>
    <w:rsid w:val="00CD19EB"/>
    <w:rsid w:val="00CD1AC8"/>
    <w:rsid w:val="00CD1FE4"/>
    <w:rsid w:val="00CD2424"/>
    <w:rsid w:val="00CD28BE"/>
    <w:rsid w:val="00CD2D3B"/>
    <w:rsid w:val="00CD3307"/>
    <w:rsid w:val="00CD3309"/>
    <w:rsid w:val="00CD3515"/>
    <w:rsid w:val="00CD3692"/>
    <w:rsid w:val="00CD36B7"/>
    <w:rsid w:val="00CD37BB"/>
    <w:rsid w:val="00CD3B77"/>
    <w:rsid w:val="00CD3D35"/>
    <w:rsid w:val="00CD3D7C"/>
    <w:rsid w:val="00CD443D"/>
    <w:rsid w:val="00CD4C0E"/>
    <w:rsid w:val="00CD51B9"/>
    <w:rsid w:val="00CD5601"/>
    <w:rsid w:val="00CD5622"/>
    <w:rsid w:val="00CD5874"/>
    <w:rsid w:val="00CD6063"/>
    <w:rsid w:val="00CD61E1"/>
    <w:rsid w:val="00CD6286"/>
    <w:rsid w:val="00CD64D4"/>
    <w:rsid w:val="00CD6662"/>
    <w:rsid w:val="00CD695A"/>
    <w:rsid w:val="00CD7F17"/>
    <w:rsid w:val="00CE003A"/>
    <w:rsid w:val="00CE0067"/>
    <w:rsid w:val="00CE03D5"/>
    <w:rsid w:val="00CE0596"/>
    <w:rsid w:val="00CE115D"/>
    <w:rsid w:val="00CE1927"/>
    <w:rsid w:val="00CE1F3B"/>
    <w:rsid w:val="00CE2F29"/>
    <w:rsid w:val="00CE2F35"/>
    <w:rsid w:val="00CE3153"/>
    <w:rsid w:val="00CE3891"/>
    <w:rsid w:val="00CE3DC9"/>
    <w:rsid w:val="00CE3F73"/>
    <w:rsid w:val="00CE4869"/>
    <w:rsid w:val="00CE5513"/>
    <w:rsid w:val="00CE5896"/>
    <w:rsid w:val="00CE5A2C"/>
    <w:rsid w:val="00CE5DCC"/>
    <w:rsid w:val="00CE68BF"/>
    <w:rsid w:val="00CE6E8D"/>
    <w:rsid w:val="00CE7163"/>
    <w:rsid w:val="00CE7226"/>
    <w:rsid w:val="00CE74F3"/>
    <w:rsid w:val="00CE77B7"/>
    <w:rsid w:val="00CE79E8"/>
    <w:rsid w:val="00CF0736"/>
    <w:rsid w:val="00CF09C8"/>
    <w:rsid w:val="00CF0A58"/>
    <w:rsid w:val="00CF13F6"/>
    <w:rsid w:val="00CF1454"/>
    <w:rsid w:val="00CF1642"/>
    <w:rsid w:val="00CF1844"/>
    <w:rsid w:val="00CF1E13"/>
    <w:rsid w:val="00CF2415"/>
    <w:rsid w:val="00CF2BBB"/>
    <w:rsid w:val="00CF2C24"/>
    <w:rsid w:val="00CF3807"/>
    <w:rsid w:val="00CF3BEC"/>
    <w:rsid w:val="00CF3DC1"/>
    <w:rsid w:val="00CF3E1F"/>
    <w:rsid w:val="00CF4060"/>
    <w:rsid w:val="00CF4126"/>
    <w:rsid w:val="00CF415D"/>
    <w:rsid w:val="00CF45D5"/>
    <w:rsid w:val="00CF4A31"/>
    <w:rsid w:val="00CF587B"/>
    <w:rsid w:val="00CF5EB8"/>
    <w:rsid w:val="00CF6789"/>
    <w:rsid w:val="00CF6CEF"/>
    <w:rsid w:val="00CF6FF7"/>
    <w:rsid w:val="00CF7266"/>
    <w:rsid w:val="00CF76FC"/>
    <w:rsid w:val="00CF7BC4"/>
    <w:rsid w:val="00CF7FE5"/>
    <w:rsid w:val="00D00172"/>
    <w:rsid w:val="00D00FEE"/>
    <w:rsid w:val="00D01121"/>
    <w:rsid w:val="00D01349"/>
    <w:rsid w:val="00D02048"/>
    <w:rsid w:val="00D02142"/>
    <w:rsid w:val="00D0218B"/>
    <w:rsid w:val="00D02503"/>
    <w:rsid w:val="00D02887"/>
    <w:rsid w:val="00D02ABD"/>
    <w:rsid w:val="00D02DDA"/>
    <w:rsid w:val="00D02F5B"/>
    <w:rsid w:val="00D03494"/>
    <w:rsid w:val="00D0349B"/>
    <w:rsid w:val="00D038A4"/>
    <w:rsid w:val="00D03AE9"/>
    <w:rsid w:val="00D03BC4"/>
    <w:rsid w:val="00D03EF8"/>
    <w:rsid w:val="00D0407B"/>
    <w:rsid w:val="00D04D8A"/>
    <w:rsid w:val="00D04F4A"/>
    <w:rsid w:val="00D04F5A"/>
    <w:rsid w:val="00D05110"/>
    <w:rsid w:val="00D05650"/>
    <w:rsid w:val="00D058C3"/>
    <w:rsid w:val="00D05C16"/>
    <w:rsid w:val="00D05CFA"/>
    <w:rsid w:val="00D0689D"/>
    <w:rsid w:val="00D06A2F"/>
    <w:rsid w:val="00D06D2C"/>
    <w:rsid w:val="00D06F33"/>
    <w:rsid w:val="00D072C6"/>
    <w:rsid w:val="00D07A2F"/>
    <w:rsid w:val="00D10477"/>
    <w:rsid w:val="00D10954"/>
    <w:rsid w:val="00D11771"/>
    <w:rsid w:val="00D1184A"/>
    <w:rsid w:val="00D11B7E"/>
    <w:rsid w:val="00D11DCF"/>
    <w:rsid w:val="00D129C7"/>
    <w:rsid w:val="00D1305B"/>
    <w:rsid w:val="00D13A23"/>
    <w:rsid w:val="00D13FCC"/>
    <w:rsid w:val="00D14BD0"/>
    <w:rsid w:val="00D14C44"/>
    <w:rsid w:val="00D14CA2"/>
    <w:rsid w:val="00D14F46"/>
    <w:rsid w:val="00D154EF"/>
    <w:rsid w:val="00D15753"/>
    <w:rsid w:val="00D15CC8"/>
    <w:rsid w:val="00D163A8"/>
    <w:rsid w:val="00D163CE"/>
    <w:rsid w:val="00D16ADE"/>
    <w:rsid w:val="00D1709A"/>
    <w:rsid w:val="00D17126"/>
    <w:rsid w:val="00D1717F"/>
    <w:rsid w:val="00D17266"/>
    <w:rsid w:val="00D17392"/>
    <w:rsid w:val="00D17B2D"/>
    <w:rsid w:val="00D20186"/>
    <w:rsid w:val="00D21224"/>
    <w:rsid w:val="00D2173C"/>
    <w:rsid w:val="00D218A0"/>
    <w:rsid w:val="00D21A34"/>
    <w:rsid w:val="00D21E8A"/>
    <w:rsid w:val="00D22420"/>
    <w:rsid w:val="00D225D9"/>
    <w:rsid w:val="00D228E0"/>
    <w:rsid w:val="00D22FF5"/>
    <w:rsid w:val="00D23078"/>
    <w:rsid w:val="00D23093"/>
    <w:rsid w:val="00D235B1"/>
    <w:rsid w:val="00D2385D"/>
    <w:rsid w:val="00D238E9"/>
    <w:rsid w:val="00D23914"/>
    <w:rsid w:val="00D23F0D"/>
    <w:rsid w:val="00D243F7"/>
    <w:rsid w:val="00D24FC7"/>
    <w:rsid w:val="00D25AA2"/>
    <w:rsid w:val="00D26540"/>
    <w:rsid w:val="00D2663D"/>
    <w:rsid w:val="00D2685A"/>
    <w:rsid w:val="00D26963"/>
    <w:rsid w:val="00D27256"/>
    <w:rsid w:val="00D27A82"/>
    <w:rsid w:val="00D3040B"/>
    <w:rsid w:val="00D30543"/>
    <w:rsid w:val="00D3080E"/>
    <w:rsid w:val="00D30E9A"/>
    <w:rsid w:val="00D31341"/>
    <w:rsid w:val="00D319BE"/>
    <w:rsid w:val="00D322BA"/>
    <w:rsid w:val="00D325EA"/>
    <w:rsid w:val="00D32984"/>
    <w:rsid w:val="00D32CDB"/>
    <w:rsid w:val="00D32E24"/>
    <w:rsid w:val="00D34ACD"/>
    <w:rsid w:val="00D3502B"/>
    <w:rsid w:val="00D3594A"/>
    <w:rsid w:val="00D35AC6"/>
    <w:rsid w:val="00D35B4A"/>
    <w:rsid w:val="00D35DA1"/>
    <w:rsid w:val="00D3638F"/>
    <w:rsid w:val="00D36442"/>
    <w:rsid w:val="00D366FF"/>
    <w:rsid w:val="00D367EA"/>
    <w:rsid w:val="00D369A5"/>
    <w:rsid w:val="00D36B5D"/>
    <w:rsid w:val="00D37A9B"/>
    <w:rsid w:val="00D37E5F"/>
    <w:rsid w:val="00D37F49"/>
    <w:rsid w:val="00D37FD6"/>
    <w:rsid w:val="00D4008F"/>
    <w:rsid w:val="00D40205"/>
    <w:rsid w:val="00D40E6A"/>
    <w:rsid w:val="00D41854"/>
    <w:rsid w:val="00D41F44"/>
    <w:rsid w:val="00D425B6"/>
    <w:rsid w:val="00D42769"/>
    <w:rsid w:val="00D42798"/>
    <w:rsid w:val="00D42FB3"/>
    <w:rsid w:val="00D4303B"/>
    <w:rsid w:val="00D4378D"/>
    <w:rsid w:val="00D437B4"/>
    <w:rsid w:val="00D43CC8"/>
    <w:rsid w:val="00D43E32"/>
    <w:rsid w:val="00D44354"/>
    <w:rsid w:val="00D443B6"/>
    <w:rsid w:val="00D44551"/>
    <w:rsid w:val="00D45F05"/>
    <w:rsid w:val="00D46007"/>
    <w:rsid w:val="00D46083"/>
    <w:rsid w:val="00D46479"/>
    <w:rsid w:val="00D464AA"/>
    <w:rsid w:val="00D46697"/>
    <w:rsid w:val="00D476E8"/>
    <w:rsid w:val="00D47887"/>
    <w:rsid w:val="00D47A2F"/>
    <w:rsid w:val="00D47CD2"/>
    <w:rsid w:val="00D47CE7"/>
    <w:rsid w:val="00D5004F"/>
    <w:rsid w:val="00D50290"/>
    <w:rsid w:val="00D50397"/>
    <w:rsid w:val="00D50833"/>
    <w:rsid w:val="00D513C8"/>
    <w:rsid w:val="00D5159E"/>
    <w:rsid w:val="00D515A8"/>
    <w:rsid w:val="00D51A36"/>
    <w:rsid w:val="00D51A96"/>
    <w:rsid w:val="00D52223"/>
    <w:rsid w:val="00D525BE"/>
    <w:rsid w:val="00D529A6"/>
    <w:rsid w:val="00D537B2"/>
    <w:rsid w:val="00D53921"/>
    <w:rsid w:val="00D53AA9"/>
    <w:rsid w:val="00D53FD2"/>
    <w:rsid w:val="00D5460C"/>
    <w:rsid w:val="00D54C2C"/>
    <w:rsid w:val="00D551B1"/>
    <w:rsid w:val="00D5525E"/>
    <w:rsid w:val="00D55531"/>
    <w:rsid w:val="00D562F1"/>
    <w:rsid w:val="00D5645D"/>
    <w:rsid w:val="00D56914"/>
    <w:rsid w:val="00D56F1F"/>
    <w:rsid w:val="00D57754"/>
    <w:rsid w:val="00D578F3"/>
    <w:rsid w:val="00D578F7"/>
    <w:rsid w:val="00D60045"/>
    <w:rsid w:val="00D60106"/>
    <w:rsid w:val="00D60BC1"/>
    <w:rsid w:val="00D61578"/>
    <w:rsid w:val="00D617EA"/>
    <w:rsid w:val="00D617ED"/>
    <w:rsid w:val="00D61A93"/>
    <w:rsid w:val="00D61C51"/>
    <w:rsid w:val="00D61ED1"/>
    <w:rsid w:val="00D62DB3"/>
    <w:rsid w:val="00D62FB4"/>
    <w:rsid w:val="00D63A6D"/>
    <w:rsid w:val="00D64158"/>
    <w:rsid w:val="00D64BD2"/>
    <w:rsid w:val="00D6518A"/>
    <w:rsid w:val="00D65573"/>
    <w:rsid w:val="00D6558E"/>
    <w:rsid w:val="00D66181"/>
    <w:rsid w:val="00D66D7E"/>
    <w:rsid w:val="00D66E31"/>
    <w:rsid w:val="00D679C1"/>
    <w:rsid w:val="00D67A86"/>
    <w:rsid w:val="00D70A80"/>
    <w:rsid w:val="00D71058"/>
    <w:rsid w:val="00D7106F"/>
    <w:rsid w:val="00D715D8"/>
    <w:rsid w:val="00D717E2"/>
    <w:rsid w:val="00D71986"/>
    <w:rsid w:val="00D71D66"/>
    <w:rsid w:val="00D72414"/>
    <w:rsid w:val="00D72DAC"/>
    <w:rsid w:val="00D72EF0"/>
    <w:rsid w:val="00D73588"/>
    <w:rsid w:val="00D73D90"/>
    <w:rsid w:val="00D743AF"/>
    <w:rsid w:val="00D746CA"/>
    <w:rsid w:val="00D75024"/>
    <w:rsid w:val="00D75348"/>
    <w:rsid w:val="00D754FD"/>
    <w:rsid w:val="00D75926"/>
    <w:rsid w:val="00D75D80"/>
    <w:rsid w:val="00D75F00"/>
    <w:rsid w:val="00D761CE"/>
    <w:rsid w:val="00D76950"/>
    <w:rsid w:val="00D76AEC"/>
    <w:rsid w:val="00D77032"/>
    <w:rsid w:val="00D77553"/>
    <w:rsid w:val="00D7779E"/>
    <w:rsid w:val="00D77AA0"/>
    <w:rsid w:val="00D77E76"/>
    <w:rsid w:val="00D77FF2"/>
    <w:rsid w:val="00D80036"/>
    <w:rsid w:val="00D8082B"/>
    <w:rsid w:val="00D81350"/>
    <w:rsid w:val="00D813E9"/>
    <w:rsid w:val="00D81AD9"/>
    <w:rsid w:val="00D8225C"/>
    <w:rsid w:val="00D825CC"/>
    <w:rsid w:val="00D827B7"/>
    <w:rsid w:val="00D82905"/>
    <w:rsid w:val="00D82DD1"/>
    <w:rsid w:val="00D83057"/>
    <w:rsid w:val="00D831BE"/>
    <w:rsid w:val="00D835AC"/>
    <w:rsid w:val="00D83A3E"/>
    <w:rsid w:val="00D83D64"/>
    <w:rsid w:val="00D843C7"/>
    <w:rsid w:val="00D849E9"/>
    <w:rsid w:val="00D84BF5"/>
    <w:rsid w:val="00D84C88"/>
    <w:rsid w:val="00D8572A"/>
    <w:rsid w:val="00D85D9A"/>
    <w:rsid w:val="00D86609"/>
    <w:rsid w:val="00D86662"/>
    <w:rsid w:val="00D8681D"/>
    <w:rsid w:val="00D86A5E"/>
    <w:rsid w:val="00D87188"/>
    <w:rsid w:val="00D873F7"/>
    <w:rsid w:val="00D877E1"/>
    <w:rsid w:val="00D87B5B"/>
    <w:rsid w:val="00D87C07"/>
    <w:rsid w:val="00D87FFB"/>
    <w:rsid w:val="00D9059B"/>
    <w:rsid w:val="00D908C5"/>
    <w:rsid w:val="00D90AC2"/>
    <w:rsid w:val="00D90D84"/>
    <w:rsid w:val="00D90FAE"/>
    <w:rsid w:val="00D914D4"/>
    <w:rsid w:val="00D9190B"/>
    <w:rsid w:val="00D91D4B"/>
    <w:rsid w:val="00D91E42"/>
    <w:rsid w:val="00D9256C"/>
    <w:rsid w:val="00D92638"/>
    <w:rsid w:val="00D92678"/>
    <w:rsid w:val="00D92745"/>
    <w:rsid w:val="00D928AB"/>
    <w:rsid w:val="00D928D5"/>
    <w:rsid w:val="00D92ABF"/>
    <w:rsid w:val="00D93951"/>
    <w:rsid w:val="00D93CF5"/>
    <w:rsid w:val="00D93F11"/>
    <w:rsid w:val="00D9490F"/>
    <w:rsid w:val="00D952E7"/>
    <w:rsid w:val="00D95A21"/>
    <w:rsid w:val="00D95CAD"/>
    <w:rsid w:val="00D95E9E"/>
    <w:rsid w:val="00D9620D"/>
    <w:rsid w:val="00D96A3B"/>
    <w:rsid w:val="00D96D63"/>
    <w:rsid w:val="00D96ED7"/>
    <w:rsid w:val="00D96EF1"/>
    <w:rsid w:val="00D972D0"/>
    <w:rsid w:val="00D973BA"/>
    <w:rsid w:val="00D9759D"/>
    <w:rsid w:val="00DA0380"/>
    <w:rsid w:val="00DA0647"/>
    <w:rsid w:val="00DA1269"/>
    <w:rsid w:val="00DA1479"/>
    <w:rsid w:val="00DA190A"/>
    <w:rsid w:val="00DA19D2"/>
    <w:rsid w:val="00DA1A2D"/>
    <w:rsid w:val="00DA1C97"/>
    <w:rsid w:val="00DA2912"/>
    <w:rsid w:val="00DA2EA6"/>
    <w:rsid w:val="00DA3063"/>
    <w:rsid w:val="00DA3483"/>
    <w:rsid w:val="00DA354F"/>
    <w:rsid w:val="00DA3EEF"/>
    <w:rsid w:val="00DA44F1"/>
    <w:rsid w:val="00DA45FD"/>
    <w:rsid w:val="00DA4DDB"/>
    <w:rsid w:val="00DA534E"/>
    <w:rsid w:val="00DA56AB"/>
    <w:rsid w:val="00DA5FB0"/>
    <w:rsid w:val="00DA612C"/>
    <w:rsid w:val="00DA70CF"/>
    <w:rsid w:val="00DA740C"/>
    <w:rsid w:val="00DA7741"/>
    <w:rsid w:val="00DA7DFA"/>
    <w:rsid w:val="00DA7E42"/>
    <w:rsid w:val="00DB00F9"/>
    <w:rsid w:val="00DB0675"/>
    <w:rsid w:val="00DB09CF"/>
    <w:rsid w:val="00DB0ACD"/>
    <w:rsid w:val="00DB0FBC"/>
    <w:rsid w:val="00DB0FCF"/>
    <w:rsid w:val="00DB13EF"/>
    <w:rsid w:val="00DB1BF3"/>
    <w:rsid w:val="00DB2488"/>
    <w:rsid w:val="00DB254A"/>
    <w:rsid w:val="00DB2739"/>
    <w:rsid w:val="00DB288F"/>
    <w:rsid w:val="00DB2AC1"/>
    <w:rsid w:val="00DB2C0E"/>
    <w:rsid w:val="00DB3420"/>
    <w:rsid w:val="00DB37D4"/>
    <w:rsid w:val="00DB3E27"/>
    <w:rsid w:val="00DB43D7"/>
    <w:rsid w:val="00DB4CEB"/>
    <w:rsid w:val="00DB5818"/>
    <w:rsid w:val="00DB6DCD"/>
    <w:rsid w:val="00DB73E8"/>
    <w:rsid w:val="00DB747B"/>
    <w:rsid w:val="00DB7E04"/>
    <w:rsid w:val="00DC019E"/>
    <w:rsid w:val="00DC076B"/>
    <w:rsid w:val="00DC0AD1"/>
    <w:rsid w:val="00DC0DE5"/>
    <w:rsid w:val="00DC1536"/>
    <w:rsid w:val="00DC15DC"/>
    <w:rsid w:val="00DC1F4F"/>
    <w:rsid w:val="00DC211D"/>
    <w:rsid w:val="00DC2217"/>
    <w:rsid w:val="00DC2821"/>
    <w:rsid w:val="00DC2B91"/>
    <w:rsid w:val="00DC2DE3"/>
    <w:rsid w:val="00DC33EC"/>
    <w:rsid w:val="00DC3577"/>
    <w:rsid w:val="00DC3912"/>
    <w:rsid w:val="00DC42B4"/>
    <w:rsid w:val="00DC42C7"/>
    <w:rsid w:val="00DC46A3"/>
    <w:rsid w:val="00DC4837"/>
    <w:rsid w:val="00DC4B88"/>
    <w:rsid w:val="00DC4DD0"/>
    <w:rsid w:val="00DC523A"/>
    <w:rsid w:val="00DC616E"/>
    <w:rsid w:val="00DC6430"/>
    <w:rsid w:val="00DC6831"/>
    <w:rsid w:val="00DC6DDB"/>
    <w:rsid w:val="00DC7249"/>
    <w:rsid w:val="00DC765B"/>
    <w:rsid w:val="00DC7660"/>
    <w:rsid w:val="00DC79C8"/>
    <w:rsid w:val="00DC7F09"/>
    <w:rsid w:val="00DD00AC"/>
    <w:rsid w:val="00DD04E6"/>
    <w:rsid w:val="00DD057A"/>
    <w:rsid w:val="00DD064E"/>
    <w:rsid w:val="00DD0681"/>
    <w:rsid w:val="00DD0709"/>
    <w:rsid w:val="00DD07B7"/>
    <w:rsid w:val="00DD0B36"/>
    <w:rsid w:val="00DD1227"/>
    <w:rsid w:val="00DD13AC"/>
    <w:rsid w:val="00DD13F2"/>
    <w:rsid w:val="00DD1C80"/>
    <w:rsid w:val="00DD1D4A"/>
    <w:rsid w:val="00DD1F5F"/>
    <w:rsid w:val="00DD276A"/>
    <w:rsid w:val="00DD27B7"/>
    <w:rsid w:val="00DD28C1"/>
    <w:rsid w:val="00DD28C4"/>
    <w:rsid w:val="00DD29F0"/>
    <w:rsid w:val="00DD2B56"/>
    <w:rsid w:val="00DD347B"/>
    <w:rsid w:val="00DD355B"/>
    <w:rsid w:val="00DD3814"/>
    <w:rsid w:val="00DD39CF"/>
    <w:rsid w:val="00DD3BC8"/>
    <w:rsid w:val="00DD42B7"/>
    <w:rsid w:val="00DD43EA"/>
    <w:rsid w:val="00DD4AC1"/>
    <w:rsid w:val="00DD4BD6"/>
    <w:rsid w:val="00DD4E02"/>
    <w:rsid w:val="00DD4FBA"/>
    <w:rsid w:val="00DD57F5"/>
    <w:rsid w:val="00DD595A"/>
    <w:rsid w:val="00DD6575"/>
    <w:rsid w:val="00DD697A"/>
    <w:rsid w:val="00DD6C67"/>
    <w:rsid w:val="00DD6C93"/>
    <w:rsid w:val="00DD7329"/>
    <w:rsid w:val="00DD76B1"/>
    <w:rsid w:val="00DD7B6E"/>
    <w:rsid w:val="00DD7E58"/>
    <w:rsid w:val="00DE0052"/>
    <w:rsid w:val="00DE13C3"/>
    <w:rsid w:val="00DE13F9"/>
    <w:rsid w:val="00DE1913"/>
    <w:rsid w:val="00DE20E5"/>
    <w:rsid w:val="00DE2204"/>
    <w:rsid w:val="00DE2528"/>
    <w:rsid w:val="00DE2B4C"/>
    <w:rsid w:val="00DE2EE7"/>
    <w:rsid w:val="00DE2F94"/>
    <w:rsid w:val="00DE38D2"/>
    <w:rsid w:val="00DE3C8E"/>
    <w:rsid w:val="00DE3FF9"/>
    <w:rsid w:val="00DE407E"/>
    <w:rsid w:val="00DE4179"/>
    <w:rsid w:val="00DE43AF"/>
    <w:rsid w:val="00DE5192"/>
    <w:rsid w:val="00DE6050"/>
    <w:rsid w:val="00DE6309"/>
    <w:rsid w:val="00DE69EE"/>
    <w:rsid w:val="00DE6A18"/>
    <w:rsid w:val="00DE6D6C"/>
    <w:rsid w:val="00DE77EC"/>
    <w:rsid w:val="00DF012B"/>
    <w:rsid w:val="00DF06B1"/>
    <w:rsid w:val="00DF0732"/>
    <w:rsid w:val="00DF0A41"/>
    <w:rsid w:val="00DF0C3F"/>
    <w:rsid w:val="00DF16A9"/>
    <w:rsid w:val="00DF17AE"/>
    <w:rsid w:val="00DF4A7A"/>
    <w:rsid w:val="00DF4EFC"/>
    <w:rsid w:val="00DF4FE6"/>
    <w:rsid w:val="00DF53F9"/>
    <w:rsid w:val="00DF56C7"/>
    <w:rsid w:val="00DF590F"/>
    <w:rsid w:val="00DF6180"/>
    <w:rsid w:val="00DF744B"/>
    <w:rsid w:val="00DF7893"/>
    <w:rsid w:val="00DF7E48"/>
    <w:rsid w:val="00E006C4"/>
    <w:rsid w:val="00E00AA2"/>
    <w:rsid w:val="00E00CEE"/>
    <w:rsid w:val="00E01157"/>
    <w:rsid w:val="00E012C3"/>
    <w:rsid w:val="00E015D9"/>
    <w:rsid w:val="00E01F06"/>
    <w:rsid w:val="00E02341"/>
    <w:rsid w:val="00E02D43"/>
    <w:rsid w:val="00E03695"/>
    <w:rsid w:val="00E03A14"/>
    <w:rsid w:val="00E04BF3"/>
    <w:rsid w:val="00E04C8E"/>
    <w:rsid w:val="00E052B0"/>
    <w:rsid w:val="00E0573C"/>
    <w:rsid w:val="00E058ED"/>
    <w:rsid w:val="00E05BB1"/>
    <w:rsid w:val="00E05EF6"/>
    <w:rsid w:val="00E0779E"/>
    <w:rsid w:val="00E100A3"/>
    <w:rsid w:val="00E10564"/>
    <w:rsid w:val="00E105DB"/>
    <w:rsid w:val="00E10827"/>
    <w:rsid w:val="00E10979"/>
    <w:rsid w:val="00E10E4A"/>
    <w:rsid w:val="00E112CA"/>
    <w:rsid w:val="00E115B9"/>
    <w:rsid w:val="00E11ED6"/>
    <w:rsid w:val="00E11FF7"/>
    <w:rsid w:val="00E124EC"/>
    <w:rsid w:val="00E12597"/>
    <w:rsid w:val="00E128CE"/>
    <w:rsid w:val="00E12B54"/>
    <w:rsid w:val="00E12CC2"/>
    <w:rsid w:val="00E1333D"/>
    <w:rsid w:val="00E136E3"/>
    <w:rsid w:val="00E1372B"/>
    <w:rsid w:val="00E13808"/>
    <w:rsid w:val="00E13F51"/>
    <w:rsid w:val="00E14552"/>
    <w:rsid w:val="00E14C25"/>
    <w:rsid w:val="00E14D3D"/>
    <w:rsid w:val="00E14FD0"/>
    <w:rsid w:val="00E15022"/>
    <w:rsid w:val="00E1517D"/>
    <w:rsid w:val="00E15A0C"/>
    <w:rsid w:val="00E161E6"/>
    <w:rsid w:val="00E16573"/>
    <w:rsid w:val="00E166BA"/>
    <w:rsid w:val="00E16A30"/>
    <w:rsid w:val="00E16DF7"/>
    <w:rsid w:val="00E17471"/>
    <w:rsid w:val="00E17820"/>
    <w:rsid w:val="00E179B5"/>
    <w:rsid w:val="00E179F6"/>
    <w:rsid w:val="00E2040C"/>
    <w:rsid w:val="00E209E6"/>
    <w:rsid w:val="00E20A7D"/>
    <w:rsid w:val="00E20E76"/>
    <w:rsid w:val="00E20FE3"/>
    <w:rsid w:val="00E2145A"/>
    <w:rsid w:val="00E214A4"/>
    <w:rsid w:val="00E21AE4"/>
    <w:rsid w:val="00E21C2F"/>
    <w:rsid w:val="00E21C6A"/>
    <w:rsid w:val="00E21C84"/>
    <w:rsid w:val="00E222CD"/>
    <w:rsid w:val="00E2237A"/>
    <w:rsid w:val="00E23653"/>
    <w:rsid w:val="00E23B00"/>
    <w:rsid w:val="00E23CF5"/>
    <w:rsid w:val="00E2448F"/>
    <w:rsid w:val="00E24691"/>
    <w:rsid w:val="00E2490C"/>
    <w:rsid w:val="00E24A64"/>
    <w:rsid w:val="00E24E25"/>
    <w:rsid w:val="00E25070"/>
    <w:rsid w:val="00E25744"/>
    <w:rsid w:val="00E259A7"/>
    <w:rsid w:val="00E25CE9"/>
    <w:rsid w:val="00E261FA"/>
    <w:rsid w:val="00E267BA"/>
    <w:rsid w:val="00E26A71"/>
    <w:rsid w:val="00E26ECD"/>
    <w:rsid w:val="00E26FA3"/>
    <w:rsid w:val="00E27450"/>
    <w:rsid w:val="00E27F2C"/>
    <w:rsid w:val="00E309DE"/>
    <w:rsid w:val="00E30AD8"/>
    <w:rsid w:val="00E30E39"/>
    <w:rsid w:val="00E314C3"/>
    <w:rsid w:val="00E3156A"/>
    <w:rsid w:val="00E3177A"/>
    <w:rsid w:val="00E31799"/>
    <w:rsid w:val="00E31919"/>
    <w:rsid w:val="00E31E5C"/>
    <w:rsid w:val="00E32B07"/>
    <w:rsid w:val="00E3300E"/>
    <w:rsid w:val="00E33238"/>
    <w:rsid w:val="00E33644"/>
    <w:rsid w:val="00E33877"/>
    <w:rsid w:val="00E338D4"/>
    <w:rsid w:val="00E34255"/>
    <w:rsid w:val="00E346D3"/>
    <w:rsid w:val="00E35115"/>
    <w:rsid w:val="00E35336"/>
    <w:rsid w:val="00E35487"/>
    <w:rsid w:val="00E358A0"/>
    <w:rsid w:val="00E35A59"/>
    <w:rsid w:val="00E35C72"/>
    <w:rsid w:val="00E35D3F"/>
    <w:rsid w:val="00E360EA"/>
    <w:rsid w:val="00E363AC"/>
    <w:rsid w:val="00E36552"/>
    <w:rsid w:val="00E36AF8"/>
    <w:rsid w:val="00E377D8"/>
    <w:rsid w:val="00E40863"/>
    <w:rsid w:val="00E40E99"/>
    <w:rsid w:val="00E41B76"/>
    <w:rsid w:val="00E41E6A"/>
    <w:rsid w:val="00E41F26"/>
    <w:rsid w:val="00E41FF9"/>
    <w:rsid w:val="00E42402"/>
    <w:rsid w:val="00E425B8"/>
    <w:rsid w:val="00E4276D"/>
    <w:rsid w:val="00E42BE3"/>
    <w:rsid w:val="00E43142"/>
    <w:rsid w:val="00E43428"/>
    <w:rsid w:val="00E435E3"/>
    <w:rsid w:val="00E4365D"/>
    <w:rsid w:val="00E43788"/>
    <w:rsid w:val="00E43CA3"/>
    <w:rsid w:val="00E43F19"/>
    <w:rsid w:val="00E44426"/>
    <w:rsid w:val="00E44678"/>
    <w:rsid w:val="00E4509A"/>
    <w:rsid w:val="00E4513B"/>
    <w:rsid w:val="00E45C2E"/>
    <w:rsid w:val="00E45E00"/>
    <w:rsid w:val="00E45E96"/>
    <w:rsid w:val="00E45F7F"/>
    <w:rsid w:val="00E4621F"/>
    <w:rsid w:val="00E4646A"/>
    <w:rsid w:val="00E46497"/>
    <w:rsid w:val="00E47410"/>
    <w:rsid w:val="00E47A9E"/>
    <w:rsid w:val="00E47B7E"/>
    <w:rsid w:val="00E47BAD"/>
    <w:rsid w:val="00E500F6"/>
    <w:rsid w:val="00E501D5"/>
    <w:rsid w:val="00E50468"/>
    <w:rsid w:val="00E50B7B"/>
    <w:rsid w:val="00E50CEC"/>
    <w:rsid w:val="00E51323"/>
    <w:rsid w:val="00E51344"/>
    <w:rsid w:val="00E516C0"/>
    <w:rsid w:val="00E5189B"/>
    <w:rsid w:val="00E5192B"/>
    <w:rsid w:val="00E51BE4"/>
    <w:rsid w:val="00E51FC1"/>
    <w:rsid w:val="00E528B0"/>
    <w:rsid w:val="00E52E82"/>
    <w:rsid w:val="00E53404"/>
    <w:rsid w:val="00E53FB8"/>
    <w:rsid w:val="00E54099"/>
    <w:rsid w:val="00E541BD"/>
    <w:rsid w:val="00E545CC"/>
    <w:rsid w:val="00E54618"/>
    <w:rsid w:val="00E54622"/>
    <w:rsid w:val="00E54B09"/>
    <w:rsid w:val="00E560F0"/>
    <w:rsid w:val="00E56797"/>
    <w:rsid w:val="00E56CB2"/>
    <w:rsid w:val="00E56E6A"/>
    <w:rsid w:val="00E57A68"/>
    <w:rsid w:val="00E604E9"/>
    <w:rsid w:val="00E605D0"/>
    <w:rsid w:val="00E6092B"/>
    <w:rsid w:val="00E6097F"/>
    <w:rsid w:val="00E60CC0"/>
    <w:rsid w:val="00E61669"/>
    <w:rsid w:val="00E617BE"/>
    <w:rsid w:val="00E618B4"/>
    <w:rsid w:val="00E61CEF"/>
    <w:rsid w:val="00E61D99"/>
    <w:rsid w:val="00E61F8C"/>
    <w:rsid w:val="00E620E5"/>
    <w:rsid w:val="00E62428"/>
    <w:rsid w:val="00E624DC"/>
    <w:rsid w:val="00E6251D"/>
    <w:rsid w:val="00E62666"/>
    <w:rsid w:val="00E62A5E"/>
    <w:rsid w:val="00E6395F"/>
    <w:rsid w:val="00E6397E"/>
    <w:rsid w:val="00E639C2"/>
    <w:rsid w:val="00E63DA9"/>
    <w:rsid w:val="00E63E4D"/>
    <w:rsid w:val="00E643A5"/>
    <w:rsid w:val="00E649EF"/>
    <w:rsid w:val="00E64A0D"/>
    <w:rsid w:val="00E64A52"/>
    <w:rsid w:val="00E64D63"/>
    <w:rsid w:val="00E64EA4"/>
    <w:rsid w:val="00E65350"/>
    <w:rsid w:val="00E655C8"/>
    <w:rsid w:val="00E65D0A"/>
    <w:rsid w:val="00E6615C"/>
    <w:rsid w:val="00E668C5"/>
    <w:rsid w:val="00E66AE5"/>
    <w:rsid w:val="00E670BC"/>
    <w:rsid w:val="00E673AF"/>
    <w:rsid w:val="00E6754C"/>
    <w:rsid w:val="00E676E4"/>
    <w:rsid w:val="00E6772B"/>
    <w:rsid w:val="00E67E42"/>
    <w:rsid w:val="00E70E91"/>
    <w:rsid w:val="00E71030"/>
    <w:rsid w:val="00E7130E"/>
    <w:rsid w:val="00E71BB9"/>
    <w:rsid w:val="00E71CFA"/>
    <w:rsid w:val="00E71FFC"/>
    <w:rsid w:val="00E722DC"/>
    <w:rsid w:val="00E72A7B"/>
    <w:rsid w:val="00E72DB2"/>
    <w:rsid w:val="00E73C77"/>
    <w:rsid w:val="00E73F0A"/>
    <w:rsid w:val="00E7491F"/>
    <w:rsid w:val="00E74F51"/>
    <w:rsid w:val="00E7517C"/>
    <w:rsid w:val="00E7549D"/>
    <w:rsid w:val="00E75BE9"/>
    <w:rsid w:val="00E75E18"/>
    <w:rsid w:val="00E7654D"/>
    <w:rsid w:val="00E80A44"/>
    <w:rsid w:val="00E80C5A"/>
    <w:rsid w:val="00E81595"/>
    <w:rsid w:val="00E81966"/>
    <w:rsid w:val="00E819A3"/>
    <w:rsid w:val="00E81AEF"/>
    <w:rsid w:val="00E81F0B"/>
    <w:rsid w:val="00E81F8D"/>
    <w:rsid w:val="00E82237"/>
    <w:rsid w:val="00E82C58"/>
    <w:rsid w:val="00E82D30"/>
    <w:rsid w:val="00E84118"/>
    <w:rsid w:val="00E84228"/>
    <w:rsid w:val="00E84B23"/>
    <w:rsid w:val="00E84E8E"/>
    <w:rsid w:val="00E85336"/>
    <w:rsid w:val="00E8535B"/>
    <w:rsid w:val="00E85465"/>
    <w:rsid w:val="00E856A0"/>
    <w:rsid w:val="00E85B17"/>
    <w:rsid w:val="00E85B4D"/>
    <w:rsid w:val="00E86220"/>
    <w:rsid w:val="00E86334"/>
    <w:rsid w:val="00E86E47"/>
    <w:rsid w:val="00E86F2F"/>
    <w:rsid w:val="00E873CF"/>
    <w:rsid w:val="00E87431"/>
    <w:rsid w:val="00E8777F"/>
    <w:rsid w:val="00E8787A"/>
    <w:rsid w:val="00E87C7C"/>
    <w:rsid w:val="00E9048F"/>
    <w:rsid w:val="00E909C0"/>
    <w:rsid w:val="00E90B07"/>
    <w:rsid w:val="00E90F2C"/>
    <w:rsid w:val="00E911A0"/>
    <w:rsid w:val="00E92493"/>
    <w:rsid w:val="00E92661"/>
    <w:rsid w:val="00E92A08"/>
    <w:rsid w:val="00E92F52"/>
    <w:rsid w:val="00E9324F"/>
    <w:rsid w:val="00E93991"/>
    <w:rsid w:val="00E939EC"/>
    <w:rsid w:val="00E943B1"/>
    <w:rsid w:val="00E94518"/>
    <w:rsid w:val="00E94750"/>
    <w:rsid w:val="00E94B8A"/>
    <w:rsid w:val="00E94B91"/>
    <w:rsid w:val="00E94DA7"/>
    <w:rsid w:val="00E952ED"/>
    <w:rsid w:val="00E953F8"/>
    <w:rsid w:val="00E954B9"/>
    <w:rsid w:val="00E95A69"/>
    <w:rsid w:val="00E96200"/>
    <w:rsid w:val="00E96218"/>
    <w:rsid w:val="00E96494"/>
    <w:rsid w:val="00E96EB7"/>
    <w:rsid w:val="00E9708F"/>
    <w:rsid w:val="00E970E0"/>
    <w:rsid w:val="00E97CFF"/>
    <w:rsid w:val="00E97E70"/>
    <w:rsid w:val="00EA0159"/>
    <w:rsid w:val="00EA02C8"/>
    <w:rsid w:val="00EA099F"/>
    <w:rsid w:val="00EA0B23"/>
    <w:rsid w:val="00EA0D12"/>
    <w:rsid w:val="00EA176C"/>
    <w:rsid w:val="00EA1A22"/>
    <w:rsid w:val="00EA1AA9"/>
    <w:rsid w:val="00EA1AB9"/>
    <w:rsid w:val="00EA1DA5"/>
    <w:rsid w:val="00EA2A1C"/>
    <w:rsid w:val="00EA3273"/>
    <w:rsid w:val="00EA36E9"/>
    <w:rsid w:val="00EA3DFE"/>
    <w:rsid w:val="00EA484E"/>
    <w:rsid w:val="00EA4B30"/>
    <w:rsid w:val="00EA4C3E"/>
    <w:rsid w:val="00EA52F1"/>
    <w:rsid w:val="00EA559F"/>
    <w:rsid w:val="00EA5B4A"/>
    <w:rsid w:val="00EA5D22"/>
    <w:rsid w:val="00EA5F08"/>
    <w:rsid w:val="00EA5F0E"/>
    <w:rsid w:val="00EA61AF"/>
    <w:rsid w:val="00EA6868"/>
    <w:rsid w:val="00EA6D5D"/>
    <w:rsid w:val="00EA6FCE"/>
    <w:rsid w:val="00EA6FD4"/>
    <w:rsid w:val="00EA75B5"/>
    <w:rsid w:val="00EA773F"/>
    <w:rsid w:val="00EA7B93"/>
    <w:rsid w:val="00EA7F05"/>
    <w:rsid w:val="00EB0292"/>
    <w:rsid w:val="00EB0396"/>
    <w:rsid w:val="00EB0559"/>
    <w:rsid w:val="00EB1318"/>
    <w:rsid w:val="00EB1580"/>
    <w:rsid w:val="00EB1AB1"/>
    <w:rsid w:val="00EB2414"/>
    <w:rsid w:val="00EB269D"/>
    <w:rsid w:val="00EB2AD2"/>
    <w:rsid w:val="00EB2AE2"/>
    <w:rsid w:val="00EB313E"/>
    <w:rsid w:val="00EB3353"/>
    <w:rsid w:val="00EB3707"/>
    <w:rsid w:val="00EB3895"/>
    <w:rsid w:val="00EB3926"/>
    <w:rsid w:val="00EB40FA"/>
    <w:rsid w:val="00EB51E3"/>
    <w:rsid w:val="00EB5413"/>
    <w:rsid w:val="00EB54AD"/>
    <w:rsid w:val="00EB5B61"/>
    <w:rsid w:val="00EB5CC2"/>
    <w:rsid w:val="00EB617F"/>
    <w:rsid w:val="00EB6BE8"/>
    <w:rsid w:val="00EB6CB6"/>
    <w:rsid w:val="00EB7051"/>
    <w:rsid w:val="00EB7231"/>
    <w:rsid w:val="00EB7EB5"/>
    <w:rsid w:val="00EC0424"/>
    <w:rsid w:val="00EC06BA"/>
    <w:rsid w:val="00EC07D3"/>
    <w:rsid w:val="00EC0C14"/>
    <w:rsid w:val="00EC10B7"/>
    <w:rsid w:val="00EC1A6E"/>
    <w:rsid w:val="00EC1CDD"/>
    <w:rsid w:val="00EC1EF8"/>
    <w:rsid w:val="00EC1F33"/>
    <w:rsid w:val="00EC20A9"/>
    <w:rsid w:val="00EC23F0"/>
    <w:rsid w:val="00EC26CF"/>
    <w:rsid w:val="00EC28C7"/>
    <w:rsid w:val="00EC32D2"/>
    <w:rsid w:val="00EC3D82"/>
    <w:rsid w:val="00EC411C"/>
    <w:rsid w:val="00EC41FD"/>
    <w:rsid w:val="00EC48ED"/>
    <w:rsid w:val="00EC4B6C"/>
    <w:rsid w:val="00EC503D"/>
    <w:rsid w:val="00EC52AE"/>
    <w:rsid w:val="00EC5344"/>
    <w:rsid w:val="00EC55DC"/>
    <w:rsid w:val="00EC58B3"/>
    <w:rsid w:val="00EC5FFA"/>
    <w:rsid w:val="00EC653A"/>
    <w:rsid w:val="00EC6882"/>
    <w:rsid w:val="00EC6E15"/>
    <w:rsid w:val="00EC7321"/>
    <w:rsid w:val="00EC79E3"/>
    <w:rsid w:val="00ED0166"/>
    <w:rsid w:val="00ED01B4"/>
    <w:rsid w:val="00ED0766"/>
    <w:rsid w:val="00ED0AF4"/>
    <w:rsid w:val="00ED0DA1"/>
    <w:rsid w:val="00ED15D5"/>
    <w:rsid w:val="00ED162F"/>
    <w:rsid w:val="00ED1A9B"/>
    <w:rsid w:val="00ED1A9E"/>
    <w:rsid w:val="00ED1CAE"/>
    <w:rsid w:val="00ED1F91"/>
    <w:rsid w:val="00ED2630"/>
    <w:rsid w:val="00ED3AE1"/>
    <w:rsid w:val="00ED455D"/>
    <w:rsid w:val="00ED46BA"/>
    <w:rsid w:val="00ED54DE"/>
    <w:rsid w:val="00ED66BD"/>
    <w:rsid w:val="00ED6A65"/>
    <w:rsid w:val="00ED6BD5"/>
    <w:rsid w:val="00ED6DFB"/>
    <w:rsid w:val="00ED77B2"/>
    <w:rsid w:val="00ED7F3E"/>
    <w:rsid w:val="00EE00DE"/>
    <w:rsid w:val="00EE035C"/>
    <w:rsid w:val="00EE0432"/>
    <w:rsid w:val="00EE059D"/>
    <w:rsid w:val="00EE0B09"/>
    <w:rsid w:val="00EE0C84"/>
    <w:rsid w:val="00EE107C"/>
    <w:rsid w:val="00EE1A2E"/>
    <w:rsid w:val="00EE20D5"/>
    <w:rsid w:val="00EE2EA1"/>
    <w:rsid w:val="00EE4135"/>
    <w:rsid w:val="00EE4927"/>
    <w:rsid w:val="00EE4934"/>
    <w:rsid w:val="00EE4F8C"/>
    <w:rsid w:val="00EE52CE"/>
    <w:rsid w:val="00EE571D"/>
    <w:rsid w:val="00EE58F5"/>
    <w:rsid w:val="00EE59D6"/>
    <w:rsid w:val="00EE5CD2"/>
    <w:rsid w:val="00EE62A9"/>
    <w:rsid w:val="00EE673B"/>
    <w:rsid w:val="00EF0BB6"/>
    <w:rsid w:val="00EF12DC"/>
    <w:rsid w:val="00EF1336"/>
    <w:rsid w:val="00EF1734"/>
    <w:rsid w:val="00EF1FCB"/>
    <w:rsid w:val="00EF22CF"/>
    <w:rsid w:val="00EF25AF"/>
    <w:rsid w:val="00EF27FE"/>
    <w:rsid w:val="00EF2ED9"/>
    <w:rsid w:val="00EF325F"/>
    <w:rsid w:val="00EF339D"/>
    <w:rsid w:val="00EF3F83"/>
    <w:rsid w:val="00EF4C00"/>
    <w:rsid w:val="00EF4C7E"/>
    <w:rsid w:val="00EF5134"/>
    <w:rsid w:val="00EF540B"/>
    <w:rsid w:val="00EF6069"/>
    <w:rsid w:val="00EF67D6"/>
    <w:rsid w:val="00EF6B69"/>
    <w:rsid w:val="00EF724E"/>
    <w:rsid w:val="00EF77D0"/>
    <w:rsid w:val="00EF77F4"/>
    <w:rsid w:val="00F001C3"/>
    <w:rsid w:val="00F00753"/>
    <w:rsid w:val="00F01987"/>
    <w:rsid w:val="00F0251C"/>
    <w:rsid w:val="00F025B4"/>
    <w:rsid w:val="00F025F6"/>
    <w:rsid w:val="00F025F8"/>
    <w:rsid w:val="00F02649"/>
    <w:rsid w:val="00F03126"/>
    <w:rsid w:val="00F03549"/>
    <w:rsid w:val="00F038D9"/>
    <w:rsid w:val="00F03C28"/>
    <w:rsid w:val="00F048ED"/>
    <w:rsid w:val="00F04A64"/>
    <w:rsid w:val="00F04C47"/>
    <w:rsid w:val="00F04D34"/>
    <w:rsid w:val="00F050BE"/>
    <w:rsid w:val="00F05930"/>
    <w:rsid w:val="00F05B58"/>
    <w:rsid w:val="00F05C2B"/>
    <w:rsid w:val="00F05E54"/>
    <w:rsid w:val="00F05FB0"/>
    <w:rsid w:val="00F06D52"/>
    <w:rsid w:val="00F06E0C"/>
    <w:rsid w:val="00F07110"/>
    <w:rsid w:val="00F076D8"/>
    <w:rsid w:val="00F1055B"/>
    <w:rsid w:val="00F108C5"/>
    <w:rsid w:val="00F11261"/>
    <w:rsid w:val="00F11834"/>
    <w:rsid w:val="00F11E32"/>
    <w:rsid w:val="00F1281C"/>
    <w:rsid w:val="00F12C60"/>
    <w:rsid w:val="00F12D4B"/>
    <w:rsid w:val="00F13530"/>
    <w:rsid w:val="00F13823"/>
    <w:rsid w:val="00F13AC1"/>
    <w:rsid w:val="00F1471D"/>
    <w:rsid w:val="00F1494C"/>
    <w:rsid w:val="00F151B9"/>
    <w:rsid w:val="00F153C9"/>
    <w:rsid w:val="00F15C3C"/>
    <w:rsid w:val="00F16054"/>
    <w:rsid w:val="00F161CD"/>
    <w:rsid w:val="00F162CB"/>
    <w:rsid w:val="00F16838"/>
    <w:rsid w:val="00F16AB4"/>
    <w:rsid w:val="00F16CDD"/>
    <w:rsid w:val="00F17040"/>
    <w:rsid w:val="00F177E5"/>
    <w:rsid w:val="00F20517"/>
    <w:rsid w:val="00F20833"/>
    <w:rsid w:val="00F20C97"/>
    <w:rsid w:val="00F20D5A"/>
    <w:rsid w:val="00F21704"/>
    <w:rsid w:val="00F21A4C"/>
    <w:rsid w:val="00F224A5"/>
    <w:rsid w:val="00F22EBC"/>
    <w:rsid w:val="00F23B18"/>
    <w:rsid w:val="00F23E43"/>
    <w:rsid w:val="00F24088"/>
    <w:rsid w:val="00F244DB"/>
    <w:rsid w:val="00F24595"/>
    <w:rsid w:val="00F246F7"/>
    <w:rsid w:val="00F24E24"/>
    <w:rsid w:val="00F2597D"/>
    <w:rsid w:val="00F26424"/>
    <w:rsid w:val="00F26A6B"/>
    <w:rsid w:val="00F26D4B"/>
    <w:rsid w:val="00F27176"/>
    <w:rsid w:val="00F271B5"/>
    <w:rsid w:val="00F27395"/>
    <w:rsid w:val="00F27990"/>
    <w:rsid w:val="00F27E61"/>
    <w:rsid w:val="00F27ED0"/>
    <w:rsid w:val="00F30348"/>
    <w:rsid w:val="00F31F88"/>
    <w:rsid w:val="00F326BE"/>
    <w:rsid w:val="00F328E2"/>
    <w:rsid w:val="00F32C24"/>
    <w:rsid w:val="00F33102"/>
    <w:rsid w:val="00F3338A"/>
    <w:rsid w:val="00F334EB"/>
    <w:rsid w:val="00F34293"/>
    <w:rsid w:val="00F3440F"/>
    <w:rsid w:val="00F34493"/>
    <w:rsid w:val="00F3476E"/>
    <w:rsid w:val="00F349FE"/>
    <w:rsid w:val="00F34DEA"/>
    <w:rsid w:val="00F3506C"/>
    <w:rsid w:val="00F35A3D"/>
    <w:rsid w:val="00F36661"/>
    <w:rsid w:val="00F367DB"/>
    <w:rsid w:val="00F37244"/>
    <w:rsid w:val="00F37262"/>
    <w:rsid w:val="00F3751F"/>
    <w:rsid w:val="00F3770F"/>
    <w:rsid w:val="00F377D3"/>
    <w:rsid w:val="00F37B14"/>
    <w:rsid w:val="00F40093"/>
    <w:rsid w:val="00F40B66"/>
    <w:rsid w:val="00F4120B"/>
    <w:rsid w:val="00F412A5"/>
    <w:rsid w:val="00F4191F"/>
    <w:rsid w:val="00F41DAA"/>
    <w:rsid w:val="00F43160"/>
    <w:rsid w:val="00F4354A"/>
    <w:rsid w:val="00F4386F"/>
    <w:rsid w:val="00F4402D"/>
    <w:rsid w:val="00F44032"/>
    <w:rsid w:val="00F44226"/>
    <w:rsid w:val="00F44C1D"/>
    <w:rsid w:val="00F4506C"/>
    <w:rsid w:val="00F45348"/>
    <w:rsid w:val="00F458B6"/>
    <w:rsid w:val="00F45A06"/>
    <w:rsid w:val="00F45B28"/>
    <w:rsid w:val="00F45CFA"/>
    <w:rsid w:val="00F45DE4"/>
    <w:rsid w:val="00F45DED"/>
    <w:rsid w:val="00F46A83"/>
    <w:rsid w:val="00F47815"/>
    <w:rsid w:val="00F47F91"/>
    <w:rsid w:val="00F50149"/>
    <w:rsid w:val="00F50281"/>
    <w:rsid w:val="00F503A8"/>
    <w:rsid w:val="00F51610"/>
    <w:rsid w:val="00F51A5B"/>
    <w:rsid w:val="00F51B8C"/>
    <w:rsid w:val="00F522D2"/>
    <w:rsid w:val="00F5291E"/>
    <w:rsid w:val="00F530E4"/>
    <w:rsid w:val="00F536D9"/>
    <w:rsid w:val="00F53C7C"/>
    <w:rsid w:val="00F53CB0"/>
    <w:rsid w:val="00F542CD"/>
    <w:rsid w:val="00F54491"/>
    <w:rsid w:val="00F54B7E"/>
    <w:rsid w:val="00F55057"/>
    <w:rsid w:val="00F55C43"/>
    <w:rsid w:val="00F55CFB"/>
    <w:rsid w:val="00F56A9A"/>
    <w:rsid w:val="00F56F13"/>
    <w:rsid w:val="00F57AF4"/>
    <w:rsid w:val="00F57C1C"/>
    <w:rsid w:val="00F57C61"/>
    <w:rsid w:val="00F601BA"/>
    <w:rsid w:val="00F60B60"/>
    <w:rsid w:val="00F60E2E"/>
    <w:rsid w:val="00F610F1"/>
    <w:rsid w:val="00F61AF3"/>
    <w:rsid w:val="00F61E61"/>
    <w:rsid w:val="00F61F90"/>
    <w:rsid w:val="00F62210"/>
    <w:rsid w:val="00F6253B"/>
    <w:rsid w:val="00F625F2"/>
    <w:rsid w:val="00F62684"/>
    <w:rsid w:val="00F62886"/>
    <w:rsid w:val="00F62D88"/>
    <w:rsid w:val="00F62F5B"/>
    <w:rsid w:val="00F63481"/>
    <w:rsid w:val="00F641FC"/>
    <w:rsid w:val="00F64D3C"/>
    <w:rsid w:val="00F64E67"/>
    <w:rsid w:val="00F65213"/>
    <w:rsid w:val="00F6527E"/>
    <w:rsid w:val="00F65348"/>
    <w:rsid w:val="00F65700"/>
    <w:rsid w:val="00F65BFC"/>
    <w:rsid w:val="00F66138"/>
    <w:rsid w:val="00F661CC"/>
    <w:rsid w:val="00F664CC"/>
    <w:rsid w:val="00F664E4"/>
    <w:rsid w:val="00F669C8"/>
    <w:rsid w:val="00F669F8"/>
    <w:rsid w:val="00F67293"/>
    <w:rsid w:val="00F67A54"/>
    <w:rsid w:val="00F67A8D"/>
    <w:rsid w:val="00F705B1"/>
    <w:rsid w:val="00F705FC"/>
    <w:rsid w:val="00F7140C"/>
    <w:rsid w:val="00F717A3"/>
    <w:rsid w:val="00F71A0B"/>
    <w:rsid w:val="00F71A82"/>
    <w:rsid w:val="00F721C3"/>
    <w:rsid w:val="00F7299D"/>
    <w:rsid w:val="00F72D6D"/>
    <w:rsid w:val="00F72E53"/>
    <w:rsid w:val="00F73428"/>
    <w:rsid w:val="00F73977"/>
    <w:rsid w:val="00F73AD6"/>
    <w:rsid w:val="00F740E4"/>
    <w:rsid w:val="00F74A7F"/>
    <w:rsid w:val="00F74B34"/>
    <w:rsid w:val="00F74E99"/>
    <w:rsid w:val="00F74F38"/>
    <w:rsid w:val="00F75BFE"/>
    <w:rsid w:val="00F75EAF"/>
    <w:rsid w:val="00F768CD"/>
    <w:rsid w:val="00F76FA4"/>
    <w:rsid w:val="00F772F9"/>
    <w:rsid w:val="00F779D4"/>
    <w:rsid w:val="00F805F6"/>
    <w:rsid w:val="00F80ABC"/>
    <w:rsid w:val="00F80B45"/>
    <w:rsid w:val="00F81041"/>
    <w:rsid w:val="00F8106F"/>
    <w:rsid w:val="00F8209F"/>
    <w:rsid w:val="00F822A7"/>
    <w:rsid w:val="00F82690"/>
    <w:rsid w:val="00F82800"/>
    <w:rsid w:val="00F82859"/>
    <w:rsid w:val="00F82AA8"/>
    <w:rsid w:val="00F82F0A"/>
    <w:rsid w:val="00F82FD5"/>
    <w:rsid w:val="00F83834"/>
    <w:rsid w:val="00F84418"/>
    <w:rsid w:val="00F8562E"/>
    <w:rsid w:val="00F85E98"/>
    <w:rsid w:val="00F86623"/>
    <w:rsid w:val="00F868A5"/>
    <w:rsid w:val="00F86A77"/>
    <w:rsid w:val="00F86C61"/>
    <w:rsid w:val="00F879CE"/>
    <w:rsid w:val="00F87C11"/>
    <w:rsid w:val="00F90341"/>
    <w:rsid w:val="00F912DF"/>
    <w:rsid w:val="00F9138A"/>
    <w:rsid w:val="00F913BD"/>
    <w:rsid w:val="00F9190B"/>
    <w:rsid w:val="00F921FB"/>
    <w:rsid w:val="00F92AAA"/>
    <w:rsid w:val="00F92BFF"/>
    <w:rsid w:val="00F933C5"/>
    <w:rsid w:val="00F935D6"/>
    <w:rsid w:val="00F93720"/>
    <w:rsid w:val="00F93A14"/>
    <w:rsid w:val="00F93CBE"/>
    <w:rsid w:val="00F94CCD"/>
    <w:rsid w:val="00F94CDF"/>
    <w:rsid w:val="00F94F49"/>
    <w:rsid w:val="00F9531A"/>
    <w:rsid w:val="00F95493"/>
    <w:rsid w:val="00F959BD"/>
    <w:rsid w:val="00F95A67"/>
    <w:rsid w:val="00F95B53"/>
    <w:rsid w:val="00F95EBA"/>
    <w:rsid w:val="00F96191"/>
    <w:rsid w:val="00F96741"/>
    <w:rsid w:val="00F96F0D"/>
    <w:rsid w:val="00F97033"/>
    <w:rsid w:val="00F9770B"/>
    <w:rsid w:val="00FA0075"/>
    <w:rsid w:val="00FA0383"/>
    <w:rsid w:val="00FA03B1"/>
    <w:rsid w:val="00FA0C79"/>
    <w:rsid w:val="00FA10E8"/>
    <w:rsid w:val="00FA21A8"/>
    <w:rsid w:val="00FA2538"/>
    <w:rsid w:val="00FA267E"/>
    <w:rsid w:val="00FA2B94"/>
    <w:rsid w:val="00FA3279"/>
    <w:rsid w:val="00FA335C"/>
    <w:rsid w:val="00FA34F1"/>
    <w:rsid w:val="00FA35D6"/>
    <w:rsid w:val="00FA3973"/>
    <w:rsid w:val="00FA3DAC"/>
    <w:rsid w:val="00FA3F81"/>
    <w:rsid w:val="00FA3FB7"/>
    <w:rsid w:val="00FA476F"/>
    <w:rsid w:val="00FA5068"/>
    <w:rsid w:val="00FA513A"/>
    <w:rsid w:val="00FA5718"/>
    <w:rsid w:val="00FA597F"/>
    <w:rsid w:val="00FA5EB2"/>
    <w:rsid w:val="00FA6177"/>
    <w:rsid w:val="00FA61E5"/>
    <w:rsid w:val="00FA664D"/>
    <w:rsid w:val="00FA6C10"/>
    <w:rsid w:val="00FA7088"/>
    <w:rsid w:val="00FA71F0"/>
    <w:rsid w:val="00FA76E0"/>
    <w:rsid w:val="00FA7D76"/>
    <w:rsid w:val="00FA7F09"/>
    <w:rsid w:val="00FA7F12"/>
    <w:rsid w:val="00FB0EFC"/>
    <w:rsid w:val="00FB12F8"/>
    <w:rsid w:val="00FB1841"/>
    <w:rsid w:val="00FB2273"/>
    <w:rsid w:val="00FB23E3"/>
    <w:rsid w:val="00FB3345"/>
    <w:rsid w:val="00FB368A"/>
    <w:rsid w:val="00FB38A1"/>
    <w:rsid w:val="00FB3C86"/>
    <w:rsid w:val="00FB3D6F"/>
    <w:rsid w:val="00FB3F30"/>
    <w:rsid w:val="00FB42D8"/>
    <w:rsid w:val="00FB4537"/>
    <w:rsid w:val="00FB4611"/>
    <w:rsid w:val="00FB4D61"/>
    <w:rsid w:val="00FB5795"/>
    <w:rsid w:val="00FB59DC"/>
    <w:rsid w:val="00FB6545"/>
    <w:rsid w:val="00FB6A2D"/>
    <w:rsid w:val="00FB6B72"/>
    <w:rsid w:val="00FB6B84"/>
    <w:rsid w:val="00FB737B"/>
    <w:rsid w:val="00FB7C16"/>
    <w:rsid w:val="00FB7DBE"/>
    <w:rsid w:val="00FC0029"/>
    <w:rsid w:val="00FC0057"/>
    <w:rsid w:val="00FC0261"/>
    <w:rsid w:val="00FC0E88"/>
    <w:rsid w:val="00FC1C35"/>
    <w:rsid w:val="00FC1C96"/>
    <w:rsid w:val="00FC1D1E"/>
    <w:rsid w:val="00FC248B"/>
    <w:rsid w:val="00FC2545"/>
    <w:rsid w:val="00FC2BBC"/>
    <w:rsid w:val="00FC3122"/>
    <w:rsid w:val="00FC312E"/>
    <w:rsid w:val="00FC3193"/>
    <w:rsid w:val="00FC3302"/>
    <w:rsid w:val="00FC3606"/>
    <w:rsid w:val="00FC3A61"/>
    <w:rsid w:val="00FC3D71"/>
    <w:rsid w:val="00FC3EF8"/>
    <w:rsid w:val="00FC48B4"/>
    <w:rsid w:val="00FC4F76"/>
    <w:rsid w:val="00FC5779"/>
    <w:rsid w:val="00FC5D87"/>
    <w:rsid w:val="00FC6083"/>
    <w:rsid w:val="00FC637E"/>
    <w:rsid w:val="00FC6445"/>
    <w:rsid w:val="00FC648F"/>
    <w:rsid w:val="00FC6A14"/>
    <w:rsid w:val="00FC6CDA"/>
    <w:rsid w:val="00FC709E"/>
    <w:rsid w:val="00FC7119"/>
    <w:rsid w:val="00FC7671"/>
    <w:rsid w:val="00FC77E7"/>
    <w:rsid w:val="00FC7DDC"/>
    <w:rsid w:val="00FD02BC"/>
    <w:rsid w:val="00FD03AD"/>
    <w:rsid w:val="00FD0664"/>
    <w:rsid w:val="00FD0DF0"/>
    <w:rsid w:val="00FD13F5"/>
    <w:rsid w:val="00FD2E7F"/>
    <w:rsid w:val="00FD30F4"/>
    <w:rsid w:val="00FD32D9"/>
    <w:rsid w:val="00FD4230"/>
    <w:rsid w:val="00FD4F4A"/>
    <w:rsid w:val="00FD5804"/>
    <w:rsid w:val="00FD5AC7"/>
    <w:rsid w:val="00FD5BC9"/>
    <w:rsid w:val="00FD5D20"/>
    <w:rsid w:val="00FD5E25"/>
    <w:rsid w:val="00FD6127"/>
    <w:rsid w:val="00FD65E1"/>
    <w:rsid w:val="00FD6E30"/>
    <w:rsid w:val="00FD6F21"/>
    <w:rsid w:val="00FD706E"/>
    <w:rsid w:val="00FD70F2"/>
    <w:rsid w:val="00FD7418"/>
    <w:rsid w:val="00FD7D31"/>
    <w:rsid w:val="00FD7E8D"/>
    <w:rsid w:val="00FE01F2"/>
    <w:rsid w:val="00FE04D8"/>
    <w:rsid w:val="00FE0B0E"/>
    <w:rsid w:val="00FE0EA5"/>
    <w:rsid w:val="00FE1300"/>
    <w:rsid w:val="00FE1460"/>
    <w:rsid w:val="00FE2FE0"/>
    <w:rsid w:val="00FE3328"/>
    <w:rsid w:val="00FE4044"/>
    <w:rsid w:val="00FE4159"/>
    <w:rsid w:val="00FE48B2"/>
    <w:rsid w:val="00FE4B65"/>
    <w:rsid w:val="00FE4E7F"/>
    <w:rsid w:val="00FE54D2"/>
    <w:rsid w:val="00FE5AF1"/>
    <w:rsid w:val="00FE610A"/>
    <w:rsid w:val="00FE6B3A"/>
    <w:rsid w:val="00FE6E35"/>
    <w:rsid w:val="00FE6FF5"/>
    <w:rsid w:val="00FE764A"/>
    <w:rsid w:val="00FE789F"/>
    <w:rsid w:val="00FE78FC"/>
    <w:rsid w:val="00FE7C5D"/>
    <w:rsid w:val="00FE7E2F"/>
    <w:rsid w:val="00FF0319"/>
    <w:rsid w:val="00FF05C6"/>
    <w:rsid w:val="00FF16A4"/>
    <w:rsid w:val="00FF1939"/>
    <w:rsid w:val="00FF1F87"/>
    <w:rsid w:val="00FF2351"/>
    <w:rsid w:val="00FF246D"/>
    <w:rsid w:val="00FF28F1"/>
    <w:rsid w:val="00FF2BCF"/>
    <w:rsid w:val="00FF31D7"/>
    <w:rsid w:val="00FF36E7"/>
    <w:rsid w:val="00FF3A1A"/>
    <w:rsid w:val="00FF3EED"/>
    <w:rsid w:val="00FF3F3E"/>
    <w:rsid w:val="00FF4314"/>
    <w:rsid w:val="00FF4393"/>
    <w:rsid w:val="00FF4500"/>
    <w:rsid w:val="00FF4798"/>
    <w:rsid w:val="00FF5140"/>
    <w:rsid w:val="00FF515A"/>
    <w:rsid w:val="00FF55C3"/>
    <w:rsid w:val="00FF55CD"/>
    <w:rsid w:val="00FF5AA2"/>
    <w:rsid w:val="00FF6F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ED52467"/>
  <w15:docId w15:val="{D8757D13-D469-479F-A09A-A387A45EC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color w:val="000000" w:themeColor="text1"/>
        <w:sz w:val="24"/>
        <w:szCs w:val="18"/>
        <w:lang w:val="en-US" w:eastAsia="en-US" w:bidi="en-US"/>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3569C"/>
    <w:pPr>
      <w:spacing w:after="0" w:line="480" w:lineRule="auto"/>
    </w:pPr>
  </w:style>
  <w:style w:type="paragraph" w:styleId="Heading1">
    <w:name w:val="heading 1"/>
    <w:basedOn w:val="Normal"/>
    <w:next w:val="Normal"/>
    <w:link w:val="Heading1Char"/>
    <w:uiPriority w:val="9"/>
    <w:qFormat/>
    <w:rsid w:val="002D1B51"/>
    <w:pPr>
      <w:numPr>
        <w:numId w:val="23"/>
      </w:numPr>
      <w:ind w:left="0" w:firstLine="0"/>
      <w:contextualSpacing/>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2D1B51"/>
    <w:pPr>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8A43B9"/>
    <w:pPr>
      <w:numPr>
        <w:ilvl w:val="2"/>
        <w:numId w:val="11"/>
      </w:numPr>
      <w:outlineLvl w:val="2"/>
    </w:pPr>
    <w:rPr>
      <w:rFonts w:eastAsiaTheme="majorEastAsia" w:cstheme="majorBidi"/>
      <w:bCs/>
      <w:i/>
    </w:rPr>
  </w:style>
  <w:style w:type="paragraph" w:styleId="Heading4">
    <w:name w:val="heading 4"/>
    <w:basedOn w:val="Normal"/>
    <w:next w:val="Normal"/>
    <w:link w:val="Heading4Char"/>
    <w:uiPriority w:val="9"/>
    <w:unhideWhenUsed/>
    <w:qFormat/>
    <w:rsid w:val="00481C88"/>
    <w:pPr>
      <w:numPr>
        <w:ilvl w:val="3"/>
        <w:numId w:val="11"/>
      </w:numPr>
      <w:outlineLvl w:val="3"/>
    </w:pPr>
    <w:rPr>
      <w:rFonts w:eastAsiaTheme="majorEastAsia" w:cstheme="majorBidi"/>
      <w:b/>
      <w:bCs/>
      <w:i/>
      <w:iCs/>
      <w:u w:val="single"/>
    </w:rPr>
  </w:style>
  <w:style w:type="paragraph" w:styleId="Heading5">
    <w:name w:val="heading 5"/>
    <w:basedOn w:val="Normal"/>
    <w:next w:val="Normal"/>
    <w:link w:val="Heading5Char"/>
    <w:uiPriority w:val="9"/>
    <w:unhideWhenUsed/>
    <w:qFormat/>
    <w:rsid w:val="001357D2"/>
    <w:pPr>
      <w:numPr>
        <w:ilvl w:val="4"/>
        <w:numId w:val="11"/>
      </w:numPr>
      <w:outlineLvl w:val="4"/>
    </w:pPr>
    <w:rPr>
      <w:rFonts w:eastAsiaTheme="majorEastAsia" w:cstheme="majorBidi"/>
      <w:bCs/>
      <w:i/>
    </w:rPr>
  </w:style>
  <w:style w:type="paragraph" w:styleId="Heading6">
    <w:name w:val="heading 6"/>
    <w:basedOn w:val="Normal"/>
    <w:next w:val="Normal"/>
    <w:link w:val="Heading6Char"/>
    <w:uiPriority w:val="9"/>
    <w:semiHidden/>
    <w:unhideWhenUsed/>
    <w:qFormat/>
    <w:rsid w:val="00A72760"/>
    <w:pPr>
      <w:numPr>
        <w:ilvl w:val="5"/>
        <w:numId w:val="11"/>
      </w:num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A72760"/>
    <w:pPr>
      <w:numPr>
        <w:ilvl w:val="6"/>
        <w:numId w:val="11"/>
      </w:num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72760"/>
    <w:pPr>
      <w:numPr>
        <w:ilvl w:val="7"/>
        <w:numId w:val="11"/>
      </w:num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72760"/>
    <w:pPr>
      <w:numPr>
        <w:ilvl w:val="8"/>
        <w:numId w:val="11"/>
      </w:num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1B51"/>
    <w:rPr>
      <w:rFonts w:eastAsiaTheme="majorEastAsia" w:cstheme="majorBidi"/>
      <w:b/>
      <w:bCs/>
      <w:sz w:val="28"/>
      <w:szCs w:val="28"/>
    </w:rPr>
  </w:style>
  <w:style w:type="character" w:customStyle="1" w:styleId="Heading2Char">
    <w:name w:val="Heading 2 Char"/>
    <w:basedOn w:val="DefaultParagraphFont"/>
    <w:link w:val="Heading2"/>
    <w:uiPriority w:val="9"/>
    <w:rsid w:val="008A43B9"/>
    <w:rPr>
      <w:rFonts w:eastAsiaTheme="majorEastAsia" w:cstheme="majorBidi"/>
      <w:b/>
      <w:bCs/>
      <w:szCs w:val="26"/>
    </w:rPr>
  </w:style>
  <w:style w:type="character" w:customStyle="1" w:styleId="Heading3Char">
    <w:name w:val="Heading 3 Char"/>
    <w:basedOn w:val="DefaultParagraphFont"/>
    <w:link w:val="Heading3"/>
    <w:uiPriority w:val="9"/>
    <w:rsid w:val="008A43B9"/>
    <w:rPr>
      <w:rFonts w:eastAsiaTheme="majorEastAsia" w:cstheme="majorBidi"/>
      <w:bCs/>
      <w:i/>
    </w:rPr>
  </w:style>
  <w:style w:type="character" w:customStyle="1" w:styleId="Heading4Char">
    <w:name w:val="Heading 4 Char"/>
    <w:basedOn w:val="DefaultParagraphFont"/>
    <w:link w:val="Heading4"/>
    <w:uiPriority w:val="9"/>
    <w:rsid w:val="00481C88"/>
    <w:rPr>
      <w:rFonts w:ascii="Times New Roman" w:eastAsiaTheme="majorEastAsia" w:hAnsi="Times New Roman" w:cstheme="majorBidi"/>
      <w:b/>
      <w:bCs/>
      <w:i/>
      <w:iCs/>
      <w:sz w:val="24"/>
      <w:u w:val="single"/>
    </w:rPr>
  </w:style>
  <w:style w:type="character" w:customStyle="1" w:styleId="Heading5Char">
    <w:name w:val="Heading 5 Char"/>
    <w:basedOn w:val="DefaultParagraphFont"/>
    <w:link w:val="Heading5"/>
    <w:uiPriority w:val="9"/>
    <w:rsid w:val="001357D2"/>
    <w:rPr>
      <w:rFonts w:ascii="Times New Roman" w:eastAsiaTheme="majorEastAsia" w:hAnsi="Times New Roman" w:cstheme="majorBidi"/>
      <w:bCs/>
      <w:i/>
      <w:sz w:val="24"/>
    </w:rPr>
  </w:style>
  <w:style w:type="character" w:customStyle="1" w:styleId="Heading6Char">
    <w:name w:val="Heading 6 Char"/>
    <w:basedOn w:val="DefaultParagraphFont"/>
    <w:link w:val="Heading6"/>
    <w:uiPriority w:val="9"/>
    <w:semiHidden/>
    <w:rsid w:val="00A7276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A7276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7276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72760"/>
    <w:rPr>
      <w:rFonts w:asciiTheme="majorHAnsi" w:eastAsiaTheme="majorEastAsia" w:hAnsiTheme="majorHAnsi" w:cstheme="majorBidi"/>
      <w:i/>
      <w:iCs/>
      <w:spacing w:val="5"/>
      <w:sz w:val="20"/>
      <w:szCs w:val="20"/>
    </w:rPr>
  </w:style>
  <w:style w:type="paragraph" w:styleId="NoSpacing">
    <w:name w:val="No Spacing"/>
    <w:basedOn w:val="Normal"/>
    <w:link w:val="NoSpacingChar"/>
    <w:uiPriority w:val="1"/>
    <w:qFormat/>
    <w:rsid w:val="009E6170"/>
    <w:pPr>
      <w:spacing w:line="240" w:lineRule="auto"/>
    </w:pPr>
  </w:style>
  <w:style w:type="character" w:customStyle="1" w:styleId="NoSpacingChar">
    <w:name w:val="No Spacing Char"/>
    <w:basedOn w:val="DefaultParagraphFont"/>
    <w:link w:val="NoSpacing"/>
    <w:uiPriority w:val="1"/>
    <w:rsid w:val="009E6170"/>
    <w:rPr>
      <w:rFonts w:ascii="Times New Roman" w:hAnsi="Times New Roman"/>
      <w:sz w:val="24"/>
    </w:rPr>
  </w:style>
  <w:style w:type="paragraph" w:styleId="ListParagraph">
    <w:name w:val="List Paragraph"/>
    <w:basedOn w:val="Normal"/>
    <w:uiPriority w:val="34"/>
    <w:qFormat/>
    <w:rsid w:val="00A72760"/>
    <w:pPr>
      <w:ind w:left="720"/>
      <w:contextualSpacing/>
    </w:pPr>
  </w:style>
  <w:style w:type="character" w:styleId="SubtleEmphasis">
    <w:name w:val="Subtle Emphasis"/>
    <w:uiPriority w:val="19"/>
    <w:qFormat/>
    <w:rsid w:val="00A72760"/>
    <w:rPr>
      <w:i/>
      <w:iCs/>
    </w:rPr>
  </w:style>
  <w:style w:type="paragraph" w:styleId="CommentText">
    <w:name w:val="annotation text"/>
    <w:basedOn w:val="Normal"/>
    <w:link w:val="CommentTextChar"/>
    <w:uiPriority w:val="99"/>
    <w:unhideWhenUsed/>
    <w:rsid w:val="00434FBD"/>
    <w:rPr>
      <w:sz w:val="20"/>
      <w:szCs w:val="20"/>
    </w:rPr>
  </w:style>
  <w:style w:type="character" w:customStyle="1" w:styleId="CommentTextChar">
    <w:name w:val="Comment Text Char"/>
    <w:basedOn w:val="DefaultParagraphFont"/>
    <w:link w:val="CommentText"/>
    <w:uiPriority w:val="99"/>
    <w:rsid w:val="00434FBD"/>
    <w:rPr>
      <w:sz w:val="20"/>
      <w:szCs w:val="20"/>
    </w:rPr>
  </w:style>
  <w:style w:type="character" w:styleId="CommentReference">
    <w:name w:val="annotation reference"/>
    <w:basedOn w:val="DefaultParagraphFont"/>
    <w:uiPriority w:val="99"/>
    <w:semiHidden/>
    <w:rsid w:val="00434FBD"/>
    <w:rPr>
      <w:rFonts w:cs="Times New Roman"/>
      <w:sz w:val="18"/>
      <w:szCs w:val="18"/>
    </w:rPr>
  </w:style>
  <w:style w:type="character" w:styleId="Hyperlink">
    <w:name w:val="Hyperlink"/>
    <w:basedOn w:val="DefaultParagraphFont"/>
    <w:uiPriority w:val="99"/>
    <w:unhideWhenUsed/>
    <w:rsid w:val="00434FBD"/>
    <w:rPr>
      <w:color w:val="0000FF" w:themeColor="hyperlink"/>
      <w:u w:val="single"/>
    </w:rPr>
  </w:style>
  <w:style w:type="paragraph" w:styleId="BalloonText">
    <w:name w:val="Balloon Text"/>
    <w:basedOn w:val="Normal"/>
    <w:link w:val="BalloonTextChar"/>
    <w:uiPriority w:val="99"/>
    <w:semiHidden/>
    <w:unhideWhenUsed/>
    <w:rsid w:val="00434FBD"/>
    <w:rPr>
      <w:rFonts w:ascii="Tahoma" w:hAnsi="Tahoma" w:cs="Tahoma"/>
      <w:sz w:val="16"/>
      <w:szCs w:val="16"/>
    </w:rPr>
  </w:style>
  <w:style w:type="character" w:customStyle="1" w:styleId="BalloonTextChar">
    <w:name w:val="Balloon Text Char"/>
    <w:basedOn w:val="DefaultParagraphFont"/>
    <w:link w:val="BalloonText"/>
    <w:uiPriority w:val="99"/>
    <w:semiHidden/>
    <w:rsid w:val="00434FBD"/>
    <w:rPr>
      <w:rFonts w:ascii="Tahoma" w:hAnsi="Tahoma" w:cs="Tahoma"/>
      <w:sz w:val="16"/>
      <w:szCs w:val="16"/>
    </w:rPr>
  </w:style>
  <w:style w:type="paragraph" w:styleId="Caption">
    <w:name w:val="caption"/>
    <w:basedOn w:val="Heading2"/>
    <w:next w:val="Normal"/>
    <w:uiPriority w:val="35"/>
    <w:unhideWhenUsed/>
    <w:rsid w:val="00D64BD2"/>
  </w:style>
  <w:style w:type="paragraph" w:styleId="Header">
    <w:name w:val="header"/>
    <w:basedOn w:val="Normal"/>
    <w:link w:val="HeaderChar"/>
    <w:uiPriority w:val="99"/>
    <w:unhideWhenUsed/>
    <w:rsid w:val="00E81F8D"/>
    <w:pPr>
      <w:tabs>
        <w:tab w:val="center" w:pos="4680"/>
        <w:tab w:val="right" w:pos="9360"/>
      </w:tabs>
    </w:pPr>
  </w:style>
  <w:style w:type="character" w:customStyle="1" w:styleId="HeaderChar">
    <w:name w:val="Header Char"/>
    <w:basedOn w:val="DefaultParagraphFont"/>
    <w:link w:val="Header"/>
    <w:uiPriority w:val="99"/>
    <w:rsid w:val="00E81F8D"/>
  </w:style>
  <w:style w:type="paragraph" w:styleId="Footer">
    <w:name w:val="footer"/>
    <w:basedOn w:val="Normal"/>
    <w:link w:val="FooterChar"/>
    <w:uiPriority w:val="99"/>
    <w:unhideWhenUsed/>
    <w:rsid w:val="00E81F8D"/>
    <w:pPr>
      <w:tabs>
        <w:tab w:val="center" w:pos="4680"/>
        <w:tab w:val="right" w:pos="9360"/>
      </w:tabs>
    </w:pPr>
  </w:style>
  <w:style w:type="character" w:customStyle="1" w:styleId="FooterChar">
    <w:name w:val="Footer Char"/>
    <w:basedOn w:val="DefaultParagraphFont"/>
    <w:link w:val="Footer"/>
    <w:uiPriority w:val="99"/>
    <w:rsid w:val="00E81F8D"/>
  </w:style>
  <w:style w:type="paragraph" w:styleId="CommentSubject">
    <w:name w:val="annotation subject"/>
    <w:basedOn w:val="CommentText"/>
    <w:next w:val="CommentText"/>
    <w:link w:val="CommentSubjectChar"/>
    <w:uiPriority w:val="99"/>
    <w:semiHidden/>
    <w:unhideWhenUsed/>
    <w:rsid w:val="00883800"/>
    <w:rPr>
      <w:b/>
      <w:bCs/>
    </w:rPr>
  </w:style>
  <w:style w:type="character" w:customStyle="1" w:styleId="CommentSubjectChar">
    <w:name w:val="Comment Subject Char"/>
    <w:basedOn w:val="CommentTextChar"/>
    <w:link w:val="CommentSubject"/>
    <w:uiPriority w:val="99"/>
    <w:semiHidden/>
    <w:rsid w:val="00883800"/>
    <w:rPr>
      <w:b/>
      <w:bCs/>
      <w:sz w:val="20"/>
      <w:szCs w:val="20"/>
    </w:rPr>
  </w:style>
  <w:style w:type="paragraph" w:styleId="Revision">
    <w:name w:val="Revision"/>
    <w:hidden/>
    <w:uiPriority w:val="99"/>
    <w:semiHidden/>
    <w:rsid w:val="00523D7C"/>
  </w:style>
  <w:style w:type="paragraph" w:styleId="Title">
    <w:name w:val="Title"/>
    <w:basedOn w:val="Normal"/>
    <w:next w:val="Normal"/>
    <w:link w:val="TitleChar"/>
    <w:uiPriority w:val="10"/>
    <w:qFormat/>
    <w:rsid w:val="00A72760"/>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A7276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A72760"/>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A72760"/>
    <w:rPr>
      <w:rFonts w:asciiTheme="majorHAnsi" w:eastAsiaTheme="majorEastAsia" w:hAnsiTheme="majorHAnsi" w:cstheme="majorBidi"/>
      <w:i/>
      <w:iCs/>
      <w:spacing w:val="13"/>
      <w:sz w:val="24"/>
      <w:szCs w:val="24"/>
    </w:rPr>
  </w:style>
  <w:style w:type="character" w:styleId="Strong">
    <w:name w:val="Strong"/>
    <w:uiPriority w:val="22"/>
    <w:qFormat/>
    <w:rsid w:val="00A72760"/>
    <w:rPr>
      <w:b/>
      <w:bCs/>
    </w:rPr>
  </w:style>
  <w:style w:type="character" w:styleId="Emphasis">
    <w:name w:val="Emphasis"/>
    <w:uiPriority w:val="20"/>
    <w:qFormat/>
    <w:rsid w:val="00A72760"/>
    <w:rPr>
      <w:b/>
      <w:bCs/>
      <w:i/>
      <w:iCs/>
      <w:spacing w:val="10"/>
      <w:bdr w:val="none" w:sz="0" w:space="0" w:color="auto"/>
      <w:shd w:val="clear" w:color="auto" w:fill="auto"/>
    </w:rPr>
  </w:style>
  <w:style w:type="paragraph" w:styleId="Quote">
    <w:name w:val="Quote"/>
    <w:basedOn w:val="Normal"/>
    <w:next w:val="Normal"/>
    <w:link w:val="QuoteChar"/>
    <w:uiPriority w:val="29"/>
    <w:qFormat/>
    <w:rsid w:val="00A72760"/>
    <w:pPr>
      <w:spacing w:before="200"/>
      <w:ind w:left="360" w:right="360"/>
    </w:pPr>
    <w:rPr>
      <w:i/>
      <w:iCs/>
    </w:rPr>
  </w:style>
  <w:style w:type="character" w:customStyle="1" w:styleId="QuoteChar">
    <w:name w:val="Quote Char"/>
    <w:basedOn w:val="DefaultParagraphFont"/>
    <w:link w:val="Quote"/>
    <w:uiPriority w:val="29"/>
    <w:rsid w:val="00A72760"/>
    <w:rPr>
      <w:i/>
      <w:iCs/>
    </w:rPr>
  </w:style>
  <w:style w:type="paragraph" w:styleId="IntenseQuote">
    <w:name w:val="Intense Quote"/>
    <w:basedOn w:val="Normal"/>
    <w:next w:val="Normal"/>
    <w:link w:val="IntenseQuoteChar"/>
    <w:uiPriority w:val="30"/>
    <w:qFormat/>
    <w:rsid w:val="00A7276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A72760"/>
    <w:rPr>
      <w:b/>
      <w:bCs/>
      <w:i/>
      <w:iCs/>
    </w:rPr>
  </w:style>
  <w:style w:type="character" w:styleId="IntenseEmphasis">
    <w:name w:val="Intense Emphasis"/>
    <w:uiPriority w:val="21"/>
    <w:qFormat/>
    <w:rsid w:val="00A72760"/>
    <w:rPr>
      <w:b/>
      <w:bCs/>
    </w:rPr>
  </w:style>
  <w:style w:type="character" w:styleId="SubtleReference">
    <w:name w:val="Subtle Reference"/>
    <w:uiPriority w:val="31"/>
    <w:qFormat/>
    <w:rsid w:val="00A72760"/>
    <w:rPr>
      <w:smallCaps/>
    </w:rPr>
  </w:style>
  <w:style w:type="character" w:styleId="IntenseReference">
    <w:name w:val="Intense Reference"/>
    <w:uiPriority w:val="32"/>
    <w:qFormat/>
    <w:rsid w:val="00A72760"/>
    <w:rPr>
      <w:smallCaps/>
      <w:spacing w:val="5"/>
      <w:u w:val="single"/>
    </w:rPr>
  </w:style>
  <w:style w:type="character" w:styleId="BookTitle">
    <w:name w:val="Book Title"/>
    <w:uiPriority w:val="33"/>
    <w:qFormat/>
    <w:rsid w:val="00A72760"/>
    <w:rPr>
      <w:i/>
      <w:iCs/>
      <w:smallCaps/>
      <w:spacing w:val="5"/>
    </w:rPr>
  </w:style>
  <w:style w:type="paragraph" w:styleId="TOCHeading">
    <w:name w:val="TOC Heading"/>
    <w:basedOn w:val="Heading1"/>
    <w:next w:val="Normal"/>
    <w:uiPriority w:val="39"/>
    <w:unhideWhenUsed/>
    <w:qFormat/>
    <w:rsid w:val="00A72760"/>
    <w:pPr>
      <w:outlineLvl w:val="9"/>
    </w:pPr>
  </w:style>
  <w:style w:type="paragraph" w:styleId="TOC1">
    <w:name w:val="toc 1"/>
    <w:basedOn w:val="Normal"/>
    <w:next w:val="Normal"/>
    <w:autoRedefine/>
    <w:uiPriority w:val="39"/>
    <w:unhideWhenUsed/>
    <w:rsid w:val="00587E58"/>
    <w:pPr>
      <w:tabs>
        <w:tab w:val="left" w:pos="480"/>
        <w:tab w:val="right" w:leader="dot" w:pos="9350"/>
      </w:tabs>
    </w:pPr>
    <w:rPr>
      <w:b/>
      <w:bCs/>
      <w:noProof/>
      <w:szCs w:val="20"/>
    </w:rPr>
  </w:style>
  <w:style w:type="paragraph" w:styleId="TOC2">
    <w:name w:val="toc 2"/>
    <w:basedOn w:val="Normal"/>
    <w:next w:val="Normal"/>
    <w:autoRedefine/>
    <w:uiPriority w:val="39"/>
    <w:unhideWhenUsed/>
    <w:rsid w:val="00587E58"/>
    <w:pPr>
      <w:ind w:left="245"/>
    </w:pPr>
    <w:rPr>
      <w:szCs w:val="20"/>
    </w:rPr>
  </w:style>
  <w:style w:type="paragraph" w:styleId="TOC3">
    <w:name w:val="toc 3"/>
    <w:basedOn w:val="Normal"/>
    <w:next w:val="Normal"/>
    <w:autoRedefine/>
    <w:uiPriority w:val="39"/>
    <w:unhideWhenUsed/>
    <w:rsid w:val="00587E58"/>
    <w:pPr>
      <w:ind w:left="475"/>
    </w:pPr>
    <w:rPr>
      <w:i/>
      <w:iCs/>
      <w:szCs w:val="20"/>
    </w:rPr>
  </w:style>
  <w:style w:type="paragraph" w:styleId="DocumentMap">
    <w:name w:val="Document Map"/>
    <w:basedOn w:val="Normal"/>
    <w:link w:val="DocumentMapChar"/>
    <w:uiPriority w:val="99"/>
    <w:semiHidden/>
    <w:unhideWhenUsed/>
    <w:rsid w:val="00FE610A"/>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E610A"/>
    <w:rPr>
      <w:rFonts w:ascii="Tahoma" w:hAnsi="Tahoma" w:cs="Tahoma"/>
      <w:sz w:val="16"/>
      <w:szCs w:val="16"/>
    </w:rPr>
  </w:style>
  <w:style w:type="character" w:styleId="PlaceholderText">
    <w:name w:val="Placeholder Text"/>
    <w:basedOn w:val="DefaultParagraphFont"/>
    <w:uiPriority w:val="99"/>
    <w:semiHidden/>
    <w:rsid w:val="00FB5795"/>
    <w:rPr>
      <w:color w:val="808080"/>
    </w:rPr>
  </w:style>
  <w:style w:type="paragraph" w:styleId="TOC4">
    <w:name w:val="toc 4"/>
    <w:basedOn w:val="Normal"/>
    <w:next w:val="Normal"/>
    <w:autoRedefine/>
    <w:uiPriority w:val="39"/>
    <w:unhideWhenUsed/>
    <w:rsid w:val="00326417"/>
    <w:pPr>
      <w:ind w:left="720"/>
    </w:pPr>
    <w:rPr>
      <w:sz w:val="20"/>
    </w:rPr>
  </w:style>
  <w:style w:type="paragraph" w:styleId="TOC5">
    <w:name w:val="toc 5"/>
    <w:basedOn w:val="Normal"/>
    <w:next w:val="Normal"/>
    <w:autoRedefine/>
    <w:uiPriority w:val="39"/>
    <w:unhideWhenUsed/>
    <w:rsid w:val="00061B1B"/>
    <w:pPr>
      <w:ind w:left="960"/>
    </w:pPr>
    <w:rPr>
      <w:i/>
      <w:sz w:val="20"/>
    </w:rPr>
  </w:style>
  <w:style w:type="paragraph" w:styleId="TOC6">
    <w:name w:val="toc 6"/>
    <w:basedOn w:val="Normal"/>
    <w:next w:val="Normal"/>
    <w:autoRedefine/>
    <w:uiPriority w:val="39"/>
    <w:unhideWhenUsed/>
    <w:rsid w:val="00C050FD"/>
    <w:pPr>
      <w:ind w:left="1200"/>
    </w:pPr>
    <w:rPr>
      <w:rFonts w:asciiTheme="minorHAnsi" w:hAnsiTheme="minorHAnsi"/>
      <w:sz w:val="18"/>
    </w:rPr>
  </w:style>
  <w:style w:type="paragraph" w:styleId="TOC7">
    <w:name w:val="toc 7"/>
    <w:basedOn w:val="Normal"/>
    <w:next w:val="Normal"/>
    <w:autoRedefine/>
    <w:uiPriority w:val="39"/>
    <w:unhideWhenUsed/>
    <w:rsid w:val="00C050FD"/>
    <w:pPr>
      <w:ind w:left="1440"/>
    </w:pPr>
    <w:rPr>
      <w:rFonts w:asciiTheme="minorHAnsi" w:hAnsiTheme="minorHAnsi"/>
      <w:sz w:val="18"/>
    </w:rPr>
  </w:style>
  <w:style w:type="paragraph" w:styleId="TOC8">
    <w:name w:val="toc 8"/>
    <w:basedOn w:val="Normal"/>
    <w:next w:val="Normal"/>
    <w:autoRedefine/>
    <w:uiPriority w:val="39"/>
    <w:unhideWhenUsed/>
    <w:rsid w:val="00C050FD"/>
    <w:pPr>
      <w:ind w:left="1680"/>
    </w:pPr>
    <w:rPr>
      <w:rFonts w:asciiTheme="minorHAnsi" w:hAnsiTheme="minorHAnsi"/>
      <w:sz w:val="18"/>
    </w:rPr>
  </w:style>
  <w:style w:type="paragraph" w:styleId="TOC9">
    <w:name w:val="toc 9"/>
    <w:basedOn w:val="Normal"/>
    <w:next w:val="Normal"/>
    <w:autoRedefine/>
    <w:uiPriority w:val="39"/>
    <w:unhideWhenUsed/>
    <w:rsid w:val="00C050FD"/>
    <w:pPr>
      <w:ind w:left="1920"/>
    </w:pPr>
    <w:rPr>
      <w:rFonts w:asciiTheme="minorHAnsi" w:hAnsiTheme="minorHAnsi"/>
      <w:sz w:val="18"/>
    </w:rPr>
  </w:style>
  <w:style w:type="paragraph" w:styleId="NormalWeb">
    <w:name w:val="Normal (Web)"/>
    <w:basedOn w:val="Normal"/>
    <w:uiPriority w:val="99"/>
    <w:semiHidden/>
    <w:unhideWhenUsed/>
    <w:rsid w:val="00FF1939"/>
    <w:pPr>
      <w:spacing w:before="100" w:beforeAutospacing="1" w:after="100" w:afterAutospacing="1" w:line="240" w:lineRule="auto"/>
    </w:pPr>
    <w:rPr>
      <w:rFonts w:eastAsia="Times New Roman" w:cs="Times New Roman"/>
      <w:szCs w:val="24"/>
      <w:lang w:bidi="ar-SA"/>
    </w:rPr>
  </w:style>
  <w:style w:type="character" w:styleId="LineNumber">
    <w:name w:val="line number"/>
    <w:basedOn w:val="DefaultParagraphFont"/>
    <w:uiPriority w:val="99"/>
    <w:semiHidden/>
    <w:unhideWhenUsed/>
    <w:rsid w:val="00B11F6E"/>
  </w:style>
  <w:style w:type="character" w:customStyle="1" w:styleId="st">
    <w:name w:val="st"/>
    <w:basedOn w:val="DefaultParagraphFont"/>
    <w:rsid w:val="00F20517"/>
  </w:style>
  <w:style w:type="paragraph" w:customStyle="1" w:styleId="EndNoteBibliographyTitle">
    <w:name w:val="EndNote Bibliography Title"/>
    <w:basedOn w:val="Normal"/>
    <w:link w:val="EndNoteBibliographyTitleChar"/>
    <w:rsid w:val="00F20517"/>
    <w:pPr>
      <w:jc w:val="center"/>
    </w:pPr>
    <w:rPr>
      <w:rFonts w:eastAsiaTheme="minorHAnsi" w:cs="Times New Roman"/>
      <w:noProof/>
      <w:color w:val="000000"/>
      <w:lang w:bidi="ar-SA"/>
    </w:rPr>
  </w:style>
  <w:style w:type="character" w:customStyle="1" w:styleId="EndNoteBibliographyTitleChar">
    <w:name w:val="EndNote Bibliography Title Char"/>
    <w:basedOn w:val="DefaultParagraphFont"/>
    <w:link w:val="EndNoteBibliographyTitle"/>
    <w:rsid w:val="00F20517"/>
    <w:rPr>
      <w:rFonts w:ascii="Times New Roman" w:eastAsiaTheme="minorHAnsi" w:hAnsi="Times New Roman" w:cs="Times New Roman"/>
      <w:noProof/>
      <w:color w:val="000000"/>
      <w:sz w:val="24"/>
      <w:lang w:bidi="ar-SA"/>
    </w:rPr>
  </w:style>
  <w:style w:type="paragraph" w:customStyle="1" w:styleId="EndNoteBibliography">
    <w:name w:val="EndNote Bibliography"/>
    <w:basedOn w:val="Normal"/>
    <w:link w:val="EndNoteBibliographyChar"/>
    <w:rsid w:val="00F20517"/>
    <w:pPr>
      <w:spacing w:line="240" w:lineRule="auto"/>
    </w:pPr>
    <w:rPr>
      <w:rFonts w:eastAsiaTheme="minorHAnsi" w:cs="Times New Roman"/>
      <w:noProof/>
      <w:color w:val="000000"/>
      <w:lang w:bidi="ar-SA"/>
    </w:rPr>
  </w:style>
  <w:style w:type="character" w:customStyle="1" w:styleId="EndNoteBibliographyChar">
    <w:name w:val="EndNote Bibliography Char"/>
    <w:basedOn w:val="DefaultParagraphFont"/>
    <w:link w:val="EndNoteBibliography"/>
    <w:rsid w:val="00F20517"/>
    <w:rPr>
      <w:rFonts w:ascii="Times New Roman" w:eastAsiaTheme="minorHAnsi" w:hAnsi="Times New Roman" w:cs="Times New Roman"/>
      <w:noProof/>
      <w:color w:val="000000"/>
      <w:sz w:val="24"/>
      <w:lang w:bidi="ar-SA"/>
    </w:rPr>
  </w:style>
  <w:style w:type="character" w:styleId="FollowedHyperlink">
    <w:name w:val="FollowedHyperlink"/>
    <w:basedOn w:val="DefaultParagraphFont"/>
    <w:uiPriority w:val="99"/>
    <w:semiHidden/>
    <w:unhideWhenUsed/>
    <w:rsid w:val="00F20517"/>
    <w:rPr>
      <w:color w:val="800080" w:themeColor="followedHyperlink"/>
      <w:u w:val="single"/>
    </w:rPr>
  </w:style>
  <w:style w:type="paragraph" w:customStyle="1" w:styleId="BCAuthorAddress">
    <w:name w:val="BC_Author_Address"/>
    <w:basedOn w:val="Normal"/>
    <w:next w:val="Normal"/>
    <w:rsid w:val="00F20517"/>
    <w:pPr>
      <w:spacing w:after="240"/>
      <w:jc w:val="center"/>
    </w:pPr>
    <w:rPr>
      <w:rFonts w:ascii="Times" w:eastAsia="SimSun" w:hAnsi="Times" w:cs="Times New Roman"/>
      <w:szCs w:val="20"/>
      <w:lang w:bidi="ar-SA"/>
    </w:rPr>
  </w:style>
  <w:style w:type="character" w:customStyle="1" w:styleId="xbe">
    <w:name w:val="_xbe"/>
    <w:basedOn w:val="DefaultParagraphFont"/>
    <w:rsid w:val="00F20517"/>
  </w:style>
  <w:style w:type="character" w:customStyle="1" w:styleId="apple-converted-space">
    <w:name w:val="apple-converted-space"/>
    <w:basedOn w:val="DefaultParagraphFont"/>
    <w:rsid w:val="00F805F6"/>
  </w:style>
  <w:style w:type="character" w:customStyle="1" w:styleId="il">
    <w:name w:val="il"/>
    <w:basedOn w:val="DefaultParagraphFont"/>
    <w:rsid w:val="00FC248B"/>
  </w:style>
  <w:style w:type="character" w:customStyle="1" w:styleId="normaltextrun">
    <w:name w:val="normaltextrun"/>
    <w:basedOn w:val="DefaultParagraphFont"/>
    <w:rsid w:val="00FC248B"/>
  </w:style>
  <w:style w:type="character" w:customStyle="1" w:styleId="current-selection">
    <w:name w:val="current-selection"/>
    <w:basedOn w:val="DefaultParagraphFont"/>
    <w:rsid w:val="00FC248B"/>
  </w:style>
  <w:style w:type="character" w:customStyle="1" w:styleId="a">
    <w:name w:val="_"/>
    <w:basedOn w:val="DefaultParagraphFont"/>
    <w:rsid w:val="00FC248B"/>
  </w:style>
  <w:style w:type="character" w:customStyle="1" w:styleId="highlight">
    <w:name w:val="highlight"/>
    <w:basedOn w:val="DefaultParagraphFont"/>
    <w:rsid w:val="00FC248B"/>
  </w:style>
  <w:style w:type="paragraph" w:styleId="TableofFigures">
    <w:name w:val="table of figures"/>
    <w:basedOn w:val="Normal"/>
    <w:next w:val="Normal"/>
    <w:uiPriority w:val="99"/>
    <w:unhideWhenUsed/>
    <w:rsid w:val="00E35D3F"/>
  </w:style>
  <w:style w:type="table" w:styleId="TableGrid">
    <w:name w:val="Table Grid"/>
    <w:basedOn w:val="TableNormal"/>
    <w:uiPriority w:val="39"/>
    <w:rsid w:val="00CD51B9"/>
    <w:pPr>
      <w:spacing w:after="0" w:line="240" w:lineRule="auto"/>
    </w:pPr>
    <w:rPr>
      <w:rFonts w:asciiTheme="minorHAnsi" w:eastAsiaTheme="minorHAnsi" w:hAnsiTheme="minorHAnsi"/>
      <w:color w:val="auto"/>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03969">
      <w:bodyDiv w:val="1"/>
      <w:marLeft w:val="0"/>
      <w:marRight w:val="0"/>
      <w:marTop w:val="0"/>
      <w:marBottom w:val="0"/>
      <w:divBdr>
        <w:top w:val="none" w:sz="0" w:space="0" w:color="auto"/>
        <w:left w:val="none" w:sz="0" w:space="0" w:color="auto"/>
        <w:bottom w:val="none" w:sz="0" w:space="0" w:color="auto"/>
        <w:right w:val="none" w:sz="0" w:space="0" w:color="auto"/>
      </w:divBdr>
    </w:div>
    <w:div w:id="47842029">
      <w:bodyDiv w:val="1"/>
      <w:marLeft w:val="0"/>
      <w:marRight w:val="0"/>
      <w:marTop w:val="0"/>
      <w:marBottom w:val="0"/>
      <w:divBdr>
        <w:top w:val="none" w:sz="0" w:space="0" w:color="auto"/>
        <w:left w:val="none" w:sz="0" w:space="0" w:color="auto"/>
        <w:bottom w:val="none" w:sz="0" w:space="0" w:color="auto"/>
        <w:right w:val="none" w:sz="0" w:space="0" w:color="auto"/>
      </w:divBdr>
    </w:div>
    <w:div w:id="70202355">
      <w:bodyDiv w:val="1"/>
      <w:marLeft w:val="0"/>
      <w:marRight w:val="0"/>
      <w:marTop w:val="0"/>
      <w:marBottom w:val="0"/>
      <w:divBdr>
        <w:top w:val="none" w:sz="0" w:space="0" w:color="auto"/>
        <w:left w:val="none" w:sz="0" w:space="0" w:color="auto"/>
        <w:bottom w:val="none" w:sz="0" w:space="0" w:color="auto"/>
        <w:right w:val="none" w:sz="0" w:space="0" w:color="auto"/>
      </w:divBdr>
    </w:div>
    <w:div w:id="74403662">
      <w:bodyDiv w:val="1"/>
      <w:marLeft w:val="0"/>
      <w:marRight w:val="0"/>
      <w:marTop w:val="0"/>
      <w:marBottom w:val="0"/>
      <w:divBdr>
        <w:top w:val="none" w:sz="0" w:space="0" w:color="auto"/>
        <w:left w:val="none" w:sz="0" w:space="0" w:color="auto"/>
        <w:bottom w:val="none" w:sz="0" w:space="0" w:color="auto"/>
        <w:right w:val="none" w:sz="0" w:space="0" w:color="auto"/>
      </w:divBdr>
    </w:div>
    <w:div w:id="75519624">
      <w:bodyDiv w:val="1"/>
      <w:marLeft w:val="0"/>
      <w:marRight w:val="0"/>
      <w:marTop w:val="0"/>
      <w:marBottom w:val="0"/>
      <w:divBdr>
        <w:top w:val="none" w:sz="0" w:space="0" w:color="auto"/>
        <w:left w:val="none" w:sz="0" w:space="0" w:color="auto"/>
        <w:bottom w:val="none" w:sz="0" w:space="0" w:color="auto"/>
        <w:right w:val="none" w:sz="0" w:space="0" w:color="auto"/>
      </w:divBdr>
    </w:div>
    <w:div w:id="75563225">
      <w:bodyDiv w:val="1"/>
      <w:marLeft w:val="0"/>
      <w:marRight w:val="0"/>
      <w:marTop w:val="0"/>
      <w:marBottom w:val="0"/>
      <w:divBdr>
        <w:top w:val="none" w:sz="0" w:space="0" w:color="auto"/>
        <w:left w:val="none" w:sz="0" w:space="0" w:color="auto"/>
        <w:bottom w:val="none" w:sz="0" w:space="0" w:color="auto"/>
        <w:right w:val="none" w:sz="0" w:space="0" w:color="auto"/>
      </w:divBdr>
    </w:div>
    <w:div w:id="93526407">
      <w:bodyDiv w:val="1"/>
      <w:marLeft w:val="0"/>
      <w:marRight w:val="0"/>
      <w:marTop w:val="0"/>
      <w:marBottom w:val="0"/>
      <w:divBdr>
        <w:top w:val="none" w:sz="0" w:space="0" w:color="auto"/>
        <w:left w:val="none" w:sz="0" w:space="0" w:color="auto"/>
        <w:bottom w:val="none" w:sz="0" w:space="0" w:color="auto"/>
        <w:right w:val="none" w:sz="0" w:space="0" w:color="auto"/>
      </w:divBdr>
    </w:div>
    <w:div w:id="137959743">
      <w:bodyDiv w:val="1"/>
      <w:marLeft w:val="0"/>
      <w:marRight w:val="0"/>
      <w:marTop w:val="0"/>
      <w:marBottom w:val="0"/>
      <w:divBdr>
        <w:top w:val="none" w:sz="0" w:space="0" w:color="auto"/>
        <w:left w:val="none" w:sz="0" w:space="0" w:color="auto"/>
        <w:bottom w:val="none" w:sz="0" w:space="0" w:color="auto"/>
        <w:right w:val="none" w:sz="0" w:space="0" w:color="auto"/>
      </w:divBdr>
    </w:div>
    <w:div w:id="157431140">
      <w:bodyDiv w:val="1"/>
      <w:marLeft w:val="0"/>
      <w:marRight w:val="0"/>
      <w:marTop w:val="0"/>
      <w:marBottom w:val="0"/>
      <w:divBdr>
        <w:top w:val="none" w:sz="0" w:space="0" w:color="auto"/>
        <w:left w:val="none" w:sz="0" w:space="0" w:color="auto"/>
        <w:bottom w:val="none" w:sz="0" w:space="0" w:color="auto"/>
        <w:right w:val="none" w:sz="0" w:space="0" w:color="auto"/>
      </w:divBdr>
    </w:div>
    <w:div w:id="170726538">
      <w:bodyDiv w:val="1"/>
      <w:marLeft w:val="0"/>
      <w:marRight w:val="0"/>
      <w:marTop w:val="0"/>
      <w:marBottom w:val="0"/>
      <w:divBdr>
        <w:top w:val="none" w:sz="0" w:space="0" w:color="auto"/>
        <w:left w:val="none" w:sz="0" w:space="0" w:color="auto"/>
        <w:bottom w:val="none" w:sz="0" w:space="0" w:color="auto"/>
        <w:right w:val="none" w:sz="0" w:space="0" w:color="auto"/>
      </w:divBdr>
    </w:div>
    <w:div w:id="183057505">
      <w:bodyDiv w:val="1"/>
      <w:marLeft w:val="0"/>
      <w:marRight w:val="0"/>
      <w:marTop w:val="0"/>
      <w:marBottom w:val="0"/>
      <w:divBdr>
        <w:top w:val="none" w:sz="0" w:space="0" w:color="auto"/>
        <w:left w:val="none" w:sz="0" w:space="0" w:color="auto"/>
        <w:bottom w:val="none" w:sz="0" w:space="0" w:color="auto"/>
        <w:right w:val="none" w:sz="0" w:space="0" w:color="auto"/>
      </w:divBdr>
    </w:div>
    <w:div w:id="251284626">
      <w:bodyDiv w:val="1"/>
      <w:marLeft w:val="0"/>
      <w:marRight w:val="0"/>
      <w:marTop w:val="0"/>
      <w:marBottom w:val="0"/>
      <w:divBdr>
        <w:top w:val="none" w:sz="0" w:space="0" w:color="auto"/>
        <w:left w:val="none" w:sz="0" w:space="0" w:color="auto"/>
        <w:bottom w:val="none" w:sz="0" w:space="0" w:color="auto"/>
        <w:right w:val="none" w:sz="0" w:space="0" w:color="auto"/>
      </w:divBdr>
    </w:div>
    <w:div w:id="255788057">
      <w:bodyDiv w:val="1"/>
      <w:marLeft w:val="0"/>
      <w:marRight w:val="0"/>
      <w:marTop w:val="0"/>
      <w:marBottom w:val="0"/>
      <w:divBdr>
        <w:top w:val="none" w:sz="0" w:space="0" w:color="auto"/>
        <w:left w:val="none" w:sz="0" w:space="0" w:color="auto"/>
        <w:bottom w:val="none" w:sz="0" w:space="0" w:color="auto"/>
        <w:right w:val="none" w:sz="0" w:space="0" w:color="auto"/>
      </w:divBdr>
    </w:div>
    <w:div w:id="266157566">
      <w:bodyDiv w:val="1"/>
      <w:marLeft w:val="0"/>
      <w:marRight w:val="0"/>
      <w:marTop w:val="0"/>
      <w:marBottom w:val="0"/>
      <w:divBdr>
        <w:top w:val="none" w:sz="0" w:space="0" w:color="auto"/>
        <w:left w:val="none" w:sz="0" w:space="0" w:color="auto"/>
        <w:bottom w:val="none" w:sz="0" w:space="0" w:color="auto"/>
        <w:right w:val="none" w:sz="0" w:space="0" w:color="auto"/>
      </w:divBdr>
    </w:div>
    <w:div w:id="399526162">
      <w:bodyDiv w:val="1"/>
      <w:marLeft w:val="0"/>
      <w:marRight w:val="0"/>
      <w:marTop w:val="0"/>
      <w:marBottom w:val="0"/>
      <w:divBdr>
        <w:top w:val="none" w:sz="0" w:space="0" w:color="auto"/>
        <w:left w:val="none" w:sz="0" w:space="0" w:color="auto"/>
        <w:bottom w:val="none" w:sz="0" w:space="0" w:color="auto"/>
        <w:right w:val="none" w:sz="0" w:space="0" w:color="auto"/>
      </w:divBdr>
    </w:div>
    <w:div w:id="405538428">
      <w:bodyDiv w:val="1"/>
      <w:marLeft w:val="0"/>
      <w:marRight w:val="0"/>
      <w:marTop w:val="0"/>
      <w:marBottom w:val="0"/>
      <w:divBdr>
        <w:top w:val="none" w:sz="0" w:space="0" w:color="auto"/>
        <w:left w:val="none" w:sz="0" w:space="0" w:color="auto"/>
        <w:bottom w:val="none" w:sz="0" w:space="0" w:color="auto"/>
        <w:right w:val="none" w:sz="0" w:space="0" w:color="auto"/>
      </w:divBdr>
    </w:div>
    <w:div w:id="405998629">
      <w:bodyDiv w:val="1"/>
      <w:marLeft w:val="0"/>
      <w:marRight w:val="0"/>
      <w:marTop w:val="0"/>
      <w:marBottom w:val="0"/>
      <w:divBdr>
        <w:top w:val="none" w:sz="0" w:space="0" w:color="auto"/>
        <w:left w:val="none" w:sz="0" w:space="0" w:color="auto"/>
        <w:bottom w:val="none" w:sz="0" w:space="0" w:color="auto"/>
        <w:right w:val="none" w:sz="0" w:space="0" w:color="auto"/>
      </w:divBdr>
    </w:div>
    <w:div w:id="406463164">
      <w:bodyDiv w:val="1"/>
      <w:marLeft w:val="0"/>
      <w:marRight w:val="0"/>
      <w:marTop w:val="0"/>
      <w:marBottom w:val="0"/>
      <w:divBdr>
        <w:top w:val="none" w:sz="0" w:space="0" w:color="auto"/>
        <w:left w:val="none" w:sz="0" w:space="0" w:color="auto"/>
        <w:bottom w:val="none" w:sz="0" w:space="0" w:color="auto"/>
        <w:right w:val="none" w:sz="0" w:space="0" w:color="auto"/>
      </w:divBdr>
    </w:div>
    <w:div w:id="406801730">
      <w:bodyDiv w:val="1"/>
      <w:marLeft w:val="0"/>
      <w:marRight w:val="0"/>
      <w:marTop w:val="0"/>
      <w:marBottom w:val="0"/>
      <w:divBdr>
        <w:top w:val="none" w:sz="0" w:space="0" w:color="auto"/>
        <w:left w:val="none" w:sz="0" w:space="0" w:color="auto"/>
        <w:bottom w:val="none" w:sz="0" w:space="0" w:color="auto"/>
        <w:right w:val="none" w:sz="0" w:space="0" w:color="auto"/>
      </w:divBdr>
    </w:div>
    <w:div w:id="413285926">
      <w:bodyDiv w:val="1"/>
      <w:marLeft w:val="0"/>
      <w:marRight w:val="0"/>
      <w:marTop w:val="0"/>
      <w:marBottom w:val="0"/>
      <w:divBdr>
        <w:top w:val="none" w:sz="0" w:space="0" w:color="auto"/>
        <w:left w:val="none" w:sz="0" w:space="0" w:color="auto"/>
        <w:bottom w:val="none" w:sz="0" w:space="0" w:color="auto"/>
        <w:right w:val="none" w:sz="0" w:space="0" w:color="auto"/>
      </w:divBdr>
    </w:div>
    <w:div w:id="418409212">
      <w:bodyDiv w:val="1"/>
      <w:marLeft w:val="0"/>
      <w:marRight w:val="0"/>
      <w:marTop w:val="0"/>
      <w:marBottom w:val="0"/>
      <w:divBdr>
        <w:top w:val="none" w:sz="0" w:space="0" w:color="auto"/>
        <w:left w:val="none" w:sz="0" w:space="0" w:color="auto"/>
        <w:bottom w:val="none" w:sz="0" w:space="0" w:color="auto"/>
        <w:right w:val="none" w:sz="0" w:space="0" w:color="auto"/>
      </w:divBdr>
    </w:div>
    <w:div w:id="427383346">
      <w:bodyDiv w:val="1"/>
      <w:marLeft w:val="0"/>
      <w:marRight w:val="0"/>
      <w:marTop w:val="0"/>
      <w:marBottom w:val="0"/>
      <w:divBdr>
        <w:top w:val="none" w:sz="0" w:space="0" w:color="auto"/>
        <w:left w:val="none" w:sz="0" w:space="0" w:color="auto"/>
        <w:bottom w:val="none" w:sz="0" w:space="0" w:color="auto"/>
        <w:right w:val="none" w:sz="0" w:space="0" w:color="auto"/>
      </w:divBdr>
    </w:div>
    <w:div w:id="432554569">
      <w:bodyDiv w:val="1"/>
      <w:marLeft w:val="0"/>
      <w:marRight w:val="0"/>
      <w:marTop w:val="0"/>
      <w:marBottom w:val="0"/>
      <w:divBdr>
        <w:top w:val="none" w:sz="0" w:space="0" w:color="auto"/>
        <w:left w:val="none" w:sz="0" w:space="0" w:color="auto"/>
        <w:bottom w:val="none" w:sz="0" w:space="0" w:color="auto"/>
        <w:right w:val="none" w:sz="0" w:space="0" w:color="auto"/>
      </w:divBdr>
    </w:div>
    <w:div w:id="469442164">
      <w:bodyDiv w:val="1"/>
      <w:marLeft w:val="0"/>
      <w:marRight w:val="0"/>
      <w:marTop w:val="0"/>
      <w:marBottom w:val="0"/>
      <w:divBdr>
        <w:top w:val="none" w:sz="0" w:space="0" w:color="auto"/>
        <w:left w:val="none" w:sz="0" w:space="0" w:color="auto"/>
        <w:bottom w:val="none" w:sz="0" w:space="0" w:color="auto"/>
        <w:right w:val="none" w:sz="0" w:space="0" w:color="auto"/>
      </w:divBdr>
    </w:div>
    <w:div w:id="473106504">
      <w:bodyDiv w:val="1"/>
      <w:marLeft w:val="0"/>
      <w:marRight w:val="0"/>
      <w:marTop w:val="0"/>
      <w:marBottom w:val="0"/>
      <w:divBdr>
        <w:top w:val="none" w:sz="0" w:space="0" w:color="auto"/>
        <w:left w:val="none" w:sz="0" w:space="0" w:color="auto"/>
        <w:bottom w:val="none" w:sz="0" w:space="0" w:color="auto"/>
        <w:right w:val="none" w:sz="0" w:space="0" w:color="auto"/>
      </w:divBdr>
    </w:div>
    <w:div w:id="505364361">
      <w:bodyDiv w:val="1"/>
      <w:marLeft w:val="0"/>
      <w:marRight w:val="0"/>
      <w:marTop w:val="0"/>
      <w:marBottom w:val="0"/>
      <w:divBdr>
        <w:top w:val="none" w:sz="0" w:space="0" w:color="auto"/>
        <w:left w:val="none" w:sz="0" w:space="0" w:color="auto"/>
        <w:bottom w:val="none" w:sz="0" w:space="0" w:color="auto"/>
        <w:right w:val="none" w:sz="0" w:space="0" w:color="auto"/>
      </w:divBdr>
    </w:div>
    <w:div w:id="521405962">
      <w:bodyDiv w:val="1"/>
      <w:marLeft w:val="0"/>
      <w:marRight w:val="0"/>
      <w:marTop w:val="0"/>
      <w:marBottom w:val="0"/>
      <w:divBdr>
        <w:top w:val="none" w:sz="0" w:space="0" w:color="auto"/>
        <w:left w:val="none" w:sz="0" w:space="0" w:color="auto"/>
        <w:bottom w:val="none" w:sz="0" w:space="0" w:color="auto"/>
        <w:right w:val="none" w:sz="0" w:space="0" w:color="auto"/>
      </w:divBdr>
    </w:div>
    <w:div w:id="530725197">
      <w:bodyDiv w:val="1"/>
      <w:marLeft w:val="0"/>
      <w:marRight w:val="0"/>
      <w:marTop w:val="0"/>
      <w:marBottom w:val="0"/>
      <w:divBdr>
        <w:top w:val="none" w:sz="0" w:space="0" w:color="auto"/>
        <w:left w:val="none" w:sz="0" w:space="0" w:color="auto"/>
        <w:bottom w:val="none" w:sz="0" w:space="0" w:color="auto"/>
        <w:right w:val="none" w:sz="0" w:space="0" w:color="auto"/>
      </w:divBdr>
    </w:div>
    <w:div w:id="533351474">
      <w:bodyDiv w:val="1"/>
      <w:marLeft w:val="0"/>
      <w:marRight w:val="0"/>
      <w:marTop w:val="0"/>
      <w:marBottom w:val="0"/>
      <w:divBdr>
        <w:top w:val="none" w:sz="0" w:space="0" w:color="auto"/>
        <w:left w:val="none" w:sz="0" w:space="0" w:color="auto"/>
        <w:bottom w:val="none" w:sz="0" w:space="0" w:color="auto"/>
        <w:right w:val="none" w:sz="0" w:space="0" w:color="auto"/>
      </w:divBdr>
      <w:divsChild>
        <w:div w:id="2021620372">
          <w:marLeft w:val="0"/>
          <w:marRight w:val="0"/>
          <w:marTop w:val="0"/>
          <w:marBottom w:val="0"/>
          <w:divBdr>
            <w:top w:val="none" w:sz="0" w:space="0" w:color="auto"/>
            <w:left w:val="none" w:sz="0" w:space="0" w:color="auto"/>
            <w:bottom w:val="none" w:sz="0" w:space="0" w:color="auto"/>
            <w:right w:val="none" w:sz="0" w:space="0" w:color="auto"/>
          </w:divBdr>
        </w:div>
      </w:divsChild>
    </w:div>
    <w:div w:id="552884115">
      <w:bodyDiv w:val="1"/>
      <w:marLeft w:val="0"/>
      <w:marRight w:val="0"/>
      <w:marTop w:val="0"/>
      <w:marBottom w:val="0"/>
      <w:divBdr>
        <w:top w:val="none" w:sz="0" w:space="0" w:color="auto"/>
        <w:left w:val="none" w:sz="0" w:space="0" w:color="auto"/>
        <w:bottom w:val="none" w:sz="0" w:space="0" w:color="auto"/>
        <w:right w:val="none" w:sz="0" w:space="0" w:color="auto"/>
      </w:divBdr>
    </w:div>
    <w:div w:id="593055488">
      <w:bodyDiv w:val="1"/>
      <w:marLeft w:val="0"/>
      <w:marRight w:val="0"/>
      <w:marTop w:val="0"/>
      <w:marBottom w:val="0"/>
      <w:divBdr>
        <w:top w:val="none" w:sz="0" w:space="0" w:color="auto"/>
        <w:left w:val="none" w:sz="0" w:space="0" w:color="auto"/>
        <w:bottom w:val="none" w:sz="0" w:space="0" w:color="auto"/>
        <w:right w:val="none" w:sz="0" w:space="0" w:color="auto"/>
      </w:divBdr>
      <w:divsChild>
        <w:div w:id="1743720967">
          <w:marLeft w:val="0"/>
          <w:marRight w:val="0"/>
          <w:marTop w:val="0"/>
          <w:marBottom w:val="0"/>
          <w:divBdr>
            <w:top w:val="none" w:sz="0" w:space="0" w:color="auto"/>
            <w:left w:val="none" w:sz="0" w:space="0" w:color="auto"/>
            <w:bottom w:val="none" w:sz="0" w:space="0" w:color="auto"/>
            <w:right w:val="none" w:sz="0" w:space="0" w:color="auto"/>
          </w:divBdr>
        </w:div>
      </w:divsChild>
    </w:div>
    <w:div w:id="603611819">
      <w:bodyDiv w:val="1"/>
      <w:marLeft w:val="0"/>
      <w:marRight w:val="0"/>
      <w:marTop w:val="0"/>
      <w:marBottom w:val="0"/>
      <w:divBdr>
        <w:top w:val="none" w:sz="0" w:space="0" w:color="auto"/>
        <w:left w:val="none" w:sz="0" w:space="0" w:color="auto"/>
        <w:bottom w:val="none" w:sz="0" w:space="0" w:color="auto"/>
        <w:right w:val="none" w:sz="0" w:space="0" w:color="auto"/>
      </w:divBdr>
    </w:div>
    <w:div w:id="685837343">
      <w:bodyDiv w:val="1"/>
      <w:marLeft w:val="0"/>
      <w:marRight w:val="0"/>
      <w:marTop w:val="0"/>
      <w:marBottom w:val="0"/>
      <w:divBdr>
        <w:top w:val="none" w:sz="0" w:space="0" w:color="auto"/>
        <w:left w:val="none" w:sz="0" w:space="0" w:color="auto"/>
        <w:bottom w:val="none" w:sz="0" w:space="0" w:color="auto"/>
        <w:right w:val="none" w:sz="0" w:space="0" w:color="auto"/>
      </w:divBdr>
    </w:div>
    <w:div w:id="738481815">
      <w:bodyDiv w:val="1"/>
      <w:marLeft w:val="0"/>
      <w:marRight w:val="0"/>
      <w:marTop w:val="0"/>
      <w:marBottom w:val="0"/>
      <w:divBdr>
        <w:top w:val="none" w:sz="0" w:space="0" w:color="auto"/>
        <w:left w:val="none" w:sz="0" w:space="0" w:color="auto"/>
        <w:bottom w:val="none" w:sz="0" w:space="0" w:color="auto"/>
        <w:right w:val="none" w:sz="0" w:space="0" w:color="auto"/>
      </w:divBdr>
    </w:div>
    <w:div w:id="752238697">
      <w:bodyDiv w:val="1"/>
      <w:marLeft w:val="0"/>
      <w:marRight w:val="0"/>
      <w:marTop w:val="0"/>
      <w:marBottom w:val="0"/>
      <w:divBdr>
        <w:top w:val="none" w:sz="0" w:space="0" w:color="auto"/>
        <w:left w:val="none" w:sz="0" w:space="0" w:color="auto"/>
        <w:bottom w:val="none" w:sz="0" w:space="0" w:color="auto"/>
        <w:right w:val="none" w:sz="0" w:space="0" w:color="auto"/>
      </w:divBdr>
    </w:div>
    <w:div w:id="765149127">
      <w:bodyDiv w:val="1"/>
      <w:marLeft w:val="0"/>
      <w:marRight w:val="0"/>
      <w:marTop w:val="0"/>
      <w:marBottom w:val="0"/>
      <w:divBdr>
        <w:top w:val="none" w:sz="0" w:space="0" w:color="auto"/>
        <w:left w:val="none" w:sz="0" w:space="0" w:color="auto"/>
        <w:bottom w:val="none" w:sz="0" w:space="0" w:color="auto"/>
        <w:right w:val="none" w:sz="0" w:space="0" w:color="auto"/>
      </w:divBdr>
    </w:div>
    <w:div w:id="777527191">
      <w:bodyDiv w:val="1"/>
      <w:marLeft w:val="0"/>
      <w:marRight w:val="0"/>
      <w:marTop w:val="0"/>
      <w:marBottom w:val="0"/>
      <w:divBdr>
        <w:top w:val="none" w:sz="0" w:space="0" w:color="auto"/>
        <w:left w:val="none" w:sz="0" w:space="0" w:color="auto"/>
        <w:bottom w:val="none" w:sz="0" w:space="0" w:color="auto"/>
        <w:right w:val="none" w:sz="0" w:space="0" w:color="auto"/>
      </w:divBdr>
    </w:div>
    <w:div w:id="787046974">
      <w:bodyDiv w:val="1"/>
      <w:marLeft w:val="0"/>
      <w:marRight w:val="0"/>
      <w:marTop w:val="0"/>
      <w:marBottom w:val="0"/>
      <w:divBdr>
        <w:top w:val="none" w:sz="0" w:space="0" w:color="auto"/>
        <w:left w:val="none" w:sz="0" w:space="0" w:color="auto"/>
        <w:bottom w:val="none" w:sz="0" w:space="0" w:color="auto"/>
        <w:right w:val="none" w:sz="0" w:space="0" w:color="auto"/>
      </w:divBdr>
    </w:div>
    <w:div w:id="787773746">
      <w:bodyDiv w:val="1"/>
      <w:marLeft w:val="0"/>
      <w:marRight w:val="0"/>
      <w:marTop w:val="0"/>
      <w:marBottom w:val="0"/>
      <w:divBdr>
        <w:top w:val="none" w:sz="0" w:space="0" w:color="auto"/>
        <w:left w:val="none" w:sz="0" w:space="0" w:color="auto"/>
        <w:bottom w:val="none" w:sz="0" w:space="0" w:color="auto"/>
        <w:right w:val="none" w:sz="0" w:space="0" w:color="auto"/>
      </w:divBdr>
    </w:div>
    <w:div w:id="837892240">
      <w:bodyDiv w:val="1"/>
      <w:marLeft w:val="0"/>
      <w:marRight w:val="0"/>
      <w:marTop w:val="0"/>
      <w:marBottom w:val="0"/>
      <w:divBdr>
        <w:top w:val="none" w:sz="0" w:space="0" w:color="auto"/>
        <w:left w:val="none" w:sz="0" w:space="0" w:color="auto"/>
        <w:bottom w:val="none" w:sz="0" w:space="0" w:color="auto"/>
        <w:right w:val="none" w:sz="0" w:space="0" w:color="auto"/>
      </w:divBdr>
    </w:div>
    <w:div w:id="840047794">
      <w:bodyDiv w:val="1"/>
      <w:marLeft w:val="0"/>
      <w:marRight w:val="0"/>
      <w:marTop w:val="0"/>
      <w:marBottom w:val="0"/>
      <w:divBdr>
        <w:top w:val="none" w:sz="0" w:space="0" w:color="auto"/>
        <w:left w:val="none" w:sz="0" w:space="0" w:color="auto"/>
        <w:bottom w:val="none" w:sz="0" w:space="0" w:color="auto"/>
        <w:right w:val="none" w:sz="0" w:space="0" w:color="auto"/>
      </w:divBdr>
    </w:div>
    <w:div w:id="852034389">
      <w:bodyDiv w:val="1"/>
      <w:marLeft w:val="0"/>
      <w:marRight w:val="0"/>
      <w:marTop w:val="0"/>
      <w:marBottom w:val="0"/>
      <w:divBdr>
        <w:top w:val="none" w:sz="0" w:space="0" w:color="auto"/>
        <w:left w:val="none" w:sz="0" w:space="0" w:color="auto"/>
        <w:bottom w:val="none" w:sz="0" w:space="0" w:color="auto"/>
        <w:right w:val="none" w:sz="0" w:space="0" w:color="auto"/>
      </w:divBdr>
    </w:div>
    <w:div w:id="852888315">
      <w:bodyDiv w:val="1"/>
      <w:marLeft w:val="0"/>
      <w:marRight w:val="0"/>
      <w:marTop w:val="0"/>
      <w:marBottom w:val="0"/>
      <w:divBdr>
        <w:top w:val="none" w:sz="0" w:space="0" w:color="auto"/>
        <w:left w:val="none" w:sz="0" w:space="0" w:color="auto"/>
        <w:bottom w:val="none" w:sz="0" w:space="0" w:color="auto"/>
        <w:right w:val="none" w:sz="0" w:space="0" w:color="auto"/>
      </w:divBdr>
    </w:div>
    <w:div w:id="853149651">
      <w:bodyDiv w:val="1"/>
      <w:marLeft w:val="0"/>
      <w:marRight w:val="0"/>
      <w:marTop w:val="0"/>
      <w:marBottom w:val="0"/>
      <w:divBdr>
        <w:top w:val="none" w:sz="0" w:space="0" w:color="auto"/>
        <w:left w:val="none" w:sz="0" w:space="0" w:color="auto"/>
        <w:bottom w:val="none" w:sz="0" w:space="0" w:color="auto"/>
        <w:right w:val="none" w:sz="0" w:space="0" w:color="auto"/>
      </w:divBdr>
    </w:div>
    <w:div w:id="858861432">
      <w:bodyDiv w:val="1"/>
      <w:marLeft w:val="0"/>
      <w:marRight w:val="0"/>
      <w:marTop w:val="0"/>
      <w:marBottom w:val="0"/>
      <w:divBdr>
        <w:top w:val="none" w:sz="0" w:space="0" w:color="auto"/>
        <w:left w:val="none" w:sz="0" w:space="0" w:color="auto"/>
        <w:bottom w:val="none" w:sz="0" w:space="0" w:color="auto"/>
        <w:right w:val="none" w:sz="0" w:space="0" w:color="auto"/>
      </w:divBdr>
      <w:divsChild>
        <w:div w:id="1341809786">
          <w:marLeft w:val="0"/>
          <w:marRight w:val="0"/>
          <w:marTop w:val="0"/>
          <w:marBottom w:val="0"/>
          <w:divBdr>
            <w:top w:val="none" w:sz="0" w:space="0" w:color="auto"/>
            <w:left w:val="none" w:sz="0" w:space="0" w:color="auto"/>
            <w:bottom w:val="none" w:sz="0" w:space="0" w:color="auto"/>
            <w:right w:val="none" w:sz="0" w:space="0" w:color="auto"/>
          </w:divBdr>
        </w:div>
      </w:divsChild>
    </w:div>
    <w:div w:id="876433127">
      <w:bodyDiv w:val="1"/>
      <w:marLeft w:val="0"/>
      <w:marRight w:val="0"/>
      <w:marTop w:val="0"/>
      <w:marBottom w:val="0"/>
      <w:divBdr>
        <w:top w:val="none" w:sz="0" w:space="0" w:color="auto"/>
        <w:left w:val="none" w:sz="0" w:space="0" w:color="auto"/>
        <w:bottom w:val="none" w:sz="0" w:space="0" w:color="auto"/>
        <w:right w:val="none" w:sz="0" w:space="0" w:color="auto"/>
      </w:divBdr>
    </w:div>
    <w:div w:id="944967211">
      <w:bodyDiv w:val="1"/>
      <w:marLeft w:val="0"/>
      <w:marRight w:val="0"/>
      <w:marTop w:val="0"/>
      <w:marBottom w:val="0"/>
      <w:divBdr>
        <w:top w:val="none" w:sz="0" w:space="0" w:color="auto"/>
        <w:left w:val="none" w:sz="0" w:space="0" w:color="auto"/>
        <w:bottom w:val="none" w:sz="0" w:space="0" w:color="auto"/>
        <w:right w:val="none" w:sz="0" w:space="0" w:color="auto"/>
      </w:divBdr>
    </w:div>
    <w:div w:id="954556869">
      <w:bodyDiv w:val="1"/>
      <w:marLeft w:val="0"/>
      <w:marRight w:val="0"/>
      <w:marTop w:val="0"/>
      <w:marBottom w:val="0"/>
      <w:divBdr>
        <w:top w:val="none" w:sz="0" w:space="0" w:color="auto"/>
        <w:left w:val="none" w:sz="0" w:space="0" w:color="auto"/>
        <w:bottom w:val="none" w:sz="0" w:space="0" w:color="auto"/>
        <w:right w:val="none" w:sz="0" w:space="0" w:color="auto"/>
      </w:divBdr>
    </w:div>
    <w:div w:id="972099737">
      <w:bodyDiv w:val="1"/>
      <w:marLeft w:val="0"/>
      <w:marRight w:val="0"/>
      <w:marTop w:val="0"/>
      <w:marBottom w:val="0"/>
      <w:divBdr>
        <w:top w:val="none" w:sz="0" w:space="0" w:color="auto"/>
        <w:left w:val="none" w:sz="0" w:space="0" w:color="auto"/>
        <w:bottom w:val="none" w:sz="0" w:space="0" w:color="auto"/>
        <w:right w:val="none" w:sz="0" w:space="0" w:color="auto"/>
      </w:divBdr>
    </w:div>
    <w:div w:id="978001712">
      <w:bodyDiv w:val="1"/>
      <w:marLeft w:val="0"/>
      <w:marRight w:val="0"/>
      <w:marTop w:val="0"/>
      <w:marBottom w:val="0"/>
      <w:divBdr>
        <w:top w:val="none" w:sz="0" w:space="0" w:color="auto"/>
        <w:left w:val="none" w:sz="0" w:space="0" w:color="auto"/>
        <w:bottom w:val="none" w:sz="0" w:space="0" w:color="auto"/>
        <w:right w:val="none" w:sz="0" w:space="0" w:color="auto"/>
      </w:divBdr>
    </w:div>
    <w:div w:id="989361753">
      <w:bodyDiv w:val="1"/>
      <w:marLeft w:val="0"/>
      <w:marRight w:val="0"/>
      <w:marTop w:val="0"/>
      <w:marBottom w:val="0"/>
      <w:divBdr>
        <w:top w:val="none" w:sz="0" w:space="0" w:color="auto"/>
        <w:left w:val="none" w:sz="0" w:space="0" w:color="auto"/>
        <w:bottom w:val="none" w:sz="0" w:space="0" w:color="auto"/>
        <w:right w:val="none" w:sz="0" w:space="0" w:color="auto"/>
      </w:divBdr>
      <w:divsChild>
        <w:div w:id="12190044">
          <w:marLeft w:val="0"/>
          <w:marRight w:val="0"/>
          <w:marTop w:val="0"/>
          <w:marBottom w:val="0"/>
          <w:divBdr>
            <w:top w:val="none" w:sz="0" w:space="0" w:color="auto"/>
            <w:left w:val="none" w:sz="0" w:space="0" w:color="auto"/>
            <w:bottom w:val="none" w:sz="0" w:space="0" w:color="auto"/>
            <w:right w:val="none" w:sz="0" w:space="0" w:color="auto"/>
          </w:divBdr>
        </w:div>
      </w:divsChild>
    </w:div>
    <w:div w:id="1027758294">
      <w:bodyDiv w:val="1"/>
      <w:marLeft w:val="0"/>
      <w:marRight w:val="0"/>
      <w:marTop w:val="0"/>
      <w:marBottom w:val="0"/>
      <w:divBdr>
        <w:top w:val="none" w:sz="0" w:space="0" w:color="auto"/>
        <w:left w:val="none" w:sz="0" w:space="0" w:color="auto"/>
        <w:bottom w:val="none" w:sz="0" w:space="0" w:color="auto"/>
        <w:right w:val="none" w:sz="0" w:space="0" w:color="auto"/>
      </w:divBdr>
    </w:div>
    <w:div w:id="1038699941">
      <w:bodyDiv w:val="1"/>
      <w:marLeft w:val="0"/>
      <w:marRight w:val="0"/>
      <w:marTop w:val="0"/>
      <w:marBottom w:val="0"/>
      <w:divBdr>
        <w:top w:val="none" w:sz="0" w:space="0" w:color="auto"/>
        <w:left w:val="none" w:sz="0" w:space="0" w:color="auto"/>
        <w:bottom w:val="none" w:sz="0" w:space="0" w:color="auto"/>
        <w:right w:val="none" w:sz="0" w:space="0" w:color="auto"/>
      </w:divBdr>
    </w:div>
    <w:div w:id="1051809225">
      <w:bodyDiv w:val="1"/>
      <w:marLeft w:val="0"/>
      <w:marRight w:val="0"/>
      <w:marTop w:val="0"/>
      <w:marBottom w:val="0"/>
      <w:divBdr>
        <w:top w:val="none" w:sz="0" w:space="0" w:color="auto"/>
        <w:left w:val="none" w:sz="0" w:space="0" w:color="auto"/>
        <w:bottom w:val="none" w:sz="0" w:space="0" w:color="auto"/>
        <w:right w:val="none" w:sz="0" w:space="0" w:color="auto"/>
      </w:divBdr>
    </w:div>
    <w:div w:id="1079063005">
      <w:bodyDiv w:val="1"/>
      <w:marLeft w:val="0"/>
      <w:marRight w:val="0"/>
      <w:marTop w:val="0"/>
      <w:marBottom w:val="0"/>
      <w:divBdr>
        <w:top w:val="none" w:sz="0" w:space="0" w:color="auto"/>
        <w:left w:val="none" w:sz="0" w:space="0" w:color="auto"/>
        <w:bottom w:val="none" w:sz="0" w:space="0" w:color="auto"/>
        <w:right w:val="none" w:sz="0" w:space="0" w:color="auto"/>
      </w:divBdr>
    </w:div>
    <w:div w:id="1080324543">
      <w:bodyDiv w:val="1"/>
      <w:marLeft w:val="0"/>
      <w:marRight w:val="0"/>
      <w:marTop w:val="0"/>
      <w:marBottom w:val="0"/>
      <w:divBdr>
        <w:top w:val="none" w:sz="0" w:space="0" w:color="auto"/>
        <w:left w:val="none" w:sz="0" w:space="0" w:color="auto"/>
        <w:bottom w:val="none" w:sz="0" w:space="0" w:color="auto"/>
        <w:right w:val="none" w:sz="0" w:space="0" w:color="auto"/>
      </w:divBdr>
    </w:div>
    <w:div w:id="1104767919">
      <w:bodyDiv w:val="1"/>
      <w:marLeft w:val="0"/>
      <w:marRight w:val="0"/>
      <w:marTop w:val="0"/>
      <w:marBottom w:val="0"/>
      <w:divBdr>
        <w:top w:val="none" w:sz="0" w:space="0" w:color="auto"/>
        <w:left w:val="none" w:sz="0" w:space="0" w:color="auto"/>
        <w:bottom w:val="none" w:sz="0" w:space="0" w:color="auto"/>
        <w:right w:val="none" w:sz="0" w:space="0" w:color="auto"/>
      </w:divBdr>
    </w:div>
    <w:div w:id="1105463830">
      <w:bodyDiv w:val="1"/>
      <w:marLeft w:val="0"/>
      <w:marRight w:val="0"/>
      <w:marTop w:val="0"/>
      <w:marBottom w:val="0"/>
      <w:divBdr>
        <w:top w:val="none" w:sz="0" w:space="0" w:color="auto"/>
        <w:left w:val="none" w:sz="0" w:space="0" w:color="auto"/>
        <w:bottom w:val="none" w:sz="0" w:space="0" w:color="auto"/>
        <w:right w:val="none" w:sz="0" w:space="0" w:color="auto"/>
      </w:divBdr>
    </w:div>
    <w:div w:id="1108428196">
      <w:bodyDiv w:val="1"/>
      <w:marLeft w:val="0"/>
      <w:marRight w:val="0"/>
      <w:marTop w:val="0"/>
      <w:marBottom w:val="0"/>
      <w:divBdr>
        <w:top w:val="none" w:sz="0" w:space="0" w:color="auto"/>
        <w:left w:val="none" w:sz="0" w:space="0" w:color="auto"/>
        <w:bottom w:val="none" w:sz="0" w:space="0" w:color="auto"/>
        <w:right w:val="none" w:sz="0" w:space="0" w:color="auto"/>
      </w:divBdr>
    </w:div>
    <w:div w:id="1113670022">
      <w:bodyDiv w:val="1"/>
      <w:marLeft w:val="0"/>
      <w:marRight w:val="0"/>
      <w:marTop w:val="0"/>
      <w:marBottom w:val="0"/>
      <w:divBdr>
        <w:top w:val="none" w:sz="0" w:space="0" w:color="auto"/>
        <w:left w:val="none" w:sz="0" w:space="0" w:color="auto"/>
        <w:bottom w:val="none" w:sz="0" w:space="0" w:color="auto"/>
        <w:right w:val="none" w:sz="0" w:space="0" w:color="auto"/>
      </w:divBdr>
    </w:div>
    <w:div w:id="1180701101">
      <w:bodyDiv w:val="1"/>
      <w:marLeft w:val="0"/>
      <w:marRight w:val="0"/>
      <w:marTop w:val="0"/>
      <w:marBottom w:val="0"/>
      <w:divBdr>
        <w:top w:val="none" w:sz="0" w:space="0" w:color="auto"/>
        <w:left w:val="none" w:sz="0" w:space="0" w:color="auto"/>
        <w:bottom w:val="none" w:sz="0" w:space="0" w:color="auto"/>
        <w:right w:val="none" w:sz="0" w:space="0" w:color="auto"/>
      </w:divBdr>
    </w:div>
    <w:div w:id="1204245971">
      <w:bodyDiv w:val="1"/>
      <w:marLeft w:val="0"/>
      <w:marRight w:val="0"/>
      <w:marTop w:val="0"/>
      <w:marBottom w:val="0"/>
      <w:divBdr>
        <w:top w:val="none" w:sz="0" w:space="0" w:color="auto"/>
        <w:left w:val="none" w:sz="0" w:space="0" w:color="auto"/>
        <w:bottom w:val="none" w:sz="0" w:space="0" w:color="auto"/>
        <w:right w:val="none" w:sz="0" w:space="0" w:color="auto"/>
      </w:divBdr>
    </w:div>
    <w:div w:id="1219703597">
      <w:bodyDiv w:val="1"/>
      <w:marLeft w:val="0"/>
      <w:marRight w:val="0"/>
      <w:marTop w:val="0"/>
      <w:marBottom w:val="0"/>
      <w:divBdr>
        <w:top w:val="none" w:sz="0" w:space="0" w:color="auto"/>
        <w:left w:val="none" w:sz="0" w:space="0" w:color="auto"/>
        <w:bottom w:val="none" w:sz="0" w:space="0" w:color="auto"/>
        <w:right w:val="none" w:sz="0" w:space="0" w:color="auto"/>
      </w:divBdr>
    </w:div>
    <w:div w:id="1232230924">
      <w:bodyDiv w:val="1"/>
      <w:marLeft w:val="0"/>
      <w:marRight w:val="0"/>
      <w:marTop w:val="0"/>
      <w:marBottom w:val="0"/>
      <w:divBdr>
        <w:top w:val="none" w:sz="0" w:space="0" w:color="auto"/>
        <w:left w:val="none" w:sz="0" w:space="0" w:color="auto"/>
        <w:bottom w:val="none" w:sz="0" w:space="0" w:color="auto"/>
        <w:right w:val="none" w:sz="0" w:space="0" w:color="auto"/>
      </w:divBdr>
    </w:div>
    <w:div w:id="1249581680">
      <w:bodyDiv w:val="1"/>
      <w:marLeft w:val="0"/>
      <w:marRight w:val="0"/>
      <w:marTop w:val="0"/>
      <w:marBottom w:val="0"/>
      <w:divBdr>
        <w:top w:val="none" w:sz="0" w:space="0" w:color="auto"/>
        <w:left w:val="none" w:sz="0" w:space="0" w:color="auto"/>
        <w:bottom w:val="none" w:sz="0" w:space="0" w:color="auto"/>
        <w:right w:val="none" w:sz="0" w:space="0" w:color="auto"/>
      </w:divBdr>
    </w:div>
    <w:div w:id="1260136148">
      <w:bodyDiv w:val="1"/>
      <w:marLeft w:val="0"/>
      <w:marRight w:val="0"/>
      <w:marTop w:val="0"/>
      <w:marBottom w:val="0"/>
      <w:divBdr>
        <w:top w:val="none" w:sz="0" w:space="0" w:color="auto"/>
        <w:left w:val="none" w:sz="0" w:space="0" w:color="auto"/>
        <w:bottom w:val="none" w:sz="0" w:space="0" w:color="auto"/>
        <w:right w:val="none" w:sz="0" w:space="0" w:color="auto"/>
      </w:divBdr>
    </w:div>
    <w:div w:id="1269583891">
      <w:bodyDiv w:val="1"/>
      <w:marLeft w:val="0"/>
      <w:marRight w:val="0"/>
      <w:marTop w:val="0"/>
      <w:marBottom w:val="0"/>
      <w:divBdr>
        <w:top w:val="none" w:sz="0" w:space="0" w:color="auto"/>
        <w:left w:val="none" w:sz="0" w:space="0" w:color="auto"/>
        <w:bottom w:val="none" w:sz="0" w:space="0" w:color="auto"/>
        <w:right w:val="none" w:sz="0" w:space="0" w:color="auto"/>
      </w:divBdr>
    </w:div>
    <w:div w:id="1281037222">
      <w:bodyDiv w:val="1"/>
      <w:marLeft w:val="0"/>
      <w:marRight w:val="0"/>
      <w:marTop w:val="0"/>
      <w:marBottom w:val="0"/>
      <w:divBdr>
        <w:top w:val="none" w:sz="0" w:space="0" w:color="auto"/>
        <w:left w:val="none" w:sz="0" w:space="0" w:color="auto"/>
        <w:bottom w:val="none" w:sz="0" w:space="0" w:color="auto"/>
        <w:right w:val="none" w:sz="0" w:space="0" w:color="auto"/>
      </w:divBdr>
    </w:div>
    <w:div w:id="1284458027">
      <w:bodyDiv w:val="1"/>
      <w:marLeft w:val="0"/>
      <w:marRight w:val="0"/>
      <w:marTop w:val="0"/>
      <w:marBottom w:val="0"/>
      <w:divBdr>
        <w:top w:val="none" w:sz="0" w:space="0" w:color="auto"/>
        <w:left w:val="none" w:sz="0" w:space="0" w:color="auto"/>
        <w:bottom w:val="none" w:sz="0" w:space="0" w:color="auto"/>
        <w:right w:val="none" w:sz="0" w:space="0" w:color="auto"/>
      </w:divBdr>
    </w:div>
    <w:div w:id="1288705870">
      <w:bodyDiv w:val="1"/>
      <w:marLeft w:val="0"/>
      <w:marRight w:val="0"/>
      <w:marTop w:val="0"/>
      <w:marBottom w:val="0"/>
      <w:divBdr>
        <w:top w:val="none" w:sz="0" w:space="0" w:color="auto"/>
        <w:left w:val="none" w:sz="0" w:space="0" w:color="auto"/>
        <w:bottom w:val="none" w:sz="0" w:space="0" w:color="auto"/>
        <w:right w:val="none" w:sz="0" w:space="0" w:color="auto"/>
      </w:divBdr>
    </w:div>
    <w:div w:id="1319577676">
      <w:bodyDiv w:val="1"/>
      <w:marLeft w:val="0"/>
      <w:marRight w:val="0"/>
      <w:marTop w:val="0"/>
      <w:marBottom w:val="0"/>
      <w:divBdr>
        <w:top w:val="none" w:sz="0" w:space="0" w:color="auto"/>
        <w:left w:val="none" w:sz="0" w:space="0" w:color="auto"/>
        <w:bottom w:val="none" w:sz="0" w:space="0" w:color="auto"/>
        <w:right w:val="none" w:sz="0" w:space="0" w:color="auto"/>
      </w:divBdr>
    </w:div>
    <w:div w:id="1339036238">
      <w:bodyDiv w:val="1"/>
      <w:marLeft w:val="0"/>
      <w:marRight w:val="0"/>
      <w:marTop w:val="0"/>
      <w:marBottom w:val="0"/>
      <w:divBdr>
        <w:top w:val="none" w:sz="0" w:space="0" w:color="auto"/>
        <w:left w:val="none" w:sz="0" w:space="0" w:color="auto"/>
        <w:bottom w:val="none" w:sz="0" w:space="0" w:color="auto"/>
        <w:right w:val="none" w:sz="0" w:space="0" w:color="auto"/>
      </w:divBdr>
    </w:div>
    <w:div w:id="1343161948">
      <w:bodyDiv w:val="1"/>
      <w:marLeft w:val="0"/>
      <w:marRight w:val="0"/>
      <w:marTop w:val="0"/>
      <w:marBottom w:val="0"/>
      <w:divBdr>
        <w:top w:val="none" w:sz="0" w:space="0" w:color="auto"/>
        <w:left w:val="none" w:sz="0" w:space="0" w:color="auto"/>
        <w:bottom w:val="none" w:sz="0" w:space="0" w:color="auto"/>
        <w:right w:val="none" w:sz="0" w:space="0" w:color="auto"/>
      </w:divBdr>
    </w:div>
    <w:div w:id="1347515076">
      <w:bodyDiv w:val="1"/>
      <w:marLeft w:val="0"/>
      <w:marRight w:val="0"/>
      <w:marTop w:val="0"/>
      <w:marBottom w:val="0"/>
      <w:divBdr>
        <w:top w:val="none" w:sz="0" w:space="0" w:color="auto"/>
        <w:left w:val="none" w:sz="0" w:space="0" w:color="auto"/>
        <w:bottom w:val="none" w:sz="0" w:space="0" w:color="auto"/>
        <w:right w:val="none" w:sz="0" w:space="0" w:color="auto"/>
      </w:divBdr>
    </w:div>
    <w:div w:id="1350109585">
      <w:bodyDiv w:val="1"/>
      <w:marLeft w:val="0"/>
      <w:marRight w:val="0"/>
      <w:marTop w:val="0"/>
      <w:marBottom w:val="0"/>
      <w:divBdr>
        <w:top w:val="none" w:sz="0" w:space="0" w:color="auto"/>
        <w:left w:val="none" w:sz="0" w:space="0" w:color="auto"/>
        <w:bottom w:val="none" w:sz="0" w:space="0" w:color="auto"/>
        <w:right w:val="none" w:sz="0" w:space="0" w:color="auto"/>
      </w:divBdr>
    </w:div>
    <w:div w:id="1356156881">
      <w:bodyDiv w:val="1"/>
      <w:marLeft w:val="0"/>
      <w:marRight w:val="0"/>
      <w:marTop w:val="0"/>
      <w:marBottom w:val="0"/>
      <w:divBdr>
        <w:top w:val="none" w:sz="0" w:space="0" w:color="auto"/>
        <w:left w:val="none" w:sz="0" w:space="0" w:color="auto"/>
        <w:bottom w:val="none" w:sz="0" w:space="0" w:color="auto"/>
        <w:right w:val="none" w:sz="0" w:space="0" w:color="auto"/>
      </w:divBdr>
    </w:div>
    <w:div w:id="1358968432">
      <w:bodyDiv w:val="1"/>
      <w:marLeft w:val="0"/>
      <w:marRight w:val="0"/>
      <w:marTop w:val="0"/>
      <w:marBottom w:val="0"/>
      <w:divBdr>
        <w:top w:val="none" w:sz="0" w:space="0" w:color="auto"/>
        <w:left w:val="none" w:sz="0" w:space="0" w:color="auto"/>
        <w:bottom w:val="none" w:sz="0" w:space="0" w:color="auto"/>
        <w:right w:val="none" w:sz="0" w:space="0" w:color="auto"/>
      </w:divBdr>
    </w:div>
    <w:div w:id="1398628992">
      <w:bodyDiv w:val="1"/>
      <w:marLeft w:val="0"/>
      <w:marRight w:val="0"/>
      <w:marTop w:val="0"/>
      <w:marBottom w:val="0"/>
      <w:divBdr>
        <w:top w:val="none" w:sz="0" w:space="0" w:color="auto"/>
        <w:left w:val="none" w:sz="0" w:space="0" w:color="auto"/>
        <w:bottom w:val="none" w:sz="0" w:space="0" w:color="auto"/>
        <w:right w:val="none" w:sz="0" w:space="0" w:color="auto"/>
      </w:divBdr>
    </w:div>
    <w:div w:id="1410230045">
      <w:bodyDiv w:val="1"/>
      <w:marLeft w:val="0"/>
      <w:marRight w:val="0"/>
      <w:marTop w:val="0"/>
      <w:marBottom w:val="0"/>
      <w:divBdr>
        <w:top w:val="none" w:sz="0" w:space="0" w:color="auto"/>
        <w:left w:val="none" w:sz="0" w:space="0" w:color="auto"/>
        <w:bottom w:val="none" w:sz="0" w:space="0" w:color="auto"/>
        <w:right w:val="none" w:sz="0" w:space="0" w:color="auto"/>
      </w:divBdr>
    </w:div>
    <w:div w:id="1458067696">
      <w:bodyDiv w:val="1"/>
      <w:marLeft w:val="0"/>
      <w:marRight w:val="0"/>
      <w:marTop w:val="0"/>
      <w:marBottom w:val="0"/>
      <w:divBdr>
        <w:top w:val="none" w:sz="0" w:space="0" w:color="auto"/>
        <w:left w:val="none" w:sz="0" w:space="0" w:color="auto"/>
        <w:bottom w:val="none" w:sz="0" w:space="0" w:color="auto"/>
        <w:right w:val="none" w:sz="0" w:space="0" w:color="auto"/>
      </w:divBdr>
    </w:div>
    <w:div w:id="1460145524">
      <w:bodyDiv w:val="1"/>
      <w:marLeft w:val="0"/>
      <w:marRight w:val="0"/>
      <w:marTop w:val="0"/>
      <w:marBottom w:val="0"/>
      <w:divBdr>
        <w:top w:val="none" w:sz="0" w:space="0" w:color="auto"/>
        <w:left w:val="none" w:sz="0" w:space="0" w:color="auto"/>
        <w:bottom w:val="none" w:sz="0" w:space="0" w:color="auto"/>
        <w:right w:val="none" w:sz="0" w:space="0" w:color="auto"/>
      </w:divBdr>
    </w:div>
    <w:div w:id="1478035853">
      <w:bodyDiv w:val="1"/>
      <w:marLeft w:val="0"/>
      <w:marRight w:val="0"/>
      <w:marTop w:val="0"/>
      <w:marBottom w:val="0"/>
      <w:divBdr>
        <w:top w:val="none" w:sz="0" w:space="0" w:color="auto"/>
        <w:left w:val="none" w:sz="0" w:space="0" w:color="auto"/>
        <w:bottom w:val="none" w:sz="0" w:space="0" w:color="auto"/>
        <w:right w:val="none" w:sz="0" w:space="0" w:color="auto"/>
      </w:divBdr>
    </w:div>
    <w:div w:id="1484158840">
      <w:bodyDiv w:val="1"/>
      <w:marLeft w:val="0"/>
      <w:marRight w:val="0"/>
      <w:marTop w:val="0"/>
      <w:marBottom w:val="0"/>
      <w:divBdr>
        <w:top w:val="none" w:sz="0" w:space="0" w:color="auto"/>
        <w:left w:val="none" w:sz="0" w:space="0" w:color="auto"/>
        <w:bottom w:val="none" w:sz="0" w:space="0" w:color="auto"/>
        <w:right w:val="none" w:sz="0" w:space="0" w:color="auto"/>
      </w:divBdr>
    </w:div>
    <w:div w:id="1500463941">
      <w:bodyDiv w:val="1"/>
      <w:marLeft w:val="0"/>
      <w:marRight w:val="0"/>
      <w:marTop w:val="0"/>
      <w:marBottom w:val="0"/>
      <w:divBdr>
        <w:top w:val="none" w:sz="0" w:space="0" w:color="auto"/>
        <w:left w:val="none" w:sz="0" w:space="0" w:color="auto"/>
        <w:bottom w:val="none" w:sz="0" w:space="0" w:color="auto"/>
        <w:right w:val="none" w:sz="0" w:space="0" w:color="auto"/>
      </w:divBdr>
    </w:div>
    <w:div w:id="1543638471">
      <w:bodyDiv w:val="1"/>
      <w:marLeft w:val="0"/>
      <w:marRight w:val="0"/>
      <w:marTop w:val="0"/>
      <w:marBottom w:val="0"/>
      <w:divBdr>
        <w:top w:val="none" w:sz="0" w:space="0" w:color="auto"/>
        <w:left w:val="none" w:sz="0" w:space="0" w:color="auto"/>
        <w:bottom w:val="none" w:sz="0" w:space="0" w:color="auto"/>
        <w:right w:val="none" w:sz="0" w:space="0" w:color="auto"/>
      </w:divBdr>
      <w:divsChild>
        <w:div w:id="601183113">
          <w:marLeft w:val="0"/>
          <w:marRight w:val="0"/>
          <w:marTop w:val="0"/>
          <w:marBottom w:val="0"/>
          <w:divBdr>
            <w:top w:val="none" w:sz="0" w:space="0" w:color="auto"/>
            <w:left w:val="none" w:sz="0" w:space="0" w:color="auto"/>
            <w:bottom w:val="none" w:sz="0" w:space="0" w:color="auto"/>
            <w:right w:val="none" w:sz="0" w:space="0" w:color="auto"/>
          </w:divBdr>
        </w:div>
      </w:divsChild>
    </w:div>
    <w:div w:id="1544365763">
      <w:bodyDiv w:val="1"/>
      <w:marLeft w:val="0"/>
      <w:marRight w:val="0"/>
      <w:marTop w:val="0"/>
      <w:marBottom w:val="0"/>
      <w:divBdr>
        <w:top w:val="none" w:sz="0" w:space="0" w:color="auto"/>
        <w:left w:val="none" w:sz="0" w:space="0" w:color="auto"/>
        <w:bottom w:val="none" w:sz="0" w:space="0" w:color="auto"/>
        <w:right w:val="none" w:sz="0" w:space="0" w:color="auto"/>
      </w:divBdr>
    </w:div>
    <w:div w:id="1549411890">
      <w:bodyDiv w:val="1"/>
      <w:marLeft w:val="0"/>
      <w:marRight w:val="0"/>
      <w:marTop w:val="0"/>
      <w:marBottom w:val="0"/>
      <w:divBdr>
        <w:top w:val="none" w:sz="0" w:space="0" w:color="auto"/>
        <w:left w:val="none" w:sz="0" w:space="0" w:color="auto"/>
        <w:bottom w:val="none" w:sz="0" w:space="0" w:color="auto"/>
        <w:right w:val="none" w:sz="0" w:space="0" w:color="auto"/>
      </w:divBdr>
    </w:div>
    <w:div w:id="1550067546">
      <w:bodyDiv w:val="1"/>
      <w:marLeft w:val="0"/>
      <w:marRight w:val="0"/>
      <w:marTop w:val="0"/>
      <w:marBottom w:val="0"/>
      <w:divBdr>
        <w:top w:val="none" w:sz="0" w:space="0" w:color="auto"/>
        <w:left w:val="none" w:sz="0" w:space="0" w:color="auto"/>
        <w:bottom w:val="none" w:sz="0" w:space="0" w:color="auto"/>
        <w:right w:val="none" w:sz="0" w:space="0" w:color="auto"/>
      </w:divBdr>
    </w:div>
    <w:div w:id="1564944877">
      <w:bodyDiv w:val="1"/>
      <w:marLeft w:val="0"/>
      <w:marRight w:val="0"/>
      <w:marTop w:val="0"/>
      <w:marBottom w:val="0"/>
      <w:divBdr>
        <w:top w:val="none" w:sz="0" w:space="0" w:color="auto"/>
        <w:left w:val="none" w:sz="0" w:space="0" w:color="auto"/>
        <w:bottom w:val="none" w:sz="0" w:space="0" w:color="auto"/>
        <w:right w:val="none" w:sz="0" w:space="0" w:color="auto"/>
      </w:divBdr>
    </w:div>
    <w:div w:id="1565289290">
      <w:bodyDiv w:val="1"/>
      <w:marLeft w:val="0"/>
      <w:marRight w:val="0"/>
      <w:marTop w:val="0"/>
      <w:marBottom w:val="0"/>
      <w:divBdr>
        <w:top w:val="none" w:sz="0" w:space="0" w:color="auto"/>
        <w:left w:val="none" w:sz="0" w:space="0" w:color="auto"/>
        <w:bottom w:val="none" w:sz="0" w:space="0" w:color="auto"/>
        <w:right w:val="none" w:sz="0" w:space="0" w:color="auto"/>
      </w:divBdr>
    </w:div>
    <w:div w:id="1646818775">
      <w:bodyDiv w:val="1"/>
      <w:marLeft w:val="0"/>
      <w:marRight w:val="0"/>
      <w:marTop w:val="0"/>
      <w:marBottom w:val="0"/>
      <w:divBdr>
        <w:top w:val="none" w:sz="0" w:space="0" w:color="auto"/>
        <w:left w:val="none" w:sz="0" w:space="0" w:color="auto"/>
        <w:bottom w:val="none" w:sz="0" w:space="0" w:color="auto"/>
        <w:right w:val="none" w:sz="0" w:space="0" w:color="auto"/>
      </w:divBdr>
    </w:div>
    <w:div w:id="1647666291">
      <w:bodyDiv w:val="1"/>
      <w:marLeft w:val="0"/>
      <w:marRight w:val="0"/>
      <w:marTop w:val="0"/>
      <w:marBottom w:val="0"/>
      <w:divBdr>
        <w:top w:val="none" w:sz="0" w:space="0" w:color="auto"/>
        <w:left w:val="none" w:sz="0" w:space="0" w:color="auto"/>
        <w:bottom w:val="none" w:sz="0" w:space="0" w:color="auto"/>
        <w:right w:val="none" w:sz="0" w:space="0" w:color="auto"/>
      </w:divBdr>
    </w:div>
    <w:div w:id="1678773285">
      <w:bodyDiv w:val="1"/>
      <w:marLeft w:val="0"/>
      <w:marRight w:val="0"/>
      <w:marTop w:val="0"/>
      <w:marBottom w:val="0"/>
      <w:divBdr>
        <w:top w:val="none" w:sz="0" w:space="0" w:color="auto"/>
        <w:left w:val="none" w:sz="0" w:space="0" w:color="auto"/>
        <w:bottom w:val="none" w:sz="0" w:space="0" w:color="auto"/>
        <w:right w:val="none" w:sz="0" w:space="0" w:color="auto"/>
      </w:divBdr>
    </w:div>
    <w:div w:id="1684086724">
      <w:bodyDiv w:val="1"/>
      <w:marLeft w:val="0"/>
      <w:marRight w:val="0"/>
      <w:marTop w:val="0"/>
      <w:marBottom w:val="0"/>
      <w:divBdr>
        <w:top w:val="none" w:sz="0" w:space="0" w:color="auto"/>
        <w:left w:val="none" w:sz="0" w:space="0" w:color="auto"/>
        <w:bottom w:val="none" w:sz="0" w:space="0" w:color="auto"/>
        <w:right w:val="none" w:sz="0" w:space="0" w:color="auto"/>
      </w:divBdr>
    </w:div>
    <w:div w:id="1690985975">
      <w:bodyDiv w:val="1"/>
      <w:marLeft w:val="0"/>
      <w:marRight w:val="0"/>
      <w:marTop w:val="0"/>
      <w:marBottom w:val="0"/>
      <w:divBdr>
        <w:top w:val="none" w:sz="0" w:space="0" w:color="auto"/>
        <w:left w:val="none" w:sz="0" w:space="0" w:color="auto"/>
        <w:bottom w:val="none" w:sz="0" w:space="0" w:color="auto"/>
        <w:right w:val="none" w:sz="0" w:space="0" w:color="auto"/>
      </w:divBdr>
    </w:div>
    <w:div w:id="1706636431">
      <w:bodyDiv w:val="1"/>
      <w:marLeft w:val="0"/>
      <w:marRight w:val="0"/>
      <w:marTop w:val="0"/>
      <w:marBottom w:val="0"/>
      <w:divBdr>
        <w:top w:val="none" w:sz="0" w:space="0" w:color="auto"/>
        <w:left w:val="none" w:sz="0" w:space="0" w:color="auto"/>
        <w:bottom w:val="none" w:sz="0" w:space="0" w:color="auto"/>
        <w:right w:val="none" w:sz="0" w:space="0" w:color="auto"/>
      </w:divBdr>
    </w:div>
    <w:div w:id="1715763834">
      <w:bodyDiv w:val="1"/>
      <w:marLeft w:val="0"/>
      <w:marRight w:val="0"/>
      <w:marTop w:val="0"/>
      <w:marBottom w:val="0"/>
      <w:divBdr>
        <w:top w:val="none" w:sz="0" w:space="0" w:color="auto"/>
        <w:left w:val="none" w:sz="0" w:space="0" w:color="auto"/>
        <w:bottom w:val="none" w:sz="0" w:space="0" w:color="auto"/>
        <w:right w:val="none" w:sz="0" w:space="0" w:color="auto"/>
      </w:divBdr>
    </w:div>
    <w:div w:id="1717511274">
      <w:bodyDiv w:val="1"/>
      <w:marLeft w:val="0"/>
      <w:marRight w:val="0"/>
      <w:marTop w:val="0"/>
      <w:marBottom w:val="0"/>
      <w:divBdr>
        <w:top w:val="none" w:sz="0" w:space="0" w:color="auto"/>
        <w:left w:val="none" w:sz="0" w:space="0" w:color="auto"/>
        <w:bottom w:val="none" w:sz="0" w:space="0" w:color="auto"/>
        <w:right w:val="none" w:sz="0" w:space="0" w:color="auto"/>
      </w:divBdr>
    </w:div>
    <w:div w:id="1750687834">
      <w:bodyDiv w:val="1"/>
      <w:marLeft w:val="0"/>
      <w:marRight w:val="0"/>
      <w:marTop w:val="0"/>
      <w:marBottom w:val="0"/>
      <w:divBdr>
        <w:top w:val="none" w:sz="0" w:space="0" w:color="auto"/>
        <w:left w:val="none" w:sz="0" w:space="0" w:color="auto"/>
        <w:bottom w:val="none" w:sz="0" w:space="0" w:color="auto"/>
        <w:right w:val="none" w:sz="0" w:space="0" w:color="auto"/>
      </w:divBdr>
      <w:divsChild>
        <w:div w:id="1396510917">
          <w:marLeft w:val="0"/>
          <w:marRight w:val="0"/>
          <w:marTop w:val="0"/>
          <w:marBottom w:val="0"/>
          <w:divBdr>
            <w:top w:val="none" w:sz="0" w:space="0" w:color="auto"/>
            <w:left w:val="none" w:sz="0" w:space="0" w:color="auto"/>
            <w:bottom w:val="none" w:sz="0" w:space="0" w:color="auto"/>
            <w:right w:val="none" w:sz="0" w:space="0" w:color="auto"/>
          </w:divBdr>
        </w:div>
      </w:divsChild>
    </w:div>
    <w:div w:id="1773278582">
      <w:bodyDiv w:val="1"/>
      <w:marLeft w:val="0"/>
      <w:marRight w:val="0"/>
      <w:marTop w:val="0"/>
      <w:marBottom w:val="0"/>
      <w:divBdr>
        <w:top w:val="none" w:sz="0" w:space="0" w:color="auto"/>
        <w:left w:val="none" w:sz="0" w:space="0" w:color="auto"/>
        <w:bottom w:val="none" w:sz="0" w:space="0" w:color="auto"/>
        <w:right w:val="none" w:sz="0" w:space="0" w:color="auto"/>
      </w:divBdr>
    </w:div>
    <w:div w:id="1776904304">
      <w:bodyDiv w:val="1"/>
      <w:marLeft w:val="0"/>
      <w:marRight w:val="0"/>
      <w:marTop w:val="0"/>
      <w:marBottom w:val="0"/>
      <w:divBdr>
        <w:top w:val="none" w:sz="0" w:space="0" w:color="auto"/>
        <w:left w:val="none" w:sz="0" w:space="0" w:color="auto"/>
        <w:bottom w:val="none" w:sz="0" w:space="0" w:color="auto"/>
        <w:right w:val="none" w:sz="0" w:space="0" w:color="auto"/>
      </w:divBdr>
    </w:div>
    <w:div w:id="1784300218">
      <w:bodyDiv w:val="1"/>
      <w:marLeft w:val="0"/>
      <w:marRight w:val="0"/>
      <w:marTop w:val="0"/>
      <w:marBottom w:val="0"/>
      <w:divBdr>
        <w:top w:val="none" w:sz="0" w:space="0" w:color="auto"/>
        <w:left w:val="none" w:sz="0" w:space="0" w:color="auto"/>
        <w:bottom w:val="none" w:sz="0" w:space="0" w:color="auto"/>
        <w:right w:val="none" w:sz="0" w:space="0" w:color="auto"/>
      </w:divBdr>
    </w:div>
    <w:div w:id="1839345791">
      <w:bodyDiv w:val="1"/>
      <w:marLeft w:val="0"/>
      <w:marRight w:val="0"/>
      <w:marTop w:val="0"/>
      <w:marBottom w:val="0"/>
      <w:divBdr>
        <w:top w:val="none" w:sz="0" w:space="0" w:color="auto"/>
        <w:left w:val="none" w:sz="0" w:space="0" w:color="auto"/>
        <w:bottom w:val="none" w:sz="0" w:space="0" w:color="auto"/>
        <w:right w:val="none" w:sz="0" w:space="0" w:color="auto"/>
      </w:divBdr>
    </w:div>
    <w:div w:id="1865441098">
      <w:bodyDiv w:val="1"/>
      <w:marLeft w:val="0"/>
      <w:marRight w:val="0"/>
      <w:marTop w:val="0"/>
      <w:marBottom w:val="0"/>
      <w:divBdr>
        <w:top w:val="none" w:sz="0" w:space="0" w:color="auto"/>
        <w:left w:val="none" w:sz="0" w:space="0" w:color="auto"/>
        <w:bottom w:val="none" w:sz="0" w:space="0" w:color="auto"/>
        <w:right w:val="none" w:sz="0" w:space="0" w:color="auto"/>
      </w:divBdr>
    </w:div>
    <w:div w:id="1885437230">
      <w:bodyDiv w:val="1"/>
      <w:marLeft w:val="0"/>
      <w:marRight w:val="0"/>
      <w:marTop w:val="0"/>
      <w:marBottom w:val="0"/>
      <w:divBdr>
        <w:top w:val="none" w:sz="0" w:space="0" w:color="auto"/>
        <w:left w:val="none" w:sz="0" w:space="0" w:color="auto"/>
        <w:bottom w:val="none" w:sz="0" w:space="0" w:color="auto"/>
        <w:right w:val="none" w:sz="0" w:space="0" w:color="auto"/>
      </w:divBdr>
    </w:div>
    <w:div w:id="1910995988">
      <w:bodyDiv w:val="1"/>
      <w:marLeft w:val="0"/>
      <w:marRight w:val="0"/>
      <w:marTop w:val="0"/>
      <w:marBottom w:val="0"/>
      <w:divBdr>
        <w:top w:val="none" w:sz="0" w:space="0" w:color="auto"/>
        <w:left w:val="none" w:sz="0" w:space="0" w:color="auto"/>
        <w:bottom w:val="none" w:sz="0" w:space="0" w:color="auto"/>
        <w:right w:val="none" w:sz="0" w:space="0" w:color="auto"/>
      </w:divBdr>
    </w:div>
    <w:div w:id="1928149258">
      <w:bodyDiv w:val="1"/>
      <w:marLeft w:val="0"/>
      <w:marRight w:val="0"/>
      <w:marTop w:val="0"/>
      <w:marBottom w:val="0"/>
      <w:divBdr>
        <w:top w:val="none" w:sz="0" w:space="0" w:color="auto"/>
        <w:left w:val="none" w:sz="0" w:space="0" w:color="auto"/>
        <w:bottom w:val="none" w:sz="0" w:space="0" w:color="auto"/>
        <w:right w:val="none" w:sz="0" w:space="0" w:color="auto"/>
      </w:divBdr>
      <w:divsChild>
        <w:div w:id="1325164494">
          <w:marLeft w:val="0"/>
          <w:marRight w:val="0"/>
          <w:marTop w:val="0"/>
          <w:marBottom w:val="0"/>
          <w:divBdr>
            <w:top w:val="none" w:sz="0" w:space="0" w:color="auto"/>
            <w:left w:val="none" w:sz="0" w:space="0" w:color="auto"/>
            <w:bottom w:val="none" w:sz="0" w:space="0" w:color="auto"/>
            <w:right w:val="none" w:sz="0" w:space="0" w:color="auto"/>
          </w:divBdr>
        </w:div>
      </w:divsChild>
    </w:div>
    <w:div w:id="1971857266">
      <w:bodyDiv w:val="1"/>
      <w:marLeft w:val="0"/>
      <w:marRight w:val="0"/>
      <w:marTop w:val="0"/>
      <w:marBottom w:val="0"/>
      <w:divBdr>
        <w:top w:val="none" w:sz="0" w:space="0" w:color="auto"/>
        <w:left w:val="none" w:sz="0" w:space="0" w:color="auto"/>
        <w:bottom w:val="none" w:sz="0" w:space="0" w:color="auto"/>
        <w:right w:val="none" w:sz="0" w:space="0" w:color="auto"/>
      </w:divBdr>
    </w:div>
    <w:div w:id="1972636361">
      <w:bodyDiv w:val="1"/>
      <w:marLeft w:val="0"/>
      <w:marRight w:val="0"/>
      <w:marTop w:val="0"/>
      <w:marBottom w:val="0"/>
      <w:divBdr>
        <w:top w:val="none" w:sz="0" w:space="0" w:color="auto"/>
        <w:left w:val="none" w:sz="0" w:space="0" w:color="auto"/>
        <w:bottom w:val="none" w:sz="0" w:space="0" w:color="auto"/>
        <w:right w:val="none" w:sz="0" w:space="0" w:color="auto"/>
      </w:divBdr>
    </w:div>
    <w:div w:id="1979526003">
      <w:bodyDiv w:val="1"/>
      <w:marLeft w:val="0"/>
      <w:marRight w:val="0"/>
      <w:marTop w:val="0"/>
      <w:marBottom w:val="0"/>
      <w:divBdr>
        <w:top w:val="none" w:sz="0" w:space="0" w:color="auto"/>
        <w:left w:val="none" w:sz="0" w:space="0" w:color="auto"/>
        <w:bottom w:val="none" w:sz="0" w:space="0" w:color="auto"/>
        <w:right w:val="none" w:sz="0" w:space="0" w:color="auto"/>
      </w:divBdr>
    </w:div>
    <w:div w:id="1983655244">
      <w:bodyDiv w:val="1"/>
      <w:marLeft w:val="0"/>
      <w:marRight w:val="0"/>
      <w:marTop w:val="0"/>
      <w:marBottom w:val="0"/>
      <w:divBdr>
        <w:top w:val="none" w:sz="0" w:space="0" w:color="auto"/>
        <w:left w:val="none" w:sz="0" w:space="0" w:color="auto"/>
        <w:bottom w:val="none" w:sz="0" w:space="0" w:color="auto"/>
        <w:right w:val="none" w:sz="0" w:space="0" w:color="auto"/>
      </w:divBdr>
    </w:div>
    <w:div w:id="2002850405">
      <w:bodyDiv w:val="1"/>
      <w:marLeft w:val="0"/>
      <w:marRight w:val="0"/>
      <w:marTop w:val="0"/>
      <w:marBottom w:val="0"/>
      <w:divBdr>
        <w:top w:val="none" w:sz="0" w:space="0" w:color="auto"/>
        <w:left w:val="none" w:sz="0" w:space="0" w:color="auto"/>
        <w:bottom w:val="none" w:sz="0" w:space="0" w:color="auto"/>
        <w:right w:val="none" w:sz="0" w:space="0" w:color="auto"/>
      </w:divBdr>
    </w:div>
    <w:div w:id="2004622566">
      <w:bodyDiv w:val="1"/>
      <w:marLeft w:val="0"/>
      <w:marRight w:val="0"/>
      <w:marTop w:val="0"/>
      <w:marBottom w:val="0"/>
      <w:divBdr>
        <w:top w:val="none" w:sz="0" w:space="0" w:color="auto"/>
        <w:left w:val="none" w:sz="0" w:space="0" w:color="auto"/>
        <w:bottom w:val="none" w:sz="0" w:space="0" w:color="auto"/>
        <w:right w:val="none" w:sz="0" w:space="0" w:color="auto"/>
      </w:divBdr>
      <w:divsChild>
        <w:div w:id="369041240">
          <w:marLeft w:val="0"/>
          <w:marRight w:val="0"/>
          <w:marTop w:val="0"/>
          <w:marBottom w:val="0"/>
          <w:divBdr>
            <w:top w:val="none" w:sz="0" w:space="0" w:color="auto"/>
            <w:left w:val="none" w:sz="0" w:space="0" w:color="auto"/>
            <w:bottom w:val="none" w:sz="0" w:space="0" w:color="auto"/>
            <w:right w:val="none" w:sz="0" w:space="0" w:color="auto"/>
          </w:divBdr>
        </w:div>
      </w:divsChild>
    </w:div>
    <w:div w:id="2023967373">
      <w:bodyDiv w:val="1"/>
      <w:marLeft w:val="0"/>
      <w:marRight w:val="0"/>
      <w:marTop w:val="0"/>
      <w:marBottom w:val="0"/>
      <w:divBdr>
        <w:top w:val="none" w:sz="0" w:space="0" w:color="auto"/>
        <w:left w:val="none" w:sz="0" w:space="0" w:color="auto"/>
        <w:bottom w:val="none" w:sz="0" w:space="0" w:color="auto"/>
        <w:right w:val="none" w:sz="0" w:space="0" w:color="auto"/>
      </w:divBdr>
    </w:div>
    <w:div w:id="2096705641">
      <w:bodyDiv w:val="1"/>
      <w:marLeft w:val="0"/>
      <w:marRight w:val="0"/>
      <w:marTop w:val="0"/>
      <w:marBottom w:val="0"/>
      <w:divBdr>
        <w:top w:val="none" w:sz="0" w:space="0" w:color="auto"/>
        <w:left w:val="none" w:sz="0" w:space="0" w:color="auto"/>
        <w:bottom w:val="none" w:sz="0" w:space="0" w:color="auto"/>
        <w:right w:val="none" w:sz="0" w:space="0" w:color="auto"/>
      </w:divBdr>
    </w:div>
    <w:div w:id="2118020171">
      <w:bodyDiv w:val="1"/>
      <w:marLeft w:val="0"/>
      <w:marRight w:val="0"/>
      <w:marTop w:val="0"/>
      <w:marBottom w:val="0"/>
      <w:divBdr>
        <w:top w:val="none" w:sz="0" w:space="0" w:color="auto"/>
        <w:left w:val="none" w:sz="0" w:space="0" w:color="auto"/>
        <w:bottom w:val="none" w:sz="0" w:space="0" w:color="auto"/>
        <w:right w:val="none" w:sz="0" w:space="0" w:color="auto"/>
      </w:divBdr>
    </w:div>
    <w:div w:id="21307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6.jpeg"/><Relationship Id="rId3" Type="http://schemas.openxmlformats.org/officeDocument/2006/relationships/numbering" Target="numbering.xml"/><Relationship Id="rId21"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5.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4.jpe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3.jpeg"/><Relationship Id="rId28" Type="http://schemas.openxmlformats.org/officeDocument/2006/relationships/image" Target="media/image18.jpeg"/><Relationship Id="rId10" Type="http://schemas.openxmlformats.org/officeDocument/2006/relationships/image" Target="media/image1.jpeg"/><Relationship Id="rId19" Type="http://schemas.openxmlformats.org/officeDocument/2006/relationships/chart" Target="charts/chart1.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Dr.%20Manhattan\Dropbox\Memory%20Response\Field%20Data%20&amp;%20Analysis\Effective%20Porosity%20Manuscript\Hydrogeology%20Journal\Resubmission%20Docs\Push_Pull_Test_ne_rev_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noFill/>
            <a:ln w="12700">
              <a:solidFill>
                <a:schemeClr val="tx1"/>
              </a:solidFill>
            </a:ln>
            <a:effectLst/>
          </c:spPr>
          <c:invertIfNegative val="0"/>
          <c:errBars>
            <c:errBarType val="both"/>
            <c:errValType val="cust"/>
            <c:noEndCap val="0"/>
            <c:plus>
              <c:numRef>
                <c:f>'Uncertainty Analysis'!$AM$4:$AM$8</c:f>
                <c:numCache>
                  <c:formatCode>General</c:formatCode>
                  <c:ptCount val="5"/>
                  <c:pt idx="0">
                    <c:v>3.9622457286847399E-4</c:v>
                  </c:pt>
                  <c:pt idx="1">
                    <c:v>2.49152826510306E-3</c:v>
                  </c:pt>
                  <c:pt idx="2">
                    <c:v>3.7556112137661301E-3</c:v>
                  </c:pt>
                  <c:pt idx="3">
                    <c:v>1.4417921435280999E-3</c:v>
                  </c:pt>
                  <c:pt idx="4">
                    <c:v>1.70614450206976E-3</c:v>
                  </c:pt>
                </c:numCache>
              </c:numRef>
            </c:plus>
            <c:minus>
              <c:numRef>
                <c:f>'Uncertainty Analysis'!$AM$4:$AM$8</c:f>
                <c:numCache>
                  <c:formatCode>General</c:formatCode>
                  <c:ptCount val="5"/>
                  <c:pt idx="0">
                    <c:v>3.9622457286847399E-4</c:v>
                  </c:pt>
                  <c:pt idx="1">
                    <c:v>2.49152826510306E-3</c:v>
                  </c:pt>
                  <c:pt idx="2">
                    <c:v>3.7556112137661301E-3</c:v>
                  </c:pt>
                  <c:pt idx="3">
                    <c:v>1.4417921435280999E-3</c:v>
                  </c:pt>
                  <c:pt idx="4">
                    <c:v>1.70614450206976E-3</c:v>
                  </c:pt>
                </c:numCache>
              </c:numRef>
            </c:minus>
            <c:spPr>
              <a:noFill/>
              <a:ln w="9525" cap="flat" cmpd="sng" algn="ctr">
                <a:solidFill>
                  <a:schemeClr val="tx1">
                    <a:lumMod val="65000"/>
                    <a:lumOff val="35000"/>
                  </a:schemeClr>
                </a:solidFill>
                <a:round/>
              </a:ln>
              <a:effectLst/>
            </c:spPr>
          </c:errBars>
          <c:cat>
            <c:strRef>
              <c:f>'Uncertainty Analysis'!$B$4:$B$8</c:f>
              <c:strCache>
                <c:ptCount val="5"/>
                <c:pt idx="0">
                  <c:v>FW220</c:v>
                </c:pt>
                <c:pt idx="1">
                  <c:v>FW221</c:v>
                </c:pt>
                <c:pt idx="2">
                  <c:v>FW222</c:v>
                </c:pt>
                <c:pt idx="3">
                  <c:v>FW223</c:v>
                </c:pt>
                <c:pt idx="4">
                  <c:v>FW224</c:v>
                </c:pt>
              </c:strCache>
            </c:strRef>
          </c:cat>
          <c:val>
            <c:numRef>
              <c:f>'Uncertainty Analysis'!$AL$4:$AL$8</c:f>
              <c:numCache>
                <c:formatCode>0.0%</c:formatCode>
                <c:ptCount val="5"/>
                <c:pt idx="0">
                  <c:v>6.4016387854049801E-3</c:v>
                </c:pt>
                <c:pt idx="1">
                  <c:v>5.5043699865086101E-2</c:v>
                </c:pt>
                <c:pt idx="2">
                  <c:v>4.2203409680959002E-2</c:v>
                </c:pt>
                <c:pt idx="3">
                  <c:v>1.9476555875888601E-2</c:v>
                </c:pt>
                <c:pt idx="4">
                  <c:v>2.4412467794379701E-2</c:v>
                </c:pt>
              </c:numCache>
            </c:numRef>
          </c:val>
          <c:extLst>
            <c:ext xmlns:c16="http://schemas.microsoft.com/office/drawing/2014/chart" uri="{C3380CC4-5D6E-409C-BE32-E72D297353CC}">
              <c16:uniqueId val="{00000000-14D1-4B6D-BF27-444A07871173}"/>
            </c:ext>
          </c:extLst>
        </c:ser>
        <c:dLbls>
          <c:showLegendKey val="0"/>
          <c:showVal val="0"/>
          <c:showCatName val="0"/>
          <c:showSerName val="0"/>
          <c:showPercent val="0"/>
          <c:showBubbleSize val="0"/>
        </c:dLbls>
        <c:gapWidth val="219"/>
        <c:overlap val="-27"/>
        <c:axId val="1187627920"/>
        <c:axId val="1364608816"/>
      </c:barChart>
      <c:catAx>
        <c:axId val="1187627920"/>
        <c:scaling>
          <c:orientation val="minMax"/>
        </c:scaling>
        <c:delete val="0"/>
        <c:axPos val="b"/>
        <c:numFmt formatCode="General" sourceLinked="1"/>
        <c:majorTickMark val="out"/>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64608816"/>
        <c:crosses val="autoZero"/>
        <c:auto val="1"/>
        <c:lblAlgn val="ctr"/>
        <c:lblOffset val="100"/>
        <c:noMultiLvlLbl val="0"/>
      </c:catAx>
      <c:valAx>
        <c:axId val="1364608816"/>
        <c:scaling>
          <c:orientation val="minMax"/>
          <c:max val="0.06"/>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Effective Poroisty (n</a:t>
                </a:r>
                <a:r>
                  <a:rPr lang="en-US" baseline="-25000"/>
                  <a:t>e1</a:t>
                </a:r>
                <a:r>
                  <a:rPr lang="en-US"/>
                  <a:t>)</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out"/>
        <c:minorTickMark val="none"/>
        <c:tickLblPos val="nextTo"/>
        <c:spPr>
          <a:noFill/>
          <a:ln w="12700">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87627920"/>
        <c:crosses val="autoZero"/>
        <c:crossBetween val="between"/>
        <c:majorUnit val="0.01"/>
      </c:valAx>
      <c:spPr>
        <a:noFill/>
        <a:ln w="12700">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2012-12-18T00:00:00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9BFD725-46EC-49E6-A017-940C1995B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153</Pages>
  <Words>48307</Words>
  <Characters>275354</Characters>
  <Application>Microsoft Office Word</Application>
  <DocSecurity>0</DocSecurity>
  <Lines>2294</Lines>
  <Paragraphs>646</Paragraphs>
  <ScaleCrop>false</ScaleCrop>
  <HeadingPairs>
    <vt:vector size="2" baseType="variant">
      <vt:variant>
        <vt:lpstr>Title</vt:lpstr>
      </vt:variant>
      <vt:variant>
        <vt:i4>1</vt:i4>
      </vt:variant>
    </vt:vector>
  </HeadingPairs>
  <TitlesOfParts>
    <vt:vector size="1" baseType="lpstr">
      <vt:lpstr>Monitoring of Site 30-6426 Santa Clara, CA</vt:lpstr>
    </vt:vector>
  </TitlesOfParts>
  <Company>U.C. Davis-depT. of land, air and water resources</Company>
  <LinksUpToDate>false</LinksUpToDate>
  <CharactersWithSpaces>323015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Monitoring of Site 30-6426 Santa Clara, CA</dc:title>
  <dc:subject>Preliminary Results and Interpretation</dc:subject>
  <dc:creator>C. Paradis, R. Holland, R. Schmidt, N. de Sieyes, and D. Mackay</dc:creator>
  <cp:lastModifiedBy>Charlie</cp:lastModifiedBy>
  <cp:revision>26</cp:revision>
  <cp:lastPrinted>2017-08-04T14:03:00Z</cp:lastPrinted>
  <dcterms:created xsi:type="dcterms:W3CDTF">2017-11-15T14:29:00Z</dcterms:created>
  <dcterms:modified xsi:type="dcterms:W3CDTF">2017-11-15T16:04:00Z</dcterms:modified>
</cp:coreProperties>
</file>