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082642" w14:textId="3FFCF817" w:rsidR="00AF1014" w:rsidRDefault="00AF1014" w:rsidP="0022470F">
      <w:pPr>
        <w:jc w:val="center"/>
        <w:rPr>
          <w:rFonts w:ascii="Times New Roman" w:hAnsi="Times New Roman" w:cs="Times New Roman"/>
          <w:b/>
          <w:lang w:val="en-CA"/>
        </w:rPr>
      </w:pPr>
      <w:r>
        <w:rPr>
          <w:rFonts w:ascii="Times New Roman" w:hAnsi="Times New Roman" w:cs="Times New Roman"/>
          <w:b/>
          <w:lang w:val="en-CA"/>
        </w:rPr>
        <w:t>UNSETTLING LAUGHTER:</w:t>
      </w:r>
    </w:p>
    <w:p w14:paraId="71984545" w14:textId="515085B6" w:rsidR="00AF1014" w:rsidRDefault="00AF1014" w:rsidP="0022470F">
      <w:pPr>
        <w:jc w:val="center"/>
        <w:rPr>
          <w:rFonts w:ascii="Times New Roman" w:hAnsi="Times New Roman" w:cs="Times New Roman"/>
          <w:b/>
          <w:lang w:val="en-CA"/>
        </w:rPr>
      </w:pPr>
      <w:r>
        <w:rPr>
          <w:rFonts w:ascii="Times New Roman" w:hAnsi="Times New Roman" w:cs="Times New Roman"/>
          <w:b/>
          <w:lang w:val="en-CA"/>
        </w:rPr>
        <w:t xml:space="preserve">HUMOR AND RESISTANCE IN </w:t>
      </w:r>
      <w:proofErr w:type="gramStart"/>
      <w:r>
        <w:rPr>
          <w:rFonts w:ascii="Times New Roman" w:hAnsi="Times New Roman" w:cs="Times New Roman"/>
          <w:b/>
          <w:lang w:val="en-CA"/>
        </w:rPr>
        <w:t>NINETEENTH-CENTURY</w:t>
      </w:r>
      <w:proofErr w:type="gramEnd"/>
    </w:p>
    <w:p w14:paraId="75631AAB" w14:textId="75ACDD0B" w:rsidR="00AF1014" w:rsidRDefault="00AF1014" w:rsidP="0022470F">
      <w:pPr>
        <w:jc w:val="center"/>
        <w:rPr>
          <w:rFonts w:ascii="Times New Roman" w:hAnsi="Times New Roman" w:cs="Times New Roman"/>
          <w:b/>
          <w:lang w:val="en-CA"/>
        </w:rPr>
      </w:pPr>
      <w:r>
        <w:rPr>
          <w:rFonts w:ascii="Times New Roman" w:hAnsi="Times New Roman" w:cs="Times New Roman"/>
          <w:b/>
          <w:lang w:val="en-CA"/>
        </w:rPr>
        <w:t xml:space="preserve">NATIVE LITERATURE </w:t>
      </w:r>
    </w:p>
    <w:p w14:paraId="48B0A42B" w14:textId="77777777" w:rsidR="00AF1014" w:rsidRDefault="00AF1014" w:rsidP="0022470F">
      <w:pPr>
        <w:jc w:val="center"/>
        <w:rPr>
          <w:rFonts w:ascii="Times New Roman" w:hAnsi="Times New Roman" w:cs="Times New Roman"/>
        </w:rPr>
      </w:pPr>
    </w:p>
    <w:p w14:paraId="3B96D891" w14:textId="77777777" w:rsidR="00AF1014" w:rsidRDefault="00AF1014" w:rsidP="0022470F">
      <w:pPr>
        <w:jc w:val="center"/>
        <w:rPr>
          <w:rFonts w:ascii="Times New Roman" w:hAnsi="Times New Roman" w:cs="Times New Roman"/>
        </w:rPr>
      </w:pPr>
    </w:p>
    <w:p w14:paraId="24FF0F70" w14:textId="77777777" w:rsidR="00AF1014" w:rsidRDefault="00AF1014" w:rsidP="0022470F">
      <w:pPr>
        <w:jc w:val="center"/>
        <w:rPr>
          <w:rFonts w:ascii="Times New Roman" w:hAnsi="Times New Roman" w:cs="Times New Roman"/>
        </w:rPr>
      </w:pPr>
    </w:p>
    <w:p w14:paraId="68001094" w14:textId="77777777" w:rsidR="00AF1014" w:rsidRDefault="00AF1014" w:rsidP="0022470F">
      <w:pPr>
        <w:jc w:val="center"/>
        <w:rPr>
          <w:rFonts w:ascii="Times New Roman" w:hAnsi="Times New Roman" w:cs="Times New Roman"/>
        </w:rPr>
      </w:pPr>
    </w:p>
    <w:p w14:paraId="6588F640" w14:textId="77777777" w:rsidR="00AF1014" w:rsidRDefault="00AF1014" w:rsidP="0022470F">
      <w:pPr>
        <w:jc w:val="center"/>
        <w:rPr>
          <w:rFonts w:ascii="Times New Roman" w:hAnsi="Times New Roman" w:cs="Times New Roman"/>
        </w:rPr>
      </w:pPr>
    </w:p>
    <w:p w14:paraId="525BD216" w14:textId="77777777" w:rsidR="00AF1014" w:rsidRDefault="00AF1014" w:rsidP="0022470F">
      <w:pPr>
        <w:jc w:val="center"/>
        <w:rPr>
          <w:rFonts w:ascii="Times New Roman" w:hAnsi="Times New Roman" w:cs="Times New Roman"/>
        </w:rPr>
      </w:pPr>
    </w:p>
    <w:p w14:paraId="279771DB" w14:textId="77777777" w:rsidR="00AF1014" w:rsidRDefault="00AF1014" w:rsidP="0022470F">
      <w:pPr>
        <w:jc w:val="center"/>
        <w:rPr>
          <w:rFonts w:ascii="Times New Roman" w:hAnsi="Times New Roman" w:cs="Times New Roman"/>
        </w:rPr>
      </w:pPr>
    </w:p>
    <w:p w14:paraId="77F7AC8E" w14:textId="77777777" w:rsidR="00AF1014" w:rsidRDefault="00AF1014" w:rsidP="0022470F">
      <w:pPr>
        <w:jc w:val="center"/>
        <w:rPr>
          <w:rFonts w:ascii="Times New Roman" w:hAnsi="Times New Roman" w:cs="Times New Roman"/>
        </w:rPr>
      </w:pPr>
    </w:p>
    <w:p w14:paraId="73A3C728" w14:textId="77777777" w:rsidR="00AF1014" w:rsidRDefault="00AF1014" w:rsidP="0022470F">
      <w:pPr>
        <w:jc w:val="center"/>
        <w:rPr>
          <w:rFonts w:ascii="Times New Roman" w:hAnsi="Times New Roman" w:cs="Times New Roman"/>
        </w:rPr>
      </w:pPr>
    </w:p>
    <w:p w14:paraId="6D1C483C" w14:textId="77777777" w:rsidR="00AF1014" w:rsidRDefault="00AF1014" w:rsidP="0022470F">
      <w:pPr>
        <w:jc w:val="center"/>
        <w:rPr>
          <w:rFonts w:ascii="Times New Roman" w:hAnsi="Times New Roman" w:cs="Times New Roman"/>
        </w:rPr>
      </w:pPr>
    </w:p>
    <w:p w14:paraId="710C05A1" w14:textId="77777777" w:rsidR="00AF1014" w:rsidRDefault="00AF1014" w:rsidP="0022470F">
      <w:pPr>
        <w:jc w:val="center"/>
        <w:rPr>
          <w:rFonts w:ascii="Times New Roman" w:hAnsi="Times New Roman" w:cs="Times New Roman"/>
        </w:rPr>
      </w:pPr>
    </w:p>
    <w:p w14:paraId="7540D79D" w14:textId="77777777" w:rsidR="00AF1014" w:rsidRDefault="00AF1014" w:rsidP="0022470F">
      <w:pPr>
        <w:jc w:val="center"/>
        <w:rPr>
          <w:rFonts w:ascii="Times New Roman" w:hAnsi="Times New Roman" w:cs="Times New Roman"/>
        </w:rPr>
      </w:pPr>
    </w:p>
    <w:p w14:paraId="539C920D" w14:textId="77777777" w:rsidR="00AF1014" w:rsidRDefault="00AF1014" w:rsidP="0022470F">
      <w:pPr>
        <w:jc w:val="center"/>
        <w:rPr>
          <w:rFonts w:ascii="Times New Roman" w:hAnsi="Times New Roman" w:cs="Times New Roman"/>
        </w:rPr>
      </w:pPr>
      <w:r>
        <w:rPr>
          <w:rFonts w:ascii="Times New Roman" w:hAnsi="Times New Roman" w:cs="Times New Roman"/>
        </w:rPr>
        <w:t>A Dissertation Presented for the</w:t>
      </w:r>
    </w:p>
    <w:p w14:paraId="389BEBD8" w14:textId="77777777" w:rsidR="00AF1014" w:rsidRDefault="00AF1014" w:rsidP="0022470F">
      <w:pPr>
        <w:jc w:val="center"/>
        <w:rPr>
          <w:rFonts w:ascii="Times New Roman" w:hAnsi="Times New Roman" w:cs="Times New Roman"/>
        </w:rPr>
      </w:pPr>
      <w:r>
        <w:rPr>
          <w:rFonts w:ascii="Times New Roman" w:hAnsi="Times New Roman" w:cs="Times New Roman"/>
        </w:rPr>
        <w:t>Doctor of Philosophy</w:t>
      </w:r>
    </w:p>
    <w:p w14:paraId="50B37F41" w14:textId="77777777" w:rsidR="00AF1014" w:rsidRDefault="00AF1014" w:rsidP="0022470F">
      <w:pPr>
        <w:jc w:val="center"/>
        <w:rPr>
          <w:rFonts w:ascii="Times New Roman" w:hAnsi="Times New Roman" w:cs="Times New Roman"/>
        </w:rPr>
      </w:pPr>
      <w:r>
        <w:rPr>
          <w:rFonts w:ascii="Times New Roman" w:hAnsi="Times New Roman" w:cs="Times New Roman"/>
        </w:rPr>
        <w:t>Degree</w:t>
      </w:r>
    </w:p>
    <w:p w14:paraId="1125CCE3" w14:textId="77777777" w:rsidR="00AF1014" w:rsidRDefault="00AF1014" w:rsidP="0022470F">
      <w:pPr>
        <w:jc w:val="center"/>
        <w:rPr>
          <w:rFonts w:ascii="Times New Roman" w:hAnsi="Times New Roman" w:cs="Times New Roman"/>
        </w:rPr>
      </w:pPr>
      <w:r>
        <w:rPr>
          <w:rFonts w:ascii="Times New Roman" w:hAnsi="Times New Roman" w:cs="Times New Roman"/>
        </w:rPr>
        <w:t>The University of Tennessee, Knoxville</w:t>
      </w:r>
    </w:p>
    <w:p w14:paraId="7231E5FF" w14:textId="77777777" w:rsidR="00AF1014" w:rsidRDefault="00AF1014" w:rsidP="0022470F">
      <w:pPr>
        <w:jc w:val="center"/>
        <w:rPr>
          <w:rFonts w:ascii="Times New Roman" w:hAnsi="Times New Roman" w:cs="Times New Roman"/>
        </w:rPr>
      </w:pPr>
    </w:p>
    <w:p w14:paraId="7F51570D" w14:textId="77777777" w:rsidR="00AF1014" w:rsidRDefault="00AF1014" w:rsidP="0022470F">
      <w:pPr>
        <w:jc w:val="center"/>
        <w:rPr>
          <w:rFonts w:ascii="Times New Roman" w:hAnsi="Times New Roman" w:cs="Times New Roman"/>
        </w:rPr>
      </w:pPr>
    </w:p>
    <w:p w14:paraId="6E8591D2" w14:textId="77777777" w:rsidR="00AF1014" w:rsidRDefault="00AF1014" w:rsidP="0022470F">
      <w:pPr>
        <w:jc w:val="center"/>
        <w:rPr>
          <w:rFonts w:ascii="Times New Roman" w:hAnsi="Times New Roman" w:cs="Times New Roman"/>
        </w:rPr>
      </w:pPr>
    </w:p>
    <w:p w14:paraId="1538081F" w14:textId="77777777" w:rsidR="00AF1014" w:rsidRDefault="00AF1014" w:rsidP="0022470F">
      <w:pPr>
        <w:jc w:val="center"/>
        <w:rPr>
          <w:rFonts w:ascii="Times New Roman" w:hAnsi="Times New Roman" w:cs="Times New Roman"/>
        </w:rPr>
      </w:pPr>
    </w:p>
    <w:p w14:paraId="219C5738" w14:textId="77777777" w:rsidR="00AF1014" w:rsidRDefault="00AF1014" w:rsidP="0022470F">
      <w:pPr>
        <w:jc w:val="center"/>
        <w:rPr>
          <w:rFonts w:ascii="Times New Roman" w:hAnsi="Times New Roman" w:cs="Times New Roman"/>
        </w:rPr>
      </w:pPr>
    </w:p>
    <w:p w14:paraId="05CABD8A" w14:textId="77777777" w:rsidR="00AF1014" w:rsidRDefault="00AF1014" w:rsidP="0022470F">
      <w:pPr>
        <w:jc w:val="center"/>
        <w:rPr>
          <w:rFonts w:ascii="Times New Roman" w:hAnsi="Times New Roman" w:cs="Times New Roman"/>
        </w:rPr>
      </w:pPr>
    </w:p>
    <w:p w14:paraId="4DD60177" w14:textId="77777777" w:rsidR="00AF1014" w:rsidRDefault="00AF1014" w:rsidP="0022470F">
      <w:pPr>
        <w:jc w:val="center"/>
        <w:rPr>
          <w:rFonts w:ascii="Times New Roman" w:hAnsi="Times New Roman" w:cs="Times New Roman"/>
        </w:rPr>
      </w:pPr>
    </w:p>
    <w:p w14:paraId="26032420" w14:textId="77777777" w:rsidR="00AF1014" w:rsidRDefault="00AF1014" w:rsidP="0022470F">
      <w:pPr>
        <w:jc w:val="center"/>
        <w:rPr>
          <w:rFonts w:ascii="Times New Roman" w:hAnsi="Times New Roman" w:cs="Times New Roman"/>
        </w:rPr>
      </w:pPr>
    </w:p>
    <w:p w14:paraId="618D96B2" w14:textId="77777777" w:rsidR="00AF1014" w:rsidRDefault="00AF1014" w:rsidP="0022470F">
      <w:pPr>
        <w:jc w:val="center"/>
        <w:rPr>
          <w:rFonts w:ascii="Times New Roman" w:hAnsi="Times New Roman" w:cs="Times New Roman"/>
        </w:rPr>
      </w:pPr>
    </w:p>
    <w:p w14:paraId="0FDB17EA" w14:textId="77777777" w:rsidR="00AF1014" w:rsidRDefault="00AF1014" w:rsidP="0022470F">
      <w:pPr>
        <w:jc w:val="center"/>
        <w:rPr>
          <w:rFonts w:ascii="Times New Roman" w:hAnsi="Times New Roman" w:cs="Times New Roman"/>
        </w:rPr>
      </w:pPr>
    </w:p>
    <w:p w14:paraId="6331190A" w14:textId="77777777" w:rsidR="00AF1014" w:rsidRDefault="00AF1014" w:rsidP="0022470F">
      <w:pPr>
        <w:jc w:val="center"/>
        <w:rPr>
          <w:rFonts w:ascii="Times New Roman" w:hAnsi="Times New Roman" w:cs="Times New Roman"/>
        </w:rPr>
      </w:pPr>
    </w:p>
    <w:p w14:paraId="6D9A74D7" w14:textId="77777777" w:rsidR="00AF1014" w:rsidRDefault="00AF1014" w:rsidP="0022470F">
      <w:pPr>
        <w:jc w:val="center"/>
        <w:rPr>
          <w:rFonts w:ascii="Times New Roman" w:hAnsi="Times New Roman" w:cs="Times New Roman"/>
        </w:rPr>
      </w:pPr>
    </w:p>
    <w:p w14:paraId="59813EA3" w14:textId="77777777" w:rsidR="00AF1014" w:rsidRDefault="00AF1014" w:rsidP="0022470F">
      <w:pPr>
        <w:jc w:val="center"/>
        <w:rPr>
          <w:rFonts w:ascii="Times New Roman" w:hAnsi="Times New Roman" w:cs="Times New Roman"/>
        </w:rPr>
      </w:pPr>
    </w:p>
    <w:p w14:paraId="4E4CC7A9" w14:textId="77777777" w:rsidR="00AF1014" w:rsidRDefault="00AF1014" w:rsidP="0022470F">
      <w:pPr>
        <w:jc w:val="center"/>
        <w:rPr>
          <w:rFonts w:ascii="Times New Roman" w:hAnsi="Times New Roman" w:cs="Times New Roman"/>
        </w:rPr>
      </w:pPr>
    </w:p>
    <w:p w14:paraId="72946D11" w14:textId="77777777" w:rsidR="00AF1014" w:rsidRDefault="00AF1014" w:rsidP="0022470F">
      <w:pPr>
        <w:jc w:val="center"/>
        <w:rPr>
          <w:rFonts w:ascii="Times New Roman" w:hAnsi="Times New Roman" w:cs="Times New Roman"/>
        </w:rPr>
      </w:pPr>
    </w:p>
    <w:p w14:paraId="43291ABD" w14:textId="77777777" w:rsidR="00AF1014" w:rsidRDefault="00AF1014" w:rsidP="0022470F">
      <w:pPr>
        <w:rPr>
          <w:rFonts w:ascii="Times New Roman" w:hAnsi="Times New Roman" w:cs="Times New Roman"/>
        </w:rPr>
      </w:pPr>
    </w:p>
    <w:p w14:paraId="1AF39E5A" w14:textId="77777777" w:rsidR="00AF1014" w:rsidRDefault="00AF1014" w:rsidP="0022470F">
      <w:pPr>
        <w:jc w:val="center"/>
        <w:rPr>
          <w:rFonts w:ascii="Times New Roman" w:hAnsi="Times New Roman" w:cs="Times New Roman"/>
        </w:rPr>
      </w:pPr>
    </w:p>
    <w:p w14:paraId="0F0EA66F" w14:textId="77777777" w:rsidR="00AF1014" w:rsidRDefault="00AF1014" w:rsidP="0022470F">
      <w:pPr>
        <w:jc w:val="center"/>
        <w:rPr>
          <w:rFonts w:ascii="Times New Roman" w:hAnsi="Times New Roman" w:cs="Times New Roman"/>
        </w:rPr>
      </w:pPr>
    </w:p>
    <w:p w14:paraId="4013AB98" w14:textId="77777777" w:rsidR="00AF1014" w:rsidRDefault="00AF1014" w:rsidP="0022470F">
      <w:pPr>
        <w:rPr>
          <w:rFonts w:ascii="Times New Roman" w:hAnsi="Times New Roman" w:cs="Times New Roman"/>
        </w:rPr>
      </w:pPr>
    </w:p>
    <w:p w14:paraId="4DAAB3B2" w14:textId="77E1F881" w:rsidR="00AF1014" w:rsidRDefault="00AF1014" w:rsidP="0022470F">
      <w:pPr>
        <w:jc w:val="center"/>
        <w:rPr>
          <w:rFonts w:ascii="Times New Roman" w:hAnsi="Times New Roman" w:cs="Times New Roman"/>
        </w:rPr>
      </w:pPr>
      <w:r>
        <w:rPr>
          <w:rFonts w:ascii="Times New Roman" w:hAnsi="Times New Roman" w:cs="Times New Roman"/>
        </w:rPr>
        <w:t>Henry Yates Kirby</w:t>
      </w:r>
    </w:p>
    <w:p w14:paraId="28BC8676" w14:textId="0507E8E1" w:rsidR="00AF1014" w:rsidRDefault="00AF1014" w:rsidP="0022470F">
      <w:pPr>
        <w:jc w:val="center"/>
        <w:rPr>
          <w:rFonts w:ascii="Times New Roman" w:hAnsi="Times New Roman" w:cs="Times New Roman"/>
        </w:rPr>
      </w:pPr>
      <w:r>
        <w:rPr>
          <w:rFonts w:ascii="Times New Roman" w:hAnsi="Times New Roman" w:cs="Times New Roman"/>
        </w:rPr>
        <w:t>August 2024</w:t>
      </w:r>
    </w:p>
    <w:p w14:paraId="1B7DBC35" w14:textId="77777777" w:rsidR="00AF1014" w:rsidRDefault="00AF1014" w:rsidP="0022470F">
      <w:pPr>
        <w:spacing w:after="160"/>
        <w:rPr>
          <w:rFonts w:ascii="Times New Roman" w:hAnsi="Times New Roman" w:cs="Times New Roman"/>
        </w:rPr>
      </w:pPr>
      <w:r>
        <w:rPr>
          <w:rFonts w:ascii="Times New Roman" w:hAnsi="Times New Roman" w:cs="Times New Roman"/>
        </w:rPr>
        <w:br w:type="page"/>
      </w:r>
    </w:p>
    <w:p w14:paraId="7F6CA86E" w14:textId="600F5016" w:rsidR="00AF1014" w:rsidRDefault="00AF1014" w:rsidP="0022470F">
      <w:pPr>
        <w:jc w:val="center"/>
        <w:rPr>
          <w:rFonts w:ascii="Times New Roman" w:hAnsi="Times New Roman" w:cs="Times New Roman"/>
        </w:rPr>
      </w:pPr>
      <w:r>
        <w:rPr>
          <w:rFonts w:ascii="Times New Roman" w:hAnsi="Times New Roman" w:cs="Times New Roman"/>
        </w:rPr>
        <w:lastRenderedPageBreak/>
        <w:t>Copyright © 2023 by Henry Yates Kirby</w:t>
      </w:r>
    </w:p>
    <w:p w14:paraId="06866D8A" w14:textId="1DE5D578" w:rsidR="00AF1014" w:rsidRDefault="00AF1014" w:rsidP="0022470F">
      <w:pPr>
        <w:jc w:val="center"/>
        <w:rPr>
          <w:rFonts w:ascii="Times New Roman" w:hAnsi="Times New Roman" w:cs="Times New Roman"/>
        </w:rPr>
      </w:pPr>
      <w:r>
        <w:rPr>
          <w:rFonts w:ascii="Times New Roman" w:hAnsi="Times New Roman" w:cs="Times New Roman"/>
        </w:rPr>
        <w:t>All rights reserved.</w:t>
      </w:r>
    </w:p>
    <w:p w14:paraId="153B1E62" w14:textId="77777777" w:rsidR="00AF1014" w:rsidRDefault="00AF1014" w:rsidP="0022470F">
      <w:pPr>
        <w:spacing w:after="160"/>
        <w:rPr>
          <w:rFonts w:ascii="Times New Roman" w:hAnsi="Times New Roman" w:cs="Times New Roman"/>
        </w:rPr>
      </w:pPr>
      <w:r>
        <w:rPr>
          <w:rFonts w:ascii="Times New Roman" w:hAnsi="Times New Roman" w:cs="Times New Roman"/>
        </w:rPr>
        <w:br w:type="page"/>
      </w:r>
    </w:p>
    <w:p w14:paraId="4181573F" w14:textId="5A3147DC" w:rsidR="00AF1014" w:rsidRDefault="00AF1014" w:rsidP="0022470F">
      <w:pPr>
        <w:jc w:val="center"/>
        <w:rPr>
          <w:rFonts w:ascii="Times New Roman" w:hAnsi="Times New Roman" w:cs="Times New Roman"/>
          <w:b/>
        </w:rPr>
      </w:pPr>
      <w:r>
        <w:rPr>
          <w:rFonts w:ascii="Times New Roman" w:hAnsi="Times New Roman" w:cs="Times New Roman"/>
          <w:b/>
        </w:rPr>
        <w:lastRenderedPageBreak/>
        <w:t>ACKNOWLEDGEMENTS</w:t>
      </w:r>
    </w:p>
    <w:p w14:paraId="3E465BA3" w14:textId="77777777" w:rsidR="00250CCA" w:rsidRDefault="00250CCA" w:rsidP="0022470F">
      <w:pPr>
        <w:jc w:val="center"/>
        <w:rPr>
          <w:rFonts w:ascii="Times New Roman" w:hAnsi="Times New Roman" w:cs="Times New Roman"/>
          <w:b/>
        </w:rPr>
      </w:pPr>
    </w:p>
    <w:p w14:paraId="63F4EBA4" w14:textId="47C72406" w:rsidR="00250CCA" w:rsidRDefault="00250CCA" w:rsidP="00250CCA">
      <w:pPr>
        <w:spacing w:line="480" w:lineRule="auto"/>
        <w:rPr>
          <w:rFonts w:ascii="Times New Roman" w:hAnsi="Times New Roman" w:cs="Times New Roman"/>
          <w:bCs/>
        </w:rPr>
      </w:pPr>
      <w:r>
        <w:rPr>
          <w:rFonts w:ascii="Times New Roman" w:hAnsi="Times New Roman" w:cs="Times New Roman"/>
          <w:bCs/>
        </w:rPr>
        <w:tab/>
        <w:t>There are many people without whom this project would not have been possible. First, I would like to thank Katy Chiles, my dissertation director. Your kindness, patience, and wisdom have meant so much to me throughout this process. I am honored to have had the opportunity to work with you and learn from you. I would also like to thank my committee members, Dawn Coleman, Bill Hardwig, and Brooke Bauer. Your insight and guidance have helped me craft a much clearer, more articulate, and well-reasoned argument.</w:t>
      </w:r>
      <w:r w:rsidR="001761F8">
        <w:rPr>
          <w:rFonts w:ascii="Times New Roman" w:hAnsi="Times New Roman" w:cs="Times New Roman"/>
          <w:bCs/>
        </w:rPr>
        <w:t xml:space="preserve"> Thank you also to Anne Langendorfer for your conversation, ideas, and guidance.</w:t>
      </w:r>
    </w:p>
    <w:p w14:paraId="4D96D04F" w14:textId="10AFC613" w:rsidR="00F11B47" w:rsidRDefault="001761F8" w:rsidP="00250CCA">
      <w:pPr>
        <w:spacing w:line="480" w:lineRule="auto"/>
        <w:ind w:firstLine="720"/>
        <w:rPr>
          <w:rFonts w:ascii="Times New Roman" w:hAnsi="Times New Roman" w:cs="Times New Roman"/>
        </w:rPr>
      </w:pPr>
      <w:r>
        <w:rPr>
          <w:rFonts w:ascii="Times New Roman" w:hAnsi="Times New Roman" w:cs="Times New Roman"/>
          <w:bCs/>
        </w:rPr>
        <w:t>I would like to thank</w:t>
      </w:r>
      <w:r w:rsidR="00250CCA">
        <w:rPr>
          <w:rFonts w:ascii="Times New Roman" w:hAnsi="Times New Roman" w:cs="Times New Roman"/>
          <w:bCs/>
        </w:rPr>
        <w:t xml:space="preserve"> the English Department, the University of Tennessee Graduate School, and the Denbo Center for Humanities and the Arts. I have benefitted greatly from the many fellowship opportunities you all have afforded me; I do not think that I would have been able to complete this project in five years without your financial assistance. </w:t>
      </w:r>
      <w:r w:rsidR="00250CCA">
        <w:rPr>
          <w:rFonts w:ascii="Times New Roman" w:hAnsi="Times New Roman" w:cs="Times New Roman"/>
        </w:rPr>
        <w:t>My experience as a Denbo Center Fellow has particularly aided my progress on the dissertation by providing me a workspace and a community to enrich my writing. I particularly would like to thank Amy Elias</w:t>
      </w:r>
      <w:r w:rsidR="00F11B47">
        <w:rPr>
          <w:rFonts w:ascii="Times New Roman" w:hAnsi="Times New Roman" w:cs="Times New Roman"/>
        </w:rPr>
        <w:t xml:space="preserve">, </w:t>
      </w:r>
      <w:r w:rsidR="00250CCA">
        <w:rPr>
          <w:rFonts w:ascii="Times New Roman" w:hAnsi="Times New Roman" w:cs="Times New Roman"/>
        </w:rPr>
        <w:t xml:space="preserve">Katie </w:t>
      </w:r>
      <w:r w:rsidR="00250CCA" w:rsidRPr="008E2867">
        <w:rPr>
          <w:rFonts w:ascii="Times New Roman" w:hAnsi="Times New Roman" w:cs="Times New Roman"/>
        </w:rPr>
        <w:t>Hodges-Kluck</w:t>
      </w:r>
      <w:r w:rsidR="00F11B47">
        <w:rPr>
          <w:rFonts w:ascii="Times New Roman" w:hAnsi="Times New Roman" w:cs="Times New Roman"/>
        </w:rPr>
        <w:t>, and my colleagues in the 2023-24 fellowship program</w:t>
      </w:r>
      <w:r w:rsidR="00250CCA">
        <w:rPr>
          <w:rFonts w:ascii="Times New Roman" w:hAnsi="Times New Roman" w:cs="Times New Roman"/>
        </w:rPr>
        <w:t xml:space="preserve"> for their support and for giving me the opportunity to present my research.</w:t>
      </w:r>
    </w:p>
    <w:p w14:paraId="3762A959" w14:textId="77777777" w:rsidR="00BA3724" w:rsidRDefault="001761F8" w:rsidP="00250CCA">
      <w:pPr>
        <w:spacing w:line="480" w:lineRule="auto"/>
        <w:ind w:firstLine="720"/>
        <w:rPr>
          <w:rFonts w:ascii="Times New Roman" w:hAnsi="Times New Roman" w:cs="Times New Roman"/>
        </w:rPr>
      </w:pPr>
      <w:r>
        <w:rPr>
          <w:rFonts w:ascii="Times New Roman" w:hAnsi="Times New Roman" w:cs="Times New Roman"/>
        </w:rPr>
        <w:t xml:space="preserve">Thank you also to </w:t>
      </w:r>
      <w:r w:rsidR="00F11B47">
        <w:rPr>
          <w:rFonts w:ascii="Times New Roman" w:hAnsi="Times New Roman" w:cs="Times New Roman"/>
        </w:rPr>
        <w:t>my family</w:t>
      </w:r>
      <w:r>
        <w:rPr>
          <w:rFonts w:ascii="Times New Roman" w:hAnsi="Times New Roman" w:cs="Times New Roman"/>
        </w:rPr>
        <w:t xml:space="preserve"> and friends</w:t>
      </w:r>
      <w:r w:rsidR="00F11B47">
        <w:rPr>
          <w:rFonts w:ascii="Times New Roman" w:hAnsi="Times New Roman" w:cs="Times New Roman"/>
        </w:rPr>
        <w:t xml:space="preserve"> for supporting me during this experience. To my moms, Sarah and Dayn</w:t>
      </w:r>
      <w:r>
        <w:rPr>
          <w:rFonts w:ascii="Times New Roman" w:hAnsi="Times New Roman" w:cs="Times New Roman"/>
        </w:rPr>
        <w:t>a</w:t>
      </w:r>
      <w:r w:rsidR="00F11B47">
        <w:rPr>
          <w:rFonts w:ascii="Times New Roman" w:hAnsi="Times New Roman" w:cs="Times New Roman"/>
        </w:rPr>
        <w:t xml:space="preserve">, thank you for calling and checking in with me over these last five years. To </w:t>
      </w:r>
      <w:proofErr w:type="spellStart"/>
      <w:r w:rsidR="00F11B47">
        <w:rPr>
          <w:rFonts w:ascii="Times New Roman" w:hAnsi="Times New Roman" w:cs="Times New Roman"/>
        </w:rPr>
        <w:t>my dads</w:t>
      </w:r>
      <w:proofErr w:type="spellEnd"/>
      <w:r w:rsidR="00F11B47">
        <w:rPr>
          <w:rFonts w:ascii="Times New Roman" w:hAnsi="Times New Roman" w:cs="Times New Roman"/>
        </w:rPr>
        <w:t>, Bob</w:t>
      </w:r>
      <w:r>
        <w:rPr>
          <w:rFonts w:ascii="Times New Roman" w:hAnsi="Times New Roman" w:cs="Times New Roman"/>
        </w:rPr>
        <w:t xml:space="preserve"> </w:t>
      </w:r>
      <w:r w:rsidR="00F11B47">
        <w:rPr>
          <w:rFonts w:ascii="Times New Roman" w:hAnsi="Times New Roman" w:cs="Times New Roman"/>
        </w:rPr>
        <w:t xml:space="preserve">and Bill, thank you for your kindness and </w:t>
      </w:r>
      <w:r w:rsidR="00F11B47">
        <w:rPr>
          <w:rFonts w:ascii="Times New Roman" w:hAnsi="Times New Roman" w:cs="Times New Roman"/>
        </w:rPr>
        <w:lastRenderedPageBreak/>
        <w:t>always being there for me. To Emma, Hughston, Owen, and Shea, thank you all for believing in me and making me laugh throughout this process.</w:t>
      </w:r>
      <w:r>
        <w:rPr>
          <w:rFonts w:ascii="Times New Roman" w:hAnsi="Times New Roman" w:cs="Times New Roman"/>
        </w:rPr>
        <w:t xml:space="preserve"> To my grandmother, Peggy Sutton, who passed away during the writing of this project: I know it’s not preaching, but it’s honest work. I’m sorry you never got to read it. </w:t>
      </w:r>
      <w:r w:rsidR="00F11B47">
        <w:rPr>
          <w:rFonts w:ascii="Times New Roman" w:hAnsi="Times New Roman" w:cs="Times New Roman"/>
        </w:rPr>
        <w:t>To my best friends, Emily and David</w:t>
      </w:r>
      <w:r>
        <w:rPr>
          <w:rFonts w:ascii="Times New Roman" w:hAnsi="Times New Roman" w:cs="Times New Roman"/>
        </w:rPr>
        <w:t>,</w:t>
      </w:r>
      <w:r w:rsidR="00F11B47">
        <w:rPr>
          <w:rFonts w:ascii="Times New Roman" w:hAnsi="Times New Roman" w:cs="Times New Roman"/>
        </w:rPr>
        <w:t xml:space="preserve"> Ben, John and Sidney, Maddie, and the rest of you who are too numerous to name, thank you all for your friendship and for modeling the kind of person I want to be. </w:t>
      </w:r>
      <w:r>
        <w:rPr>
          <w:rFonts w:ascii="Times New Roman" w:hAnsi="Times New Roman" w:cs="Times New Roman"/>
        </w:rPr>
        <w:t xml:space="preserve">You mean </w:t>
      </w:r>
      <w:r w:rsidR="00F11B47">
        <w:rPr>
          <w:rFonts w:ascii="Times New Roman" w:hAnsi="Times New Roman" w:cs="Times New Roman"/>
        </w:rPr>
        <w:t>more to me than I can say.</w:t>
      </w:r>
      <w:r w:rsidR="00BA3724">
        <w:rPr>
          <w:rFonts w:ascii="Times New Roman" w:hAnsi="Times New Roman" w:cs="Times New Roman"/>
        </w:rPr>
        <w:t xml:space="preserve"> </w:t>
      </w:r>
    </w:p>
    <w:p w14:paraId="5338B756" w14:textId="1CF0E969" w:rsidR="00BA3724" w:rsidRDefault="00BA3724" w:rsidP="00250CCA">
      <w:pPr>
        <w:spacing w:line="480" w:lineRule="auto"/>
        <w:ind w:firstLine="720"/>
        <w:rPr>
          <w:rFonts w:ascii="Times New Roman" w:hAnsi="Times New Roman" w:cs="Times New Roman"/>
        </w:rPr>
      </w:pPr>
      <w:r>
        <w:rPr>
          <w:rFonts w:ascii="Times New Roman" w:hAnsi="Times New Roman" w:cs="Times New Roman"/>
        </w:rPr>
        <w:t xml:space="preserve">To Gillie and Mina, thank you for your purrs, biscuits, and cuddles; they always came at exactly the right time. </w:t>
      </w:r>
    </w:p>
    <w:p w14:paraId="38656F02" w14:textId="1CA73FAE" w:rsidR="00BA3724" w:rsidRDefault="001761F8" w:rsidP="00250CCA">
      <w:pPr>
        <w:spacing w:line="480" w:lineRule="auto"/>
        <w:rPr>
          <w:rFonts w:ascii="Times New Roman" w:hAnsi="Times New Roman" w:cs="Times New Roman"/>
          <w:bCs/>
        </w:rPr>
      </w:pPr>
      <w:r>
        <w:rPr>
          <w:rFonts w:ascii="Times New Roman" w:hAnsi="Times New Roman" w:cs="Times New Roman"/>
          <w:bCs/>
        </w:rPr>
        <w:tab/>
        <w:t>Finally, and most importantly, I dedicate this dissertation to Chelsea.</w:t>
      </w:r>
      <w:r w:rsidR="002F71FE">
        <w:rPr>
          <w:rFonts w:ascii="Times New Roman" w:hAnsi="Times New Roman" w:cs="Times New Roman"/>
          <w:bCs/>
        </w:rPr>
        <w:t xml:space="preserve"> More than </w:t>
      </w:r>
      <w:r w:rsidR="00BA3724">
        <w:rPr>
          <w:rFonts w:ascii="Times New Roman" w:hAnsi="Times New Roman" w:cs="Times New Roman"/>
          <w:bCs/>
        </w:rPr>
        <w:t>anything or anyone else</w:t>
      </w:r>
      <w:r w:rsidR="002F71FE">
        <w:rPr>
          <w:rFonts w:ascii="Times New Roman" w:hAnsi="Times New Roman" w:cs="Times New Roman"/>
          <w:bCs/>
        </w:rPr>
        <w:t>, YOU are the reason this dissertation is now complete. Your patience, forgiveness, playfulness, and companionship keep me going, especially during the moments when I most doubt myself. Thank you for believing in me,</w:t>
      </w:r>
      <w:r w:rsidR="00BA3724">
        <w:rPr>
          <w:rFonts w:ascii="Times New Roman" w:hAnsi="Times New Roman" w:cs="Times New Roman"/>
          <w:bCs/>
        </w:rPr>
        <w:t xml:space="preserve"> supporting me,</w:t>
      </w:r>
      <w:r w:rsidR="002F71FE">
        <w:rPr>
          <w:rFonts w:ascii="Times New Roman" w:hAnsi="Times New Roman" w:cs="Times New Roman"/>
          <w:bCs/>
        </w:rPr>
        <w:t xml:space="preserve"> loving me, and always being on my team. </w:t>
      </w:r>
      <w:r w:rsidR="00BA3724">
        <w:rPr>
          <w:rFonts w:ascii="Times New Roman" w:hAnsi="Times New Roman" w:cs="Times New Roman"/>
          <w:bCs/>
        </w:rPr>
        <w:t>This is for you. I love you.</w:t>
      </w:r>
    </w:p>
    <w:p w14:paraId="5D192D60" w14:textId="77777777" w:rsidR="00BA3724" w:rsidRDefault="00BA3724" w:rsidP="00250CCA">
      <w:pPr>
        <w:spacing w:line="480" w:lineRule="auto"/>
        <w:rPr>
          <w:rFonts w:ascii="Times New Roman" w:hAnsi="Times New Roman" w:cs="Times New Roman"/>
          <w:bCs/>
        </w:rPr>
      </w:pPr>
    </w:p>
    <w:p w14:paraId="39963F85" w14:textId="7AFB0C78" w:rsidR="00250CCA" w:rsidRPr="00250CCA" w:rsidRDefault="00BA3724" w:rsidP="00250CCA">
      <w:pPr>
        <w:spacing w:line="480" w:lineRule="auto"/>
        <w:rPr>
          <w:rFonts w:ascii="Times New Roman" w:hAnsi="Times New Roman" w:cs="Times New Roman"/>
          <w:bCs/>
        </w:rPr>
      </w:pPr>
      <w:r>
        <w:rPr>
          <w:rFonts w:ascii="Times New Roman" w:hAnsi="Times New Roman" w:cs="Times New Roman"/>
          <w:bCs/>
        </w:rPr>
        <w:t xml:space="preserve">P.S. </w:t>
      </w:r>
      <w:r w:rsidR="002F71FE">
        <w:rPr>
          <w:rFonts w:ascii="Times New Roman" w:hAnsi="Times New Roman" w:cs="Times New Roman"/>
          <w:bCs/>
        </w:rPr>
        <w:t xml:space="preserve">  </w:t>
      </w:r>
      <w:r>
        <w:rPr>
          <w:rFonts w:ascii="Times New Roman" w:hAnsi="Times New Roman" w:cs="Times New Roman"/>
          <w:bCs/>
        </w:rPr>
        <w:t xml:space="preserve">I promise to get all these library books out of the house now! </w:t>
      </w:r>
    </w:p>
    <w:p w14:paraId="2F9E9D23" w14:textId="77777777" w:rsidR="00AF1014" w:rsidRDefault="00AF1014" w:rsidP="00250CCA">
      <w:pPr>
        <w:spacing w:after="160" w:line="480" w:lineRule="auto"/>
        <w:rPr>
          <w:rFonts w:ascii="Times New Roman" w:hAnsi="Times New Roman" w:cs="Times New Roman"/>
          <w:b/>
        </w:rPr>
      </w:pPr>
      <w:r>
        <w:rPr>
          <w:rFonts w:ascii="Times New Roman" w:hAnsi="Times New Roman" w:cs="Times New Roman"/>
          <w:b/>
        </w:rPr>
        <w:br w:type="page"/>
      </w:r>
    </w:p>
    <w:p w14:paraId="5AE9E634" w14:textId="7E156B60" w:rsidR="00287C65" w:rsidRDefault="00AF1014" w:rsidP="0022470F">
      <w:pPr>
        <w:jc w:val="center"/>
        <w:rPr>
          <w:rFonts w:ascii="Times New Roman" w:hAnsi="Times New Roman" w:cs="Times New Roman"/>
          <w:b/>
          <w:bCs/>
        </w:rPr>
      </w:pPr>
      <w:r>
        <w:rPr>
          <w:rFonts w:ascii="Times New Roman" w:hAnsi="Times New Roman" w:cs="Times New Roman"/>
          <w:b/>
          <w:bCs/>
        </w:rPr>
        <w:lastRenderedPageBreak/>
        <w:t>ABSTRACT</w:t>
      </w:r>
    </w:p>
    <w:p w14:paraId="16C537F7" w14:textId="77777777" w:rsidR="00287C65" w:rsidRDefault="00287C65">
      <w:pPr>
        <w:spacing w:after="160" w:line="259" w:lineRule="auto"/>
        <w:rPr>
          <w:rFonts w:ascii="Times New Roman" w:hAnsi="Times New Roman" w:cs="Times New Roman"/>
          <w:b/>
          <w:bCs/>
        </w:rPr>
      </w:pPr>
      <w:r>
        <w:rPr>
          <w:rFonts w:ascii="Times New Roman" w:hAnsi="Times New Roman" w:cs="Times New Roman"/>
          <w:b/>
          <w:bCs/>
        </w:rPr>
        <w:br w:type="page"/>
      </w:r>
    </w:p>
    <w:sdt>
      <w:sdtPr>
        <w:rPr>
          <w:rFonts w:ascii="Arial" w:hAnsi="Arial" w:cs="Arial"/>
          <w:b w:val="0"/>
        </w:rPr>
        <w:id w:val="-149908388"/>
        <w:docPartObj>
          <w:docPartGallery w:val="Table of Contents"/>
          <w:docPartUnique/>
        </w:docPartObj>
      </w:sdtPr>
      <w:sdtEndPr>
        <w:rPr>
          <w:bCs/>
          <w:noProof/>
        </w:rPr>
      </w:sdtEndPr>
      <w:sdtContent>
        <w:p w14:paraId="67E5A9A9" w14:textId="48309A83" w:rsidR="00287C65" w:rsidRDefault="00287C65">
          <w:pPr>
            <w:pStyle w:val="TOCHeading"/>
          </w:pPr>
          <w:r>
            <w:t>TABLE OF CONTENTS</w:t>
          </w:r>
        </w:p>
        <w:p w14:paraId="16742DDD" w14:textId="4875B9E1" w:rsidR="005D0244" w:rsidRPr="005D0244" w:rsidRDefault="00287C65">
          <w:pPr>
            <w:pStyle w:val="TOC1"/>
            <w:tabs>
              <w:tab w:val="right" w:leader="dot" w:pos="863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169279163" w:history="1">
            <w:r w:rsidR="005D0244" w:rsidRPr="005D0244">
              <w:rPr>
                <w:rStyle w:val="Hyperlink"/>
                <w:rFonts w:ascii="Times New Roman" w:hAnsi="Times New Roman" w:cs="Times New Roman"/>
                <w:noProof/>
              </w:rPr>
              <w:t>INTRODUCTION</w:t>
            </w:r>
            <w:r w:rsidR="005D0244" w:rsidRPr="005D0244">
              <w:rPr>
                <w:noProof/>
                <w:webHidden/>
              </w:rPr>
              <w:tab/>
            </w:r>
            <w:r w:rsidR="005D0244" w:rsidRPr="005D0244">
              <w:rPr>
                <w:noProof/>
                <w:webHidden/>
              </w:rPr>
              <w:fldChar w:fldCharType="begin"/>
            </w:r>
            <w:r w:rsidR="005D0244" w:rsidRPr="005D0244">
              <w:rPr>
                <w:noProof/>
                <w:webHidden/>
              </w:rPr>
              <w:instrText xml:space="preserve"> PAGEREF _Toc169279163 \h </w:instrText>
            </w:r>
            <w:r w:rsidR="005D0244" w:rsidRPr="005D0244">
              <w:rPr>
                <w:noProof/>
                <w:webHidden/>
              </w:rPr>
            </w:r>
            <w:r w:rsidR="005D0244" w:rsidRPr="005D0244">
              <w:rPr>
                <w:noProof/>
                <w:webHidden/>
              </w:rPr>
              <w:fldChar w:fldCharType="separate"/>
            </w:r>
            <w:r w:rsidR="005D0244" w:rsidRPr="005D0244">
              <w:rPr>
                <w:noProof/>
                <w:webHidden/>
              </w:rPr>
              <w:t>1</w:t>
            </w:r>
            <w:r w:rsidR="005D0244" w:rsidRPr="005D0244">
              <w:rPr>
                <w:noProof/>
                <w:webHidden/>
              </w:rPr>
              <w:fldChar w:fldCharType="end"/>
            </w:r>
          </w:hyperlink>
        </w:p>
        <w:p w14:paraId="021027C5" w14:textId="4CF0CA3E" w:rsidR="005D0244" w:rsidRPr="005D0244" w:rsidRDefault="005D0244">
          <w:pPr>
            <w:pStyle w:val="TOC2"/>
            <w:tabs>
              <w:tab w:val="right" w:leader="dot" w:pos="8630"/>
            </w:tabs>
            <w:rPr>
              <w:rFonts w:asciiTheme="minorHAnsi" w:eastAsiaTheme="minorEastAsia" w:hAnsiTheme="minorHAnsi" w:cstheme="minorBidi"/>
              <w:noProof/>
              <w:kern w:val="2"/>
              <w14:ligatures w14:val="standardContextual"/>
            </w:rPr>
          </w:pPr>
          <w:hyperlink w:anchor="_Toc169279164" w:history="1">
            <w:r w:rsidRPr="005D0244">
              <w:rPr>
                <w:rStyle w:val="Hyperlink"/>
                <w:rFonts w:ascii="Times New Roman" w:hAnsi="Times New Roman" w:cs="Times New Roman"/>
                <w:noProof/>
              </w:rPr>
              <w:t>The Myth of the Humorless Indian</w:t>
            </w:r>
            <w:r w:rsidRPr="005D0244">
              <w:rPr>
                <w:noProof/>
                <w:webHidden/>
              </w:rPr>
              <w:tab/>
            </w:r>
            <w:r w:rsidRPr="005D0244">
              <w:rPr>
                <w:noProof/>
                <w:webHidden/>
              </w:rPr>
              <w:fldChar w:fldCharType="begin"/>
            </w:r>
            <w:r w:rsidRPr="005D0244">
              <w:rPr>
                <w:noProof/>
                <w:webHidden/>
              </w:rPr>
              <w:instrText xml:space="preserve"> PAGEREF _Toc169279164 \h </w:instrText>
            </w:r>
            <w:r w:rsidRPr="005D0244">
              <w:rPr>
                <w:noProof/>
                <w:webHidden/>
              </w:rPr>
            </w:r>
            <w:r w:rsidRPr="005D0244">
              <w:rPr>
                <w:noProof/>
                <w:webHidden/>
              </w:rPr>
              <w:fldChar w:fldCharType="separate"/>
            </w:r>
            <w:r w:rsidRPr="005D0244">
              <w:rPr>
                <w:noProof/>
                <w:webHidden/>
              </w:rPr>
              <w:t>4</w:t>
            </w:r>
            <w:r w:rsidRPr="005D0244">
              <w:rPr>
                <w:noProof/>
                <w:webHidden/>
              </w:rPr>
              <w:fldChar w:fldCharType="end"/>
            </w:r>
          </w:hyperlink>
        </w:p>
        <w:p w14:paraId="40D251AF" w14:textId="311173B6" w:rsidR="005D0244" w:rsidRPr="005D0244" w:rsidRDefault="005D0244">
          <w:pPr>
            <w:pStyle w:val="TOC1"/>
            <w:tabs>
              <w:tab w:val="right" w:leader="dot" w:pos="8630"/>
            </w:tabs>
            <w:rPr>
              <w:rFonts w:asciiTheme="minorHAnsi" w:eastAsiaTheme="minorEastAsia" w:hAnsiTheme="minorHAnsi" w:cstheme="minorBidi"/>
              <w:noProof/>
              <w:kern w:val="2"/>
              <w14:ligatures w14:val="standardContextual"/>
            </w:rPr>
          </w:pPr>
          <w:hyperlink w:anchor="_Toc169279165" w:history="1">
            <w:r w:rsidRPr="005D0244">
              <w:rPr>
                <w:rStyle w:val="Hyperlink"/>
                <w:rFonts w:ascii="Times New Roman" w:hAnsi="Times New Roman" w:cs="Times New Roman"/>
                <w:noProof/>
              </w:rPr>
              <w:t xml:space="preserve">CHAPTER 1  </w:t>
            </w:r>
            <w:r w:rsidRPr="005D0244">
              <w:rPr>
                <w:rStyle w:val="Hyperlink"/>
                <w:rFonts w:ascii="Times New Roman" w:hAnsi="Times New Roman"/>
                <w:noProof/>
              </w:rPr>
              <w:t>TRAITS OF COLONIZER CHARACTER: WILLIAM APESS, WASHINGTON IRVING, AND “TALKING STUFF” AS INDIGENOUS RESISTANCE</w:t>
            </w:r>
            <w:r w:rsidRPr="005D0244">
              <w:rPr>
                <w:noProof/>
                <w:webHidden/>
              </w:rPr>
              <w:tab/>
            </w:r>
            <w:r w:rsidRPr="005D0244">
              <w:rPr>
                <w:noProof/>
                <w:webHidden/>
              </w:rPr>
              <w:fldChar w:fldCharType="begin"/>
            </w:r>
            <w:r w:rsidRPr="005D0244">
              <w:rPr>
                <w:noProof/>
                <w:webHidden/>
              </w:rPr>
              <w:instrText xml:space="preserve"> PAGEREF _Toc169279165 \h </w:instrText>
            </w:r>
            <w:r w:rsidRPr="005D0244">
              <w:rPr>
                <w:noProof/>
                <w:webHidden/>
              </w:rPr>
            </w:r>
            <w:r w:rsidRPr="005D0244">
              <w:rPr>
                <w:noProof/>
                <w:webHidden/>
              </w:rPr>
              <w:fldChar w:fldCharType="separate"/>
            </w:r>
            <w:r w:rsidRPr="005D0244">
              <w:rPr>
                <w:noProof/>
                <w:webHidden/>
              </w:rPr>
              <w:t>10</w:t>
            </w:r>
            <w:r w:rsidRPr="005D0244">
              <w:rPr>
                <w:noProof/>
                <w:webHidden/>
              </w:rPr>
              <w:fldChar w:fldCharType="end"/>
            </w:r>
          </w:hyperlink>
        </w:p>
        <w:p w14:paraId="5F948B5A" w14:textId="62F7993E" w:rsidR="005D0244" w:rsidRPr="005D0244" w:rsidRDefault="005D0244">
          <w:pPr>
            <w:pStyle w:val="TOC2"/>
            <w:tabs>
              <w:tab w:val="right" w:leader="dot" w:pos="8630"/>
            </w:tabs>
            <w:rPr>
              <w:rFonts w:asciiTheme="minorHAnsi" w:eastAsiaTheme="minorEastAsia" w:hAnsiTheme="minorHAnsi" w:cstheme="minorBidi"/>
              <w:noProof/>
              <w:kern w:val="2"/>
              <w14:ligatures w14:val="standardContextual"/>
            </w:rPr>
          </w:pPr>
          <w:hyperlink w:anchor="_Toc169279166" w:history="1">
            <w:r w:rsidRPr="005D0244">
              <w:rPr>
                <w:rStyle w:val="Hyperlink"/>
                <w:rFonts w:ascii="Times New Roman" w:hAnsi="Times New Roman" w:cs="Times New Roman"/>
                <w:i/>
                <w:iCs/>
                <w:noProof/>
              </w:rPr>
              <w:t>Indian Nullification</w:t>
            </w:r>
            <w:r w:rsidRPr="005D0244">
              <w:rPr>
                <w:rStyle w:val="Hyperlink"/>
                <w:rFonts w:ascii="Times New Roman" w:hAnsi="Times New Roman" w:cs="Times New Roman"/>
                <w:noProof/>
              </w:rPr>
              <w:t>: Apess’s Fun-House Mirror for the White Man</w:t>
            </w:r>
            <w:r w:rsidRPr="005D0244">
              <w:rPr>
                <w:noProof/>
                <w:webHidden/>
              </w:rPr>
              <w:tab/>
            </w:r>
            <w:r w:rsidRPr="005D0244">
              <w:rPr>
                <w:noProof/>
                <w:webHidden/>
              </w:rPr>
              <w:fldChar w:fldCharType="begin"/>
            </w:r>
            <w:r w:rsidRPr="005D0244">
              <w:rPr>
                <w:noProof/>
                <w:webHidden/>
              </w:rPr>
              <w:instrText xml:space="preserve"> PAGEREF _Toc169279166 \h </w:instrText>
            </w:r>
            <w:r w:rsidRPr="005D0244">
              <w:rPr>
                <w:noProof/>
                <w:webHidden/>
              </w:rPr>
            </w:r>
            <w:r w:rsidRPr="005D0244">
              <w:rPr>
                <w:noProof/>
                <w:webHidden/>
              </w:rPr>
              <w:fldChar w:fldCharType="separate"/>
            </w:r>
            <w:r w:rsidRPr="005D0244">
              <w:rPr>
                <w:noProof/>
                <w:webHidden/>
              </w:rPr>
              <w:t>20</w:t>
            </w:r>
            <w:r w:rsidRPr="005D0244">
              <w:rPr>
                <w:noProof/>
                <w:webHidden/>
              </w:rPr>
              <w:fldChar w:fldCharType="end"/>
            </w:r>
          </w:hyperlink>
        </w:p>
        <w:p w14:paraId="60B2F84D" w14:textId="42F923EE" w:rsidR="005D0244" w:rsidRPr="005D0244" w:rsidRDefault="005D0244">
          <w:pPr>
            <w:pStyle w:val="TOC2"/>
            <w:tabs>
              <w:tab w:val="right" w:leader="dot" w:pos="8630"/>
            </w:tabs>
            <w:rPr>
              <w:rFonts w:asciiTheme="minorHAnsi" w:eastAsiaTheme="minorEastAsia" w:hAnsiTheme="minorHAnsi" w:cstheme="minorBidi"/>
              <w:noProof/>
              <w:kern w:val="2"/>
              <w14:ligatures w14:val="standardContextual"/>
            </w:rPr>
          </w:pPr>
          <w:hyperlink w:anchor="_Toc169279167" w:history="1">
            <w:r w:rsidRPr="005D0244">
              <w:rPr>
                <w:rStyle w:val="Hyperlink"/>
                <w:rFonts w:ascii="Times New Roman" w:hAnsi="Times New Roman"/>
                <w:i/>
                <w:iCs/>
                <w:noProof/>
              </w:rPr>
              <w:t>A Tour on the Prairies</w:t>
            </w:r>
            <w:r w:rsidRPr="005D0244">
              <w:rPr>
                <w:noProof/>
                <w:webHidden/>
              </w:rPr>
              <w:tab/>
            </w:r>
            <w:r w:rsidRPr="005D0244">
              <w:rPr>
                <w:noProof/>
                <w:webHidden/>
              </w:rPr>
              <w:fldChar w:fldCharType="begin"/>
            </w:r>
            <w:r w:rsidRPr="005D0244">
              <w:rPr>
                <w:noProof/>
                <w:webHidden/>
              </w:rPr>
              <w:instrText xml:space="preserve"> PAGEREF _Toc169279167 \h </w:instrText>
            </w:r>
            <w:r w:rsidRPr="005D0244">
              <w:rPr>
                <w:noProof/>
                <w:webHidden/>
              </w:rPr>
            </w:r>
            <w:r w:rsidRPr="005D0244">
              <w:rPr>
                <w:noProof/>
                <w:webHidden/>
              </w:rPr>
              <w:fldChar w:fldCharType="separate"/>
            </w:r>
            <w:r w:rsidRPr="005D0244">
              <w:rPr>
                <w:noProof/>
                <w:webHidden/>
              </w:rPr>
              <w:t>34</w:t>
            </w:r>
            <w:r w:rsidRPr="005D0244">
              <w:rPr>
                <w:noProof/>
                <w:webHidden/>
              </w:rPr>
              <w:fldChar w:fldCharType="end"/>
            </w:r>
          </w:hyperlink>
        </w:p>
        <w:p w14:paraId="4CEC7E6F" w14:textId="25960485" w:rsidR="005D0244" w:rsidRPr="005D0244" w:rsidRDefault="005D0244">
          <w:pPr>
            <w:pStyle w:val="TOC2"/>
            <w:tabs>
              <w:tab w:val="right" w:leader="dot" w:pos="8630"/>
            </w:tabs>
            <w:rPr>
              <w:rFonts w:asciiTheme="minorHAnsi" w:eastAsiaTheme="minorEastAsia" w:hAnsiTheme="minorHAnsi" w:cstheme="minorBidi"/>
              <w:noProof/>
              <w:kern w:val="2"/>
              <w14:ligatures w14:val="standardContextual"/>
            </w:rPr>
          </w:pPr>
          <w:hyperlink w:anchor="_Toc169279168" w:history="1">
            <w:r w:rsidRPr="005D0244">
              <w:rPr>
                <w:rStyle w:val="Hyperlink"/>
                <w:rFonts w:ascii="Times New Roman" w:hAnsi="Times New Roman"/>
                <w:noProof/>
              </w:rPr>
              <w:t>Talking Stuff</w:t>
            </w:r>
            <w:r w:rsidRPr="005D0244">
              <w:rPr>
                <w:noProof/>
                <w:webHidden/>
              </w:rPr>
              <w:tab/>
            </w:r>
            <w:r w:rsidRPr="005D0244">
              <w:rPr>
                <w:noProof/>
                <w:webHidden/>
              </w:rPr>
              <w:fldChar w:fldCharType="begin"/>
            </w:r>
            <w:r w:rsidRPr="005D0244">
              <w:rPr>
                <w:noProof/>
                <w:webHidden/>
              </w:rPr>
              <w:instrText xml:space="preserve"> PAGEREF _Toc169279168 \h </w:instrText>
            </w:r>
            <w:r w:rsidRPr="005D0244">
              <w:rPr>
                <w:noProof/>
                <w:webHidden/>
              </w:rPr>
            </w:r>
            <w:r w:rsidRPr="005D0244">
              <w:rPr>
                <w:noProof/>
                <w:webHidden/>
              </w:rPr>
              <w:fldChar w:fldCharType="separate"/>
            </w:r>
            <w:r w:rsidRPr="005D0244">
              <w:rPr>
                <w:noProof/>
                <w:webHidden/>
              </w:rPr>
              <w:t>49</w:t>
            </w:r>
            <w:r w:rsidRPr="005D0244">
              <w:rPr>
                <w:noProof/>
                <w:webHidden/>
              </w:rPr>
              <w:fldChar w:fldCharType="end"/>
            </w:r>
          </w:hyperlink>
        </w:p>
        <w:p w14:paraId="27BB47B6" w14:textId="1E002E9A" w:rsidR="005D0244" w:rsidRPr="005D0244" w:rsidRDefault="005D0244">
          <w:pPr>
            <w:pStyle w:val="TOC1"/>
            <w:tabs>
              <w:tab w:val="right" w:leader="dot" w:pos="8630"/>
            </w:tabs>
            <w:rPr>
              <w:rFonts w:asciiTheme="minorHAnsi" w:eastAsiaTheme="minorEastAsia" w:hAnsiTheme="minorHAnsi" w:cstheme="minorBidi"/>
              <w:noProof/>
              <w:kern w:val="2"/>
              <w14:ligatures w14:val="standardContextual"/>
            </w:rPr>
          </w:pPr>
          <w:hyperlink w:anchor="_Toc169279169" w:history="1">
            <w:r w:rsidRPr="005D0244">
              <w:rPr>
                <w:rStyle w:val="Hyperlink"/>
                <w:rFonts w:ascii="Times New Roman" w:hAnsi="Times New Roman" w:cs="Times New Roman"/>
                <w:noProof/>
              </w:rPr>
              <w:t>CHAPTER 2 VIOLENCE AND LAUGHTER: JOHN ROLLIN RIDGE AND OLD SOUTHWEST HUMOR</w:t>
            </w:r>
            <w:r w:rsidRPr="005D0244">
              <w:rPr>
                <w:noProof/>
                <w:webHidden/>
              </w:rPr>
              <w:tab/>
            </w:r>
            <w:r w:rsidRPr="005D0244">
              <w:rPr>
                <w:noProof/>
                <w:webHidden/>
              </w:rPr>
              <w:fldChar w:fldCharType="begin"/>
            </w:r>
            <w:r w:rsidRPr="005D0244">
              <w:rPr>
                <w:noProof/>
                <w:webHidden/>
              </w:rPr>
              <w:instrText xml:space="preserve"> PAGEREF _Toc169279169 \h </w:instrText>
            </w:r>
            <w:r w:rsidRPr="005D0244">
              <w:rPr>
                <w:noProof/>
                <w:webHidden/>
              </w:rPr>
            </w:r>
            <w:r w:rsidRPr="005D0244">
              <w:rPr>
                <w:noProof/>
                <w:webHidden/>
              </w:rPr>
              <w:fldChar w:fldCharType="separate"/>
            </w:r>
            <w:r w:rsidRPr="005D0244">
              <w:rPr>
                <w:noProof/>
                <w:webHidden/>
              </w:rPr>
              <w:t>53</w:t>
            </w:r>
            <w:r w:rsidRPr="005D0244">
              <w:rPr>
                <w:noProof/>
                <w:webHidden/>
              </w:rPr>
              <w:fldChar w:fldCharType="end"/>
            </w:r>
          </w:hyperlink>
        </w:p>
        <w:p w14:paraId="56BACD5C" w14:textId="24535545" w:rsidR="005D0244" w:rsidRPr="005D0244" w:rsidRDefault="005D0244">
          <w:pPr>
            <w:pStyle w:val="TOC2"/>
            <w:tabs>
              <w:tab w:val="right" w:leader="dot" w:pos="8630"/>
            </w:tabs>
            <w:rPr>
              <w:rFonts w:asciiTheme="minorHAnsi" w:eastAsiaTheme="minorEastAsia" w:hAnsiTheme="minorHAnsi" w:cstheme="minorBidi"/>
              <w:noProof/>
              <w:kern w:val="2"/>
              <w14:ligatures w14:val="standardContextual"/>
            </w:rPr>
          </w:pPr>
          <w:hyperlink w:anchor="_Toc169279170" w:history="1">
            <w:r w:rsidRPr="005D0244">
              <w:rPr>
                <w:rStyle w:val="Hyperlink"/>
                <w:rFonts w:ascii="Times New Roman" w:hAnsi="Times New Roman" w:cs="Times New Roman"/>
                <w:noProof/>
              </w:rPr>
              <w:t xml:space="preserve">Satirizing Nation-Building in </w:t>
            </w:r>
            <w:r w:rsidRPr="005D0244">
              <w:rPr>
                <w:rStyle w:val="Hyperlink"/>
                <w:rFonts w:ascii="Times New Roman" w:hAnsi="Times New Roman" w:cs="Times New Roman"/>
                <w:i/>
                <w:iCs/>
                <w:noProof/>
              </w:rPr>
              <w:t>Joaquin Murieta</w:t>
            </w:r>
            <w:r w:rsidRPr="005D0244">
              <w:rPr>
                <w:noProof/>
                <w:webHidden/>
              </w:rPr>
              <w:tab/>
            </w:r>
            <w:r w:rsidRPr="005D0244">
              <w:rPr>
                <w:noProof/>
                <w:webHidden/>
              </w:rPr>
              <w:fldChar w:fldCharType="begin"/>
            </w:r>
            <w:r w:rsidRPr="005D0244">
              <w:rPr>
                <w:noProof/>
                <w:webHidden/>
              </w:rPr>
              <w:instrText xml:space="preserve"> PAGEREF _Toc169279170 \h </w:instrText>
            </w:r>
            <w:r w:rsidRPr="005D0244">
              <w:rPr>
                <w:noProof/>
                <w:webHidden/>
              </w:rPr>
            </w:r>
            <w:r w:rsidRPr="005D0244">
              <w:rPr>
                <w:noProof/>
                <w:webHidden/>
              </w:rPr>
              <w:fldChar w:fldCharType="separate"/>
            </w:r>
            <w:r w:rsidRPr="005D0244">
              <w:rPr>
                <w:noProof/>
                <w:webHidden/>
              </w:rPr>
              <w:t>58</w:t>
            </w:r>
            <w:r w:rsidRPr="005D0244">
              <w:rPr>
                <w:noProof/>
                <w:webHidden/>
              </w:rPr>
              <w:fldChar w:fldCharType="end"/>
            </w:r>
          </w:hyperlink>
        </w:p>
        <w:p w14:paraId="57651DC2" w14:textId="0715DBF2" w:rsidR="005D0244" w:rsidRPr="005D0244" w:rsidRDefault="005D0244">
          <w:pPr>
            <w:pStyle w:val="TOC2"/>
            <w:tabs>
              <w:tab w:val="right" w:leader="dot" w:pos="8630"/>
            </w:tabs>
            <w:rPr>
              <w:rFonts w:asciiTheme="minorHAnsi" w:eastAsiaTheme="minorEastAsia" w:hAnsiTheme="minorHAnsi" w:cstheme="minorBidi"/>
              <w:noProof/>
              <w:kern w:val="2"/>
              <w14:ligatures w14:val="standardContextual"/>
            </w:rPr>
          </w:pPr>
          <w:hyperlink w:anchor="_Toc169279171" w:history="1">
            <w:r w:rsidRPr="005D0244">
              <w:rPr>
                <w:rStyle w:val="Hyperlink"/>
                <w:rFonts w:ascii="Times New Roman" w:hAnsi="Times New Roman" w:cs="Times New Roman"/>
                <w:noProof/>
              </w:rPr>
              <w:t>Reterritorializing Laughter</w:t>
            </w:r>
            <w:r w:rsidRPr="005D0244">
              <w:rPr>
                <w:noProof/>
                <w:webHidden/>
              </w:rPr>
              <w:tab/>
            </w:r>
            <w:r w:rsidRPr="005D0244">
              <w:rPr>
                <w:noProof/>
                <w:webHidden/>
              </w:rPr>
              <w:fldChar w:fldCharType="begin"/>
            </w:r>
            <w:r w:rsidRPr="005D0244">
              <w:rPr>
                <w:noProof/>
                <w:webHidden/>
              </w:rPr>
              <w:instrText xml:space="preserve"> PAGEREF _Toc169279171 \h </w:instrText>
            </w:r>
            <w:r w:rsidRPr="005D0244">
              <w:rPr>
                <w:noProof/>
                <w:webHidden/>
              </w:rPr>
            </w:r>
            <w:r w:rsidRPr="005D0244">
              <w:rPr>
                <w:noProof/>
                <w:webHidden/>
              </w:rPr>
              <w:fldChar w:fldCharType="separate"/>
            </w:r>
            <w:r w:rsidRPr="005D0244">
              <w:rPr>
                <w:noProof/>
                <w:webHidden/>
              </w:rPr>
              <w:t>67</w:t>
            </w:r>
            <w:r w:rsidRPr="005D0244">
              <w:rPr>
                <w:noProof/>
                <w:webHidden/>
              </w:rPr>
              <w:fldChar w:fldCharType="end"/>
            </w:r>
          </w:hyperlink>
        </w:p>
        <w:p w14:paraId="5D33856C" w14:textId="02F5F81D" w:rsidR="005D0244" w:rsidRPr="005D0244" w:rsidRDefault="005D0244">
          <w:pPr>
            <w:pStyle w:val="TOC2"/>
            <w:tabs>
              <w:tab w:val="right" w:leader="dot" w:pos="8630"/>
            </w:tabs>
            <w:rPr>
              <w:rFonts w:asciiTheme="minorHAnsi" w:eastAsiaTheme="minorEastAsia" w:hAnsiTheme="minorHAnsi" w:cstheme="minorBidi"/>
              <w:noProof/>
              <w:kern w:val="2"/>
              <w14:ligatures w14:val="standardContextual"/>
            </w:rPr>
          </w:pPr>
          <w:hyperlink w:anchor="_Toc169279172" w:history="1">
            <w:r w:rsidRPr="005D0244">
              <w:rPr>
                <w:rStyle w:val="Hyperlink"/>
                <w:rFonts w:ascii="Times New Roman" w:hAnsi="Times New Roman" w:cs="Times New Roman"/>
                <w:noProof/>
              </w:rPr>
              <w:t>Indigenizing Whiteness in Old Southwestern Humor</w:t>
            </w:r>
            <w:r w:rsidRPr="005D0244">
              <w:rPr>
                <w:noProof/>
                <w:webHidden/>
              </w:rPr>
              <w:tab/>
            </w:r>
            <w:r w:rsidRPr="005D0244">
              <w:rPr>
                <w:noProof/>
                <w:webHidden/>
              </w:rPr>
              <w:fldChar w:fldCharType="begin"/>
            </w:r>
            <w:r w:rsidRPr="005D0244">
              <w:rPr>
                <w:noProof/>
                <w:webHidden/>
              </w:rPr>
              <w:instrText xml:space="preserve"> PAGEREF _Toc169279172 \h </w:instrText>
            </w:r>
            <w:r w:rsidRPr="005D0244">
              <w:rPr>
                <w:noProof/>
                <w:webHidden/>
              </w:rPr>
            </w:r>
            <w:r w:rsidRPr="005D0244">
              <w:rPr>
                <w:noProof/>
                <w:webHidden/>
              </w:rPr>
              <w:fldChar w:fldCharType="separate"/>
            </w:r>
            <w:r w:rsidRPr="005D0244">
              <w:rPr>
                <w:noProof/>
                <w:webHidden/>
              </w:rPr>
              <w:t>79</w:t>
            </w:r>
            <w:r w:rsidRPr="005D0244">
              <w:rPr>
                <w:noProof/>
                <w:webHidden/>
              </w:rPr>
              <w:fldChar w:fldCharType="end"/>
            </w:r>
          </w:hyperlink>
        </w:p>
        <w:p w14:paraId="1C927A4C" w14:textId="384CC0A8" w:rsidR="005D0244" w:rsidRPr="005D0244" w:rsidRDefault="005D0244">
          <w:pPr>
            <w:pStyle w:val="TOC1"/>
            <w:tabs>
              <w:tab w:val="right" w:leader="dot" w:pos="8630"/>
            </w:tabs>
            <w:rPr>
              <w:rFonts w:asciiTheme="minorHAnsi" w:eastAsiaTheme="minorEastAsia" w:hAnsiTheme="minorHAnsi" w:cstheme="minorBidi"/>
              <w:noProof/>
              <w:kern w:val="2"/>
              <w14:ligatures w14:val="standardContextual"/>
            </w:rPr>
          </w:pPr>
          <w:hyperlink w:anchor="_Toc169279173" w:history="1">
            <w:r w:rsidRPr="005D0244">
              <w:rPr>
                <w:rStyle w:val="Hyperlink"/>
                <w:rFonts w:ascii="Times New Roman" w:hAnsi="Times New Roman" w:cs="Times New Roman"/>
                <w:noProof/>
              </w:rPr>
              <w:t>CHAPTER 3  WINNEMUCCA HOPKINS AND TWAIN ON TOUR: BODIES, COMEDY, AND THE (RE)MAPPING OF NATIVE SPACE</w:t>
            </w:r>
            <w:r w:rsidRPr="005D0244">
              <w:rPr>
                <w:noProof/>
                <w:webHidden/>
              </w:rPr>
              <w:tab/>
            </w:r>
            <w:r w:rsidRPr="005D0244">
              <w:rPr>
                <w:noProof/>
                <w:webHidden/>
              </w:rPr>
              <w:fldChar w:fldCharType="begin"/>
            </w:r>
            <w:r w:rsidRPr="005D0244">
              <w:rPr>
                <w:noProof/>
                <w:webHidden/>
              </w:rPr>
              <w:instrText xml:space="preserve"> PAGEREF _Toc169279173 \h </w:instrText>
            </w:r>
            <w:r w:rsidRPr="005D0244">
              <w:rPr>
                <w:noProof/>
                <w:webHidden/>
              </w:rPr>
            </w:r>
            <w:r w:rsidRPr="005D0244">
              <w:rPr>
                <w:noProof/>
                <w:webHidden/>
              </w:rPr>
              <w:fldChar w:fldCharType="separate"/>
            </w:r>
            <w:r w:rsidRPr="005D0244">
              <w:rPr>
                <w:noProof/>
                <w:webHidden/>
              </w:rPr>
              <w:t>89</w:t>
            </w:r>
            <w:r w:rsidRPr="005D0244">
              <w:rPr>
                <w:noProof/>
                <w:webHidden/>
              </w:rPr>
              <w:fldChar w:fldCharType="end"/>
            </w:r>
          </w:hyperlink>
        </w:p>
        <w:p w14:paraId="3A6A64F7" w14:textId="0F1EB24B" w:rsidR="005D0244" w:rsidRPr="005D0244" w:rsidRDefault="005D0244">
          <w:pPr>
            <w:pStyle w:val="TOC2"/>
            <w:tabs>
              <w:tab w:val="right" w:leader="dot" w:pos="8630"/>
            </w:tabs>
            <w:rPr>
              <w:rFonts w:asciiTheme="minorHAnsi" w:eastAsiaTheme="minorEastAsia" w:hAnsiTheme="minorHAnsi" w:cstheme="minorBidi"/>
              <w:noProof/>
              <w:kern w:val="2"/>
              <w14:ligatures w14:val="standardContextual"/>
            </w:rPr>
          </w:pPr>
          <w:hyperlink w:anchor="_Toc169279174" w:history="1">
            <w:r w:rsidRPr="005D0244">
              <w:rPr>
                <w:rStyle w:val="Hyperlink"/>
                <w:rFonts w:ascii="Times New Roman" w:hAnsi="Times New Roman" w:cs="Times New Roman"/>
                <w:noProof/>
              </w:rPr>
              <w:t>Shared Geographies</w:t>
            </w:r>
            <w:r w:rsidRPr="005D0244">
              <w:rPr>
                <w:noProof/>
                <w:webHidden/>
              </w:rPr>
              <w:tab/>
            </w:r>
            <w:r w:rsidRPr="005D0244">
              <w:rPr>
                <w:noProof/>
                <w:webHidden/>
              </w:rPr>
              <w:fldChar w:fldCharType="begin"/>
            </w:r>
            <w:r w:rsidRPr="005D0244">
              <w:rPr>
                <w:noProof/>
                <w:webHidden/>
              </w:rPr>
              <w:instrText xml:space="preserve"> PAGEREF _Toc169279174 \h </w:instrText>
            </w:r>
            <w:r w:rsidRPr="005D0244">
              <w:rPr>
                <w:noProof/>
                <w:webHidden/>
              </w:rPr>
            </w:r>
            <w:r w:rsidRPr="005D0244">
              <w:rPr>
                <w:noProof/>
                <w:webHidden/>
              </w:rPr>
              <w:fldChar w:fldCharType="separate"/>
            </w:r>
            <w:r w:rsidRPr="005D0244">
              <w:rPr>
                <w:noProof/>
                <w:webHidden/>
              </w:rPr>
              <w:t>99</w:t>
            </w:r>
            <w:r w:rsidRPr="005D0244">
              <w:rPr>
                <w:noProof/>
                <w:webHidden/>
              </w:rPr>
              <w:fldChar w:fldCharType="end"/>
            </w:r>
          </w:hyperlink>
        </w:p>
        <w:p w14:paraId="1EB029C8" w14:textId="317499AC" w:rsidR="005D0244" w:rsidRPr="005D0244" w:rsidRDefault="005D0244">
          <w:pPr>
            <w:pStyle w:val="TOC2"/>
            <w:tabs>
              <w:tab w:val="right" w:leader="dot" w:pos="8630"/>
            </w:tabs>
            <w:rPr>
              <w:rFonts w:asciiTheme="minorHAnsi" w:eastAsiaTheme="minorEastAsia" w:hAnsiTheme="minorHAnsi" w:cstheme="minorBidi"/>
              <w:noProof/>
              <w:kern w:val="2"/>
              <w14:ligatures w14:val="standardContextual"/>
            </w:rPr>
          </w:pPr>
          <w:hyperlink w:anchor="_Toc169279175" w:history="1">
            <w:r w:rsidRPr="005D0244">
              <w:rPr>
                <w:rStyle w:val="Hyperlink"/>
                <w:noProof/>
              </w:rPr>
              <w:t>“</w:t>
            </w:r>
            <w:r w:rsidRPr="005D0244">
              <w:rPr>
                <w:rStyle w:val="Hyperlink"/>
                <w:rFonts w:ascii="Times New Roman" w:hAnsi="Times New Roman" w:cs="Times New Roman"/>
                <w:noProof/>
              </w:rPr>
              <w:t>Mischievous Sarcasms”: Winnemucca Hopkins’s Embodied Humor, 1864-1879</w:t>
            </w:r>
            <w:r w:rsidRPr="005D0244">
              <w:rPr>
                <w:noProof/>
                <w:webHidden/>
              </w:rPr>
              <w:tab/>
            </w:r>
            <w:r w:rsidRPr="005D0244">
              <w:rPr>
                <w:noProof/>
                <w:webHidden/>
              </w:rPr>
              <w:fldChar w:fldCharType="begin"/>
            </w:r>
            <w:r w:rsidRPr="005D0244">
              <w:rPr>
                <w:noProof/>
                <w:webHidden/>
              </w:rPr>
              <w:instrText xml:space="preserve"> PAGEREF _Toc169279175 \h </w:instrText>
            </w:r>
            <w:r w:rsidRPr="005D0244">
              <w:rPr>
                <w:noProof/>
                <w:webHidden/>
              </w:rPr>
            </w:r>
            <w:r w:rsidRPr="005D0244">
              <w:rPr>
                <w:noProof/>
                <w:webHidden/>
              </w:rPr>
              <w:fldChar w:fldCharType="separate"/>
            </w:r>
            <w:r w:rsidRPr="005D0244">
              <w:rPr>
                <w:noProof/>
                <w:webHidden/>
              </w:rPr>
              <w:t>108</w:t>
            </w:r>
            <w:r w:rsidRPr="005D0244">
              <w:rPr>
                <w:noProof/>
                <w:webHidden/>
              </w:rPr>
              <w:fldChar w:fldCharType="end"/>
            </w:r>
          </w:hyperlink>
        </w:p>
        <w:p w14:paraId="673F8D29" w14:textId="658A4BB7" w:rsidR="005D0244" w:rsidRPr="005D0244" w:rsidRDefault="005D0244">
          <w:pPr>
            <w:pStyle w:val="TOC2"/>
            <w:tabs>
              <w:tab w:val="right" w:leader="dot" w:pos="8630"/>
            </w:tabs>
            <w:rPr>
              <w:rFonts w:asciiTheme="minorHAnsi" w:eastAsiaTheme="minorEastAsia" w:hAnsiTheme="minorHAnsi" w:cstheme="minorBidi"/>
              <w:noProof/>
              <w:kern w:val="2"/>
              <w14:ligatures w14:val="standardContextual"/>
            </w:rPr>
          </w:pPr>
          <w:hyperlink w:anchor="_Toc169279176" w:history="1">
            <w:r w:rsidRPr="005D0244">
              <w:rPr>
                <w:rStyle w:val="Hyperlink"/>
                <w:rFonts w:ascii="Times New Roman" w:hAnsi="Times New Roman" w:cs="Times New Roman"/>
                <w:noProof/>
                <w:shd w:val="clear" w:color="auto" w:fill="FFFFFF"/>
              </w:rPr>
              <w:t>Native Erasure and National Renewal in Twain’s Lectures, 1867-1872</w:t>
            </w:r>
            <w:r w:rsidRPr="005D0244">
              <w:rPr>
                <w:noProof/>
                <w:webHidden/>
              </w:rPr>
              <w:tab/>
            </w:r>
            <w:r w:rsidRPr="005D0244">
              <w:rPr>
                <w:noProof/>
                <w:webHidden/>
              </w:rPr>
              <w:fldChar w:fldCharType="begin"/>
            </w:r>
            <w:r w:rsidRPr="005D0244">
              <w:rPr>
                <w:noProof/>
                <w:webHidden/>
              </w:rPr>
              <w:instrText xml:space="preserve"> PAGEREF _Toc169279176 \h </w:instrText>
            </w:r>
            <w:r w:rsidRPr="005D0244">
              <w:rPr>
                <w:noProof/>
                <w:webHidden/>
              </w:rPr>
            </w:r>
            <w:r w:rsidRPr="005D0244">
              <w:rPr>
                <w:noProof/>
                <w:webHidden/>
              </w:rPr>
              <w:fldChar w:fldCharType="separate"/>
            </w:r>
            <w:r w:rsidRPr="005D0244">
              <w:rPr>
                <w:noProof/>
                <w:webHidden/>
              </w:rPr>
              <w:t>135</w:t>
            </w:r>
            <w:r w:rsidRPr="005D0244">
              <w:rPr>
                <w:noProof/>
                <w:webHidden/>
              </w:rPr>
              <w:fldChar w:fldCharType="end"/>
            </w:r>
          </w:hyperlink>
        </w:p>
        <w:p w14:paraId="0C173DE2" w14:textId="5BEFC7A9" w:rsidR="005D0244" w:rsidRPr="005D0244" w:rsidRDefault="005D0244">
          <w:pPr>
            <w:pStyle w:val="TOC1"/>
            <w:tabs>
              <w:tab w:val="right" w:leader="dot" w:pos="8630"/>
            </w:tabs>
            <w:rPr>
              <w:rFonts w:asciiTheme="minorHAnsi" w:eastAsiaTheme="minorEastAsia" w:hAnsiTheme="minorHAnsi" w:cstheme="minorBidi"/>
              <w:noProof/>
              <w:kern w:val="2"/>
              <w14:ligatures w14:val="standardContextual"/>
            </w:rPr>
          </w:pPr>
          <w:hyperlink w:anchor="_Toc169279177" w:history="1">
            <w:r w:rsidRPr="005D0244">
              <w:rPr>
                <w:rStyle w:val="Hyperlink"/>
                <w:rFonts w:ascii="Times New Roman" w:hAnsi="Times New Roman" w:cs="Times New Roman"/>
                <w:noProof/>
              </w:rPr>
              <w:t>CHAPTER 4 REFUSAL AND SELF-DEFINITION IN THE  DIALECT HUMOR OF ALEXANDER POSEY AND PAUL LAURENCE DUNBAR</w:t>
            </w:r>
            <w:r w:rsidRPr="005D0244">
              <w:rPr>
                <w:noProof/>
                <w:webHidden/>
              </w:rPr>
              <w:tab/>
            </w:r>
            <w:r w:rsidRPr="005D0244">
              <w:rPr>
                <w:noProof/>
                <w:webHidden/>
              </w:rPr>
              <w:fldChar w:fldCharType="begin"/>
            </w:r>
            <w:r w:rsidRPr="005D0244">
              <w:rPr>
                <w:noProof/>
                <w:webHidden/>
              </w:rPr>
              <w:instrText xml:space="preserve"> PAGEREF _Toc169279177 \h </w:instrText>
            </w:r>
            <w:r w:rsidRPr="005D0244">
              <w:rPr>
                <w:noProof/>
                <w:webHidden/>
              </w:rPr>
            </w:r>
            <w:r w:rsidRPr="005D0244">
              <w:rPr>
                <w:noProof/>
                <w:webHidden/>
              </w:rPr>
              <w:fldChar w:fldCharType="separate"/>
            </w:r>
            <w:r w:rsidRPr="005D0244">
              <w:rPr>
                <w:noProof/>
                <w:webHidden/>
              </w:rPr>
              <w:t>166</w:t>
            </w:r>
            <w:r w:rsidRPr="005D0244">
              <w:rPr>
                <w:noProof/>
                <w:webHidden/>
              </w:rPr>
              <w:fldChar w:fldCharType="end"/>
            </w:r>
          </w:hyperlink>
        </w:p>
        <w:p w14:paraId="72ADAE5C" w14:textId="4678DBE4" w:rsidR="005D0244" w:rsidRPr="005D0244" w:rsidRDefault="005D0244">
          <w:pPr>
            <w:pStyle w:val="TOC2"/>
            <w:tabs>
              <w:tab w:val="right" w:leader="dot" w:pos="8630"/>
            </w:tabs>
            <w:rPr>
              <w:rFonts w:asciiTheme="minorHAnsi" w:eastAsiaTheme="minorEastAsia" w:hAnsiTheme="minorHAnsi" w:cstheme="minorBidi"/>
              <w:noProof/>
              <w:kern w:val="2"/>
              <w14:ligatures w14:val="standardContextual"/>
            </w:rPr>
          </w:pPr>
          <w:hyperlink w:anchor="_Toc169279178" w:history="1">
            <w:r w:rsidRPr="005D0244">
              <w:rPr>
                <w:rStyle w:val="Hyperlink"/>
                <w:rFonts w:ascii="Times New Roman" w:hAnsi="Times New Roman" w:cs="Times New Roman"/>
                <w:noProof/>
              </w:rPr>
              <w:t>The Sofky Pot: Kinship and Community in the Fus Fixico Letters</w:t>
            </w:r>
            <w:r w:rsidRPr="005D0244">
              <w:rPr>
                <w:noProof/>
                <w:webHidden/>
              </w:rPr>
              <w:tab/>
            </w:r>
            <w:r w:rsidRPr="005D0244">
              <w:rPr>
                <w:noProof/>
                <w:webHidden/>
              </w:rPr>
              <w:fldChar w:fldCharType="begin"/>
            </w:r>
            <w:r w:rsidRPr="005D0244">
              <w:rPr>
                <w:noProof/>
                <w:webHidden/>
              </w:rPr>
              <w:instrText xml:space="preserve"> PAGEREF _Toc169279178 \h </w:instrText>
            </w:r>
            <w:r w:rsidRPr="005D0244">
              <w:rPr>
                <w:noProof/>
                <w:webHidden/>
              </w:rPr>
            </w:r>
            <w:r w:rsidRPr="005D0244">
              <w:rPr>
                <w:noProof/>
                <w:webHidden/>
              </w:rPr>
              <w:fldChar w:fldCharType="separate"/>
            </w:r>
            <w:r w:rsidRPr="005D0244">
              <w:rPr>
                <w:noProof/>
                <w:webHidden/>
              </w:rPr>
              <w:t>173</w:t>
            </w:r>
            <w:r w:rsidRPr="005D0244">
              <w:rPr>
                <w:noProof/>
                <w:webHidden/>
              </w:rPr>
              <w:fldChar w:fldCharType="end"/>
            </w:r>
          </w:hyperlink>
        </w:p>
        <w:p w14:paraId="0C070685" w14:textId="205DABA1" w:rsidR="005D0244" w:rsidRPr="005D0244" w:rsidRDefault="005D0244">
          <w:pPr>
            <w:pStyle w:val="TOC2"/>
            <w:tabs>
              <w:tab w:val="right" w:leader="dot" w:pos="8630"/>
            </w:tabs>
            <w:rPr>
              <w:rFonts w:asciiTheme="minorHAnsi" w:eastAsiaTheme="minorEastAsia" w:hAnsiTheme="minorHAnsi" w:cstheme="minorBidi"/>
              <w:noProof/>
              <w:kern w:val="2"/>
              <w14:ligatures w14:val="standardContextual"/>
            </w:rPr>
          </w:pPr>
          <w:hyperlink w:anchor="_Toc169279179" w:history="1">
            <w:r w:rsidRPr="005D0244">
              <w:rPr>
                <w:rStyle w:val="Hyperlink"/>
                <w:rFonts w:ascii="Times New Roman" w:hAnsi="Times New Roman" w:cs="Times New Roman"/>
                <w:noProof/>
              </w:rPr>
              <w:t>“one scrumptious time!”: Black Joy in Dunbar’s Dialect Poems</w:t>
            </w:r>
            <w:r w:rsidRPr="005D0244">
              <w:rPr>
                <w:noProof/>
                <w:webHidden/>
              </w:rPr>
              <w:tab/>
            </w:r>
            <w:r w:rsidRPr="005D0244">
              <w:rPr>
                <w:noProof/>
                <w:webHidden/>
              </w:rPr>
              <w:fldChar w:fldCharType="begin"/>
            </w:r>
            <w:r w:rsidRPr="005D0244">
              <w:rPr>
                <w:noProof/>
                <w:webHidden/>
              </w:rPr>
              <w:instrText xml:space="preserve"> PAGEREF _Toc169279179 \h </w:instrText>
            </w:r>
            <w:r w:rsidRPr="005D0244">
              <w:rPr>
                <w:noProof/>
                <w:webHidden/>
              </w:rPr>
            </w:r>
            <w:r w:rsidRPr="005D0244">
              <w:rPr>
                <w:noProof/>
                <w:webHidden/>
              </w:rPr>
              <w:fldChar w:fldCharType="separate"/>
            </w:r>
            <w:r w:rsidRPr="005D0244">
              <w:rPr>
                <w:noProof/>
                <w:webHidden/>
              </w:rPr>
              <w:t>212</w:t>
            </w:r>
            <w:r w:rsidRPr="005D0244">
              <w:rPr>
                <w:noProof/>
                <w:webHidden/>
              </w:rPr>
              <w:fldChar w:fldCharType="end"/>
            </w:r>
          </w:hyperlink>
        </w:p>
        <w:p w14:paraId="0491E2FA" w14:textId="4F2A6F33" w:rsidR="005D0244" w:rsidRPr="005D0244" w:rsidRDefault="005D0244">
          <w:pPr>
            <w:pStyle w:val="TOC2"/>
            <w:tabs>
              <w:tab w:val="right" w:leader="dot" w:pos="8630"/>
            </w:tabs>
            <w:rPr>
              <w:rFonts w:asciiTheme="minorHAnsi" w:eastAsiaTheme="minorEastAsia" w:hAnsiTheme="minorHAnsi" w:cstheme="minorBidi"/>
              <w:noProof/>
              <w:kern w:val="2"/>
              <w14:ligatures w14:val="standardContextual"/>
            </w:rPr>
          </w:pPr>
          <w:hyperlink w:anchor="_Toc169279180" w:history="1">
            <w:r w:rsidRPr="005D0244">
              <w:rPr>
                <w:rStyle w:val="Hyperlink"/>
                <w:rFonts w:ascii="Times New Roman" w:hAnsi="Times New Roman" w:cs="Times New Roman"/>
                <w:noProof/>
              </w:rPr>
              <w:t>Joy in the Language</w:t>
            </w:r>
            <w:r w:rsidRPr="005D0244">
              <w:rPr>
                <w:noProof/>
                <w:webHidden/>
              </w:rPr>
              <w:tab/>
            </w:r>
            <w:r w:rsidRPr="005D0244">
              <w:rPr>
                <w:noProof/>
                <w:webHidden/>
              </w:rPr>
              <w:fldChar w:fldCharType="begin"/>
            </w:r>
            <w:r w:rsidRPr="005D0244">
              <w:rPr>
                <w:noProof/>
                <w:webHidden/>
              </w:rPr>
              <w:instrText xml:space="preserve"> PAGEREF _Toc169279180 \h </w:instrText>
            </w:r>
            <w:r w:rsidRPr="005D0244">
              <w:rPr>
                <w:noProof/>
                <w:webHidden/>
              </w:rPr>
            </w:r>
            <w:r w:rsidRPr="005D0244">
              <w:rPr>
                <w:noProof/>
                <w:webHidden/>
              </w:rPr>
              <w:fldChar w:fldCharType="separate"/>
            </w:r>
            <w:r w:rsidRPr="005D0244">
              <w:rPr>
                <w:noProof/>
                <w:webHidden/>
              </w:rPr>
              <w:t>231</w:t>
            </w:r>
            <w:r w:rsidRPr="005D0244">
              <w:rPr>
                <w:noProof/>
                <w:webHidden/>
              </w:rPr>
              <w:fldChar w:fldCharType="end"/>
            </w:r>
          </w:hyperlink>
        </w:p>
        <w:p w14:paraId="6BBD4F4F" w14:textId="510FE980" w:rsidR="005D0244" w:rsidRPr="005D0244" w:rsidRDefault="005D0244">
          <w:pPr>
            <w:pStyle w:val="TOC1"/>
            <w:tabs>
              <w:tab w:val="right" w:leader="dot" w:pos="8630"/>
            </w:tabs>
            <w:rPr>
              <w:rFonts w:asciiTheme="minorHAnsi" w:eastAsiaTheme="minorEastAsia" w:hAnsiTheme="minorHAnsi" w:cstheme="minorBidi"/>
              <w:noProof/>
              <w:kern w:val="2"/>
              <w14:ligatures w14:val="standardContextual"/>
            </w:rPr>
          </w:pPr>
          <w:hyperlink w:anchor="_Toc169279181" w:history="1">
            <w:r w:rsidRPr="005D0244">
              <w:rPr>
                <w:rStyle w:val="Hyperlink"/>
                <w:rFonts w:ascii="Times New Roman" w:hAnsi="Times New Roman" w:cs="Times New Roman"/>
                <w:noProof/>
              </w:rPr>
              <w:t>WORKS CITED</w:t>
            </w:r>
            <w:r w:rsidRPr="005D0244">
              <w:rPr>
                <w:noProof/>
                <w:webHidden/>
              </w:rPr>
              <w:tab/>
            </w:r>
            <w:r w:rsidRPr="005D0244">
              <w:rPr>
                <w:noProof/>
                <w:webHidden/>
              </w:rPr>
              <w:fldChar w:fldCharType="begin"/>
            </w:r>
            <w:r w:rsidRPr="005D0244">
              <w:rPr>
                <w:noProof/>
                <w:webHidden/>
              </w:rPr>
              <w:instrText xml:space="preserve"> PAGEREF _Toc169279181 \h </w:instrText>
            </w:r>
            <w:r w:rsidRPr="005D0244">
              <w:rPr>
                <w:noProof/>
                <w:webHidden/>
              </w:rPr>
            </w:r>
            <w:r w:rsidRPr="005D0244">
              <w:rPr>
                <w:noProof/>
                <w:webHidden/>
              </w:rPr>
              <w:fldChar w:fldCharType="separate"/>
            </w:r>
            <w:r w:rsidRPr="005D0244">
              <w:rPr>
                <w:noProof/>
                <w:webHidden/>
              </w:rPr>
              <w:t>235</w:t>
            </w:r>
            <w:r w:rsidRPr="005D0244">
              <w:rPr>
                <w:noProof/>
                <w:webHidden/>
              </w:rPr>
              <w:fldChar w:fldCharType="end"/>
            </w:r>
          </w:hyperlink>
        </w:p>
        <w:p w14:paraId="70AAAF4E" w14:textId="58987645" w:rsidR="00287C65" w:rsidRDefault="00287C65">
          <w:r>
            <w:rPr>
              <w:b/>
              <w:bCs/>
              <w:noProof/>
            </w:rPr>
            <w:fldChar w:fldCharType="end"/>
          </w:r>
        </w:p>
      </w:sdtContent>
    </w:sdt>
    <w:p w14:paraId="42DEF2CD" w14:textId="77777777" w:rsidR="00AF1014" w:rsidRDefault="00AF1014" w:rsidP="0022470F">
      <w:pPr>
        <w:jc w:val="center"/>
        <w:rPr>
          <w:rFonts w:ascii="Times New Roman" w:hAnsi="Times New Roman" w:cs="Times New Roman"/>
          <w:b/>
          <w:bCs/>
        </w:rPr>
      </w:pPr>
    </w:p>
    <w:p w14:paraId="7B6631D3" w14:textId="6F482020" w:rsidR="00274B3F" w:rsidRPr="00287C65" w:rsidRDefault="00274B3F" w:rsidP="00287C65">
      <w:pPr>
        <w:spacing w:after="160"/>
        <w:rPr>
          <w:rFonts w:ascii="Times New Roman" w:hAnsi="Times New Roman" w:cs="Times New Roman"/>
          <w:b/>
          <w:bCs/>
        </w:rPr>
      </w:pPr>
      <w:r>
        <w:rPr>
          <w:rFonts w:ascii="Times New Roman" w:hAnsi="Times New Roman" w:cs="Times New Roman"/>
          <w:bCs/>
        </w:rPr>
        <w:br w:type="page"/>
      </w:r>
    </w:p>
    <w:p w14:paraId="601A74DC" w14:textId="77777777" w:rsidR="00287C65" w:rsidRDefault="00287C65" w:rsidP="00287C65">
      <w:pPr>
        <w:tabs>
          <w:tab w:val="left" w:pos="180"/>
        </w:tabs>
        <w:jc w:val="center"/>
        <w:rPr>
          <w:rFonts w:ascii="Times New Roman" w:hAnsi="Times New Roman" w:cs="Times New Roman"/>
          <w:b/>
        </w:rPr>
      </w:pPr>
      <w:r>
        <w:rPr>
          <w:rFonts w:ascii="Times New Roman" w:hAnsi="Times New Roman" w:cs="Times New Roman"/>
          <w:b/>
        </w:rPr>
        <w:lastRenderedPageBreak/>
        <w:t>LIST OF FIGURES</w:t>
      </w:r>
    </w:p>
    <w:p w14:paraId="5BD39C27" w14:textId="77777777" w:rsidR="00287C65" w:rsidRDefault="00287C65">
      <w:pPr>
        <w:pStyle w:val="TableofFigures"/>
        <w:tabs>
          <w:tab w:val="right" w:leader="dot" w:pos="8630"/>
        </w:tabs>
        <w:rPr>
          <w:rFonts w:ascii="Times New Roman" w:hAnsi="Times New Roman" w:cs="Times New Roman"/>
          <w:b/>
        </w:rPr>
      </w:pPr>
    </w:p>
    <w:p w14:paraId="732E0568" w14:textId="2E08B8F2" w:rsidR="00287C65" w:rsidRPr="00287C65" w:rsidRDefault="00287C65">
      <w:pPr>
        <w:pStyle w:val="TableofFigures"/>
        <w:tabs>
          <w:tab w:val="right" w:leader="dot" w:pos="8630"/>
        </w:tabs>
        <w:rPr>
          <w:rFonts w:ascii="Times New Roman" w:hAnsi="Times New Roman" w:cs="Times New Roman"/>
          <w:noProof/>
        </w:rPr>
      </w:pPr>
      <w:r>
        <w:rPr>
          <w:rFonts w:ascii="Times New Roman" w:hAnsi="Times New Roman" w:cs="Times New Roman"/>
          <w:b/>
        </w:rPr>
        <w:fldChar w:fldCharType="begin"/>
      </w:r>
      <w:r>
        <w:rPr>
          <w:rFonts w:ascii="Times New Roman" w:hAnsi="Times New Roman" w:cs="Times New Roman"/>
          <w:b/>
        </w:rPr>
        <w:instrText xml:space="preserve"> TOC \h \z \c "Figure" </w:instrText>
      </w:r>
      <w:r>
        <w:rPr>
          <w:rFonts w:ascii="Times New Roman" w:hAnsi="Times New Roman" w:cs="Times New Roman"/>
          <w:b/>
        </w:rPr>
        <w:fldChar w:fldCharType="separate"/>
      </w:r>
      <w:hyperlink w:anchor="_Toc169278857" w:history="1">
        <w:r w:rsidRPr="00287C65">
          <w:rPr>
            <w:rStyle w:val="Hyperlink"/>
            <w:rFonts w:ascii="Times New Roman" w:eastAsiaTheme="majorEastAsia" w:hAnsi="Times New Roman" w:cs="Times New Roman"/>
            <w:noProof/>
          </w:rPr>
          <w:t>Figure 1. Anonymous. “Manner of Instructing the Indians</w:t>
        </w:r>
        <w:r>
          <w:rPr>
            <w:rStyle w:val="Hyperlink"/>
            <w:rFonts w:ascii="Times New Roman" w:eastAsiaTheme="majorEastAsia" w:hAnsi="Times New Roman" w:cs="Times New Roman"/>
            <w:noProof/>
          </w:rPr>
          <w:t>,</w:t>
        </w:r>
        <w:r w:rsidRPr="00287C65">
          <w:rPr>
            <w:rStyle w:val="Hyperlink"/>
            <w:rFonts w:ascii="Times New Roman" w:eastAsiaTheme="majorEastAsia" w:hAnsi="Times New Roman" w:cs="Times New Roman"/>
            <w:noProof/>
          </w:rPr>
          <w:t>” 1835</w:t>
        </w:r>
        <w:r>
          <w:rPr>
            <w:rStyle w:val="Hyperlink"/>
            <w:rFonts w:ascii="Times New Roman" w:eastAsiaTheme="majorEastAsia" w:hAnsi="Times New Roman" w:cs="Times New Roman"/>
            <w:noProof/>
          </w:rPr>
          <w:t>,</w:t>
        </w:r>
        <w:r w:rsidRPr="00287C65">
          <w:rPr>
            <w:rStyle w:val="Hyperlink"/>
            <w:rFonts w:ascii="Times New Roman" w:eastAsiaTheme="majorEastAsia" w:hAnsi="Times New Roman" w:cs="Times New Roman"/>
            <w:noProof/>
          </w:rPr>
          <w:t xml:space="preserve"> </w:t>
        </w:r>
        <w:r w:rsidRPr="00287C65">
          <w:rPr>
            <w:rStyle w:val="Hyperlink"/>
            <w:rFonts w:ascii="Times New Roman" w:eastAsiaTheme="majorEastAsia" w:hAnsi="Times New Roman" w:cs="Times New Roman"/>
            <w:i/>
            <w:iCs/>
            <w:noProof/>
          </w:rPr>
          <w:t>Indian Nullification of the Unconstitutional Laws of Massachusetts, Relative to the Marshpee Tribe: Or, the Pretended Riot Explained</w:t>
        </w:r>
        <w:r w:rsidRPr="00287C65">
          <w:rPr>
            <w:rStyle w:val="Hyperlink"/>
            <w:rFonts w:ascii="Times New Roman" w:eastAsiaTheme="majorEastAsia" w:hAnsi="Times New Roman" w:cs="Times New Roman"/>
            <w:noProof/>
          </w:rPr>
          <w:t>, Jonathan Howe, 1835, frontispiece.</w:t>
        </w:r>
        <w:r w:rsidRPr="00287C65">
          <w:rPr>
            <w:rFonts w:ascii="Times New Roman" w:hAnsi="Times New Roman" w:cs="Times New Roman"/>
            <w:noProof/>
            <w:webHidden/>
          </w:rPr>
          <w:tab/>
        </w:r>
        <w:r w:rsidRPr="00287C65">
          <w:rPr>
            <w:rFonts w:ascii="Times New Roman" w:hAnsi="Times New Roman" w:cs="Times New Roman"/>
            <w:noProof/>
            <w:webHidden/>
          </w:rPr>
          <w:fldChar w:fldCharType="begin"/>
        </w:r>
        <w:r w:rsidRPr="00287C65">
          <w:rPr>
            <w:rFonts w:ascii="Times New Roman" w:hAnsi="Times New Roman" w:cs="Times New Roman"/>
            <w:noProof/>
            <w:webHidden/>
          </w:rPr>
          <w:instrText xml:space="preserve"> PAGEREF _Toc169278857 \h </w:instrText>
        </w:r>
        <w:r w:rsidRPr="00287C65">
          <w:rPr>
            <w:rFonts w:ascii="Times New Roman" w:hAnsi="Times New Roman" w:cs="Times New Roman"/>
            <w:noProof/>
            <w:webHidden/>
          </w:rPr>
        </w:r>
        <w:r w:rsidRPr="00287C65">
          <w:rPr>
            <w:rFonts w:ascii="Times New Roman" w:hAnsi="Times New Roman" w:cs="Times New Roman"/>
            <w:noProof/>
            <w:webHidden/>
          </w:rPr>
          <w:fldChar w:fldCharType="separate"/>
        </w:r>
        <w:r w:rsidRPr="00287C65">
          <w:rPr>
            <w:rFonts w:ascii="Times New Roman" w:hAnsi="Times New Roman" w:cs="Times New Roman"/>
            <w:noProof/>
            <w:webHidden/>
          </w:rPr>
          <w:t>23</w:t>
        </w:r>
        <w:r w:rsidRPr="00287C65">
          <w:rPr>
            <w:rFonts w:ascii="Times New Roman" w:hAnsi="Times New Roman" w:cs="Times New Roman"/>
            <w:noProof/>
            <w:webHidden/>
          </w:rPr>
          <w:fldChar w:fldCharType="end"/>
        </w:r>
      </w:hyperlink>
    </w:p>
    <w:p w14:paraId="47926AA8" w14:textId="7D534CA5" w:rsidR="00287C65" w:rsidRPr="00287C65" w:rsidRDefault="00000000">
      <w:pPr>
        <w:pStyle w:val="TableofFigures"/>
        <w:tabs>
          <w:tab w:val="right" w:leader="dot" w:pos="8630"/>
        </w:tabs>
        <w:rPr>
          <w:rFonts w:ascii="Times New Roman" w:hAnsi="Times New Roman" w:cs="Times New Roman"/>
          <w:noProof/>
        </w:rPr>
      </w:pPr>
      <w:hyperlink w:anchor="_Toc169278858" w:history="1">
        <w:r w:rsidR="00287C65" w:rsidRPr="00287C65">
          <w:rPr>
            <w:rStyle w:val="Hyperlink"/>
            <w:rFonts w:ascii="Times New Roman" w:eastAsiaTheme="majorEastAsia" w:hAnsi="Times New Roman" w:cs="Times New Roman"/>
            <w:noProof/>
          </w:rPr>
          <w:t xml:space="preserve">Figure 2. Sarah Winnemucca Hopkins's portrait in Dan De Quille's </w:t>
        </w:r>
        <w:r w:rsidR="00287C65" w:rsidRPr="00287C65">
          <w:rPr>
            <w:rStyle w:val="Hyperlink"/>
            <w:rFonts w:ascii="Times New Roman" w:eastAsiaTheme="majorEastAsia" w:hAnsi="Times New Roman" w:cs="Times New Roman"/>
            <w:i/>
            <w:iCs/>
            <w:noProof/>
          </w:rPr>
          <w:t>The Big Bonanza</w:t>
        </w:r>
        <w:r w:rsidR="00287C65" w:rsidRPr="00287C65">
          <w:rPr>
            <w:rStyle w:val="Hyperlink"/>
            <w:rFonts w:ascii="Times New Roman" w:eastAsiaTheme="majorEastAsia" w:hAnsi="Times New Roman" w:cs="Times New Roman"/>
            <w:noProof/>
          </w:rPr>
          <w:t xml:space="preserve"> (1875).</w:t>
        </w:r>
        <w:r w:rsidR="00287C65" w:rsidRPr="00287C65">
          <w:rPr>
            <w:rFonts w:ascii="Times New Roman" w:hAnsi="Times New Roman" w:cs="Times New Roman"/>
            <w:noProof/>
            <w:webHidden/>
          </w:rPr>
          <w:tab/>
        </w:r>
        <w:r w:rsidR="00287C65" w:rsidRPr="00287C65">
          <w:rPr>
            <w:rFonts w:ascii="Times New Roman" w:hAnsi="Times New Roman" w:cs="Times New Roman"/>
            <w:noProof/>
            <w:webHidden/>
          </w:rPr>
          <w:fldChar w:fldCharType="begin"/>
        </w:r>
        <w:r w:rsidR="00287C65" w:rsidRPr="00287C65">
          <w:rPr>
            <w:rFonts w:ascii="Times New Roman" w:hAnsi="Times New Roman" w:cs="Times New Roman"/>
            <w:noProof/>
            <w:webHidden/>
          </w:rPr>
          <w:instrText xml:space="preserve"> PAGEREF _Toc169278858 \h </w:instrText>
        </w:r>
        <w:r w:rsidR="00287C65" w:rsidRPr="00287C65">
          <w:rPr>
            <w:rFonts w:ascii="Times New Roman" w:hAnsi="Times New Roman" w:cs="Times New Roman"/>
            <w:noProof/>
            <w:webHidden/>
          </w:rPr>
        </w:r>
        <w:r w:rsidR="00287C65" w:rsidRPr="00287C65">
          <w:rPr>
            <w:rFonts w:ascii="Times New Roman" w:hAnsi="Times New Roman" w:cs="Times New Roman"/>
            <w:noProof/>
            <w:webHidden/>
          </w:rPr>
          <w:fldChar w:fldCharType="separate"/>
        </w:r>
        <w:r w:rsidR="00287C65" w:rsidRPr="00287C65">
          <w:rPr>
            <w:rFonts w:ascii="Times New Roman" w:hAnsi="Times New Roman" w:cs="Times New Roman"/>
            <w:noProof/>
            <w:webHidden/>
          </w:rPr>
          <w:t>107</w:t>
        </w:r>
        <w:r w:rsidR="00287C65" w:rsidRPr="00287C65">
          <w:rPr>
            <w:rFonts w:ascii="Times New Roman" w:hAnsi="Times New Roman" w:cs="Times New Roman"/>
            <w:noProof/>
            <w:webHidden/>
          </w:rPr>
          <w:fldChar w:fldCharType="end"/>
        </w:r>
      </w:hyperlink>
    </w:p>
    <w:p w14:paraId="57127CE1" w14:textId="638F97A5" w:rsidR="00287C65" w:rsidRPr="00287C65" w:rsidRDefault="00000000">
      <w:pPr>
        <w:pStyle w:val="TableofFigures"/>
        <w:tabs>
          <w:tab w:val="right" w:leader="dot" w:pos="8630"/>
        </w:tabs>
        <w:rPr>
          <w:rFonts w:ascii="Times New Roman" w:hAnsi="Times New Roman" w:cs="Times New Roman"/>
          <w:noProof/>
        </w:rPr>
      </w:pPr>
      <w:hyperlink w:anchor="_Toc169278859" w:history="1">
        <w:r w:rsidR="00287C65" w:rsidRPr="00287C65">
          <w:rPr>
            <w:rStyle w:val="Hyperlink"/>
            <w:rFonts w:ascii="Times New Roman" w:eastAsiaTheme="majorEastAsia" w:hAnsi="Times New Roman" w:cs="Times New Roman"/>
            <w:noProof/>
          </w:rPr>
          <w:t xml:space="preserve">Figure 3. Scenes of mining life in </w:t>
        </w:r>
        <w:r w:rsidR="00287C65">
          <w:rPr>
            <w:rStyle w:val="Hyperlink"/>
            <w:rFonts w:ascii="Times New Roman" w:eastAsiaTheme="majorEastAsia" w:hAnsi="Times New Roman" w:cs="Times New Roman"/>
            <w:i/>
            <w:iCs/>
            <w:noProof/>
          </w:rPr>
          <w:t>The Big Bonanza</w:t>
        </w:r>
        <w:r w:rsidR="00287C65" w:rsidRPr="00287C65">
          <w:rPr>
            <w:rStyle w:val="Hyperlink"/>
            <w:rFonts w:ascii="Times New Roman" w:eastAsiaTheme="majorEastAsia" w:hAnsi="Times New Roman" w:cs="Times New Roman"/>
            <w:noProof/>
          </w:rPr>
          <w:t>.</w:t>
        </w:r>
        <w:r w:rsidR="00287C65" w:rsidRPr="00287C65">
          <w:rPr>
            <w:rFonts w:ascii="Times New Roman" w:hAnsi="Times New Roman" w:cs="Times New Roman"/>
            <w:noProof/>
            <w:webHidden/>
          </w:rPr>
          <w:tab/>
        </w:r>
        <w:r w:rsidR="00287C65" w:rsidRPr="00287C65">
          <w:rPr>
            <w:rFonts w:ascii="Times New Roman" w:hAnsi="Times New Roman" w:cs="Times New Roman"/>
            <w:noProof/>
            <w:webHidden/>
          </w:rPr>
          <w:fldChar w:fldCharType="begin"/>
        </w:r>
        <w:r w:rsidR="00287C65" w:rsidRPr="00287C65">
          <w:rPr>
            <w:rFonts w:ascii="Times New Roman" w:hAnsi="Times New Roman" w:cs="Times New Roman"/>
            <w:noProof/>
            <w:webHidden/>
          </w:rPr>
          <w:instrText xml:space="preserve"> PAGEREF _Toc169278859 \h </w:instrText>
        </w:r>
        <w:r w:rsidR="00287C65" w:rsidRPr="00287C65">
          <w:rPr>
            <w:rFonts w:ascii="Times New Roman" w:hAnsi="Times New Roman" w:cs="Times New Roman"/>
            <w:noProof/>
            <w:webHidden/>
          </w:rPr>
        </w:r>
        <w:r w:rsidR="00287C65" w:rsidRPr="00287C65">
          <w:rPr>
            <w:rFonts w:ascii="Times New Roman" w:hAnsi="Times New Roman" w:cs="Times New Roman"/>
            <w:noProof/>
            <w:webHidden/>
          </w:rPr>
          <w:fldChar w:fldCharType="separate"/>
        </w:r>
        <w:r w:rsidR="00287C65" w:rsidRPr="00287C65">
          <w:rPr>
            <w:rFonts w:ascii="Times New Roman" w:hAnsi="Times New Roman" w:cs="Times New Roman"/>
            <w:noProof/>
            <w:webHidden/>
          </w:rPr>
          <w:t>120</w:t>
        </w:r>
        <w:r w:rsidR="00287C65" w:rsidRPr="00287C65">
          <w:rPr>
            <w:rFonts w:ascii="Times New Roman" w:hAnsi="Times New Roman" w:cs="Times New Roman"/>
            <w:noProof/>
            <w:webHidden/>
          </w:rPr>
          <w:fldChar w:fldCharType="end"/>
        </w:r>
      </w:hyperlink>
    </w:p>
    <w:p w14:paraId="37CB9369" w14:textId="085662EF" w:rsidR="00274B3F" w:rsidRDefault="00287C65" w:rsidP="00274B3F">
      <w:pPr>
        <w:tabs>
          <w:tab w:val="left" w:pos="180"/>
        </w:tabs>
        <w:jc w:val="center"/>
        <w:rPr>
          <w:rFonts w:ascii="Times New Roman" w:hAnsi="Times New Roman" w:cs="Times New Roman"/>
          <w:b/>
        </w:rPr>
      </w:pPr>
      <w:r>
        <w:rPr>
          <w:rFonts w:ascii="Times New Roman" w:hAnsi="Times New Roman" w:cs="Times New Roman"/>
          <w:b/>
        </w:rPr>
        <w:fldChar w:fldCharType="end"/>
      </w:r>
    </w:p>
    <w:p w14:paraId="670773E9" w14:textId="77777777" w:rsidR="00A86630" w:rsidRDefault="00A86630">
      <w:pPr>
        <w:spacing w:after="160" w:line="259" w:lineRule="auto"/>
        <w:rPr>
          <w:rFonts w:ascii="Times New Roman" w:hAnsi="Times New Roman" w:cs="Times New Roman"/>
          <w:bCs/>
        </w:rPr>
      </w:pPr>
    </w:p>
    <w:p w14:paraId="2DAC3EC7" w14:textId="751E2963" w:rsidR="00274B3F" w:rsidRDefault="00274B3F">
      <w:pPr>
        <w:spacing w:after="160" w:line="259" w:lineRule="auto"/>
        <w:rPr>
          <w:rFonts w:ascii="Times New Roman" w:hAnsi="Times New Roman" w:cs="Times New Roman"/>
          <w:b/>
        </w:rPr>
      </w:pPr>
      <w:r>
        <w:rPr>
          <w:rFonts w:ascii="Times New Roman" w:hAnsi="Times New Roman" w:cs="Times New Roman"/>
          <w:b/>
        </w:rPr>
        <w:br w:type="page"/>
      </w:r>
    </w:p>
    <w:p w14:paraId="7F598BCA" w14:textId="77777777" w:rsidR="00A86630" w:rsidRDefault="00A86630">
      <w:pPr>
        <w:spacing w:after="160" w:line="259" w:lineRule="auto"/>
        <w:rPr>
          <w:rFonts w:ascii="Times New Roman" w:hAnsi="Times New Roman" w:cs="Times New Roman"/>
          <w:b/>
        </w:rPr>
        <w:sectPr w:rsidR="00A86630" w:rsidSect="00EA0B0E">
          <w:headerReference w:type="default" r:id="rId7"/>
          <w:pgSz w:w="12240" w:h="15840"/>
          <w:pgMar w:top="2160" w:right="1800" w:bottom="1872" w:left="1800" w:header="1440" w:footer="720" w:gutter="0"/>
          <w:pgNumType w:fmt="lowerRoman"/>
          <w:cols w:space="720"/>
          <w:titlePg/>
          <w:docGrid w:linePitch="360"/>
        </w:sectPr>
      </w:pPr>
    </w:p>
    <w:p w14:paraId="281D7A26" w14:textId="77777777" w:rsidR="00287C65" w:rsidRPr="00287C65" w:rsidRDefault="00287C65" w:rsidP="00287C65">
      <w:pPr>
        <w:pStyle w:val="Heading1"/>
        <w:spacing w:before="400" w:after="120"/>
        <w:jc w:val="center"/>
        <w:rPr>
          <w:rFonts w:ascii="Times New Roman" w:hAnsi="Times New Roman" w:cs="Times New Roman"/>
          <w:b/>
          <w:bCs/>
          <w:sz w:val="48"/>
          <w:szCs w:val="48"/>
        </w:rPr>
      </w:pPr>
      <w:bookmarkStart w:id="0" w:name="_Toc169279163"/>
      <w:r w:rsidRPr="00287C65">
        <w:rPr>
          <w:rFonts w:ascii="Times New Roman" w:hAnsi="Times New Roman" w:cs="Times New Roman"/>
          <w:b/>
          <w:bCs/>
          <w:color w:val="000000"/>
          <w:sz w:val="24"/>
          <w:szCs w:val="24"/>
        </w:rPr>
        <w:lastRenderedPageBreak/>
        <w:t>INTRODUCTION</w:t>
      </w:r>
      <w:bookmarkEnd w:id="0"/>
    </w:p>
    <w:p w14:paraId="0DE3C11A" w14:textId="77777777" w:rsidR="00287C65" w:rsidRPr="00287C65" w:rsidRDefault="00287C65" w:rsidP="00287C65">
      <w:pPr>
        <w:pStyle w:val="NormalWeb"/>
        <w:spacing w:before="0" w:beforeAutospacing="0" w:after="0" w:afterAutospacing="0" w:line="480" w:lineRule="auto"/>
        <w:ind w:firstLine="720"/>
      </w:pPr>
      <w:r w:rsidRPr="00287C65">
        <w:rPr>
          <w:color w:val="000000"/>
        </w:rPr>
        <w:t xml:space="preserve">Early Native literature is not often imagined to be funny. For Native peoples, the seventeenth, eighteenth, and nineteenth centuries, when Native literature in English first developed, was a time of great loss and tumultuous social upheaval. The exigences that Native writers respond to are often tragic: the decimation of Indigenous populations from disease and the destruction of traditional food sources; the United States’s theft of millions of acres of Native lands; the kidnapping of Native children and sexual violence toward Indigenous women; the forced dissolution of tribal governments and suppression of Indigenous cultural and religious practices; and systemic poverty and illness due to lack of access to the basic resources of human survival. Native writers continue to address these same issues today. Early Native writers used a range of rhetorical devices and affective language to write about their experiences under colonialism, from the sentimentality of Sophia Allen Callahan’s early novel </w:t>
      </w:r>
      <w:r w:rsidRPr="00287C65">
        <w:rPr>
          <w:i/>
          <w:iCs/>
          <w:color w:val="000000"/>
        </w:rPr>
        <w:t>Wynema</w:t>
      </w:r>
      <w:r w:rsidRPr="00287C65">
        <w:rPr>
          <w:color w:val="000000"/>
        </w:rPr>
        <w:t xml:space="preserve"> (1891) and Charles Eastman’s memoirs (1902, 1916), to the righteous anger of Sauk leader Black Hawk’s 1833 account of the United States military’s genocide of his people. Political writers such as Elias Boudinot (Buck Watie) editor of the </w:t>
      </w:r>
      <w:r w:rsidRPr="00287C65">
        <w:rPr>
          <w:i/>
          <w:iCs/>
          <w:color w:val="000000"/>
        </w:rPr>
        <w:t>Cherokee Phoenix</w:t>
      </w:r>
      <w:r w:rsidRPr="00287C65">
        <w:rPr>
          <w:color w:val="000000"/>
        </w:rPr>
        <w:t>,</w:t>
      </w:r>
      <w:r w:rsidRPr="00287C65">
        <w:rPr>
          <w:i/>
          <w:iCs/>
          <w:color w:val="000000"/>
        </w:rPr>
        <w:t xml:space="preserve"> </w:t>
      </w:r>
      <w:r w:rsidRPr="00287C65">
        <w:rPr>
          <w:color w:val="000000"/>
        </w:rPr>
        <w:t xml:space="preserve">and John Ross, Principal Chief of the Cherokee Nation, used logic and the techniques of Western legal argumentation to engage the United States government in debates about Native rights and sovereignty. Humor is rarely understood as one of the techniques Native writers used. However, many early Native writers such as William Apess (Pequot), John Rollin Ridge (Cherokee), Sarah Winnemucca Hopkins (Northern Paiute), and Alexander Posey </w:t>
      </w:r>
      <w:r w:rsidRPr="00287C65">
        <w:rPr>
          <w:color w:val="000000"/>
        </w:rPr>
        <w:lastRenderedPageBreak/>
        <w:t>(Muscogee) used humor to accomplish a variety of political and rhetorical ends, including resisting oppression, sustaining Native community under colonialism, and imagining alternative futures for their people. </w:t>
      </w:r>
    </w:p>
    <w:p w14:paraId="7573B163" w14:textId="77777777" w:rsidR="00287C65" w:rsidRPr="00287C65" w:rsidRDefault="00287C65" w:rsidP="00287C65">
      <w:pPr>
        <w:pStyle w:val="NormalWeb"/>
        <w:spacing w:before="0" w:beforeAutospacing="0" w:after="0" w:afterAutospacing="0" w:line="480" w:lineRule="auto"/>
        <w:ind w:firstLine="720"/>
      </w:pPr>
      <w:r w:rsidRPr="00287C65">
        <w:rPr>
          <w:color w:val="000000"/>
        </w:rPr>
        <w:t xml:space="preserve">“Unsettling Laughter” analyzes the political work of Native humor written in English through the nineteenth century. It imagines the ways Native writers and performers used humor to negotiate power within the changing dynamics of the U.S. imperium. Organized chronologically, it looks at the following points in time: the 1833-34 Mashpee Wampanoag struggle for civil rights in Mashpee, Massachusetts; the Indian Removal crisis in the southeast; the U.S.-Mexican War and the territorialization of California in the 1840s and 50s; the American occupation and colonization of Hawai’i in the 1860s; the Bannock War of 1878 in the Great Basin and its catastrophic relocation of the Northern Paiutes; and the enforcement of the Dawes Act of 1887 which precipitated allotment and the dissolution of tribal sovereignty in Indian Territory. In all of these historic moments, Native writers used humor, particularly the techniques of sarcasm, satire, and irony, to protest the United States’s mistreatment of their peoples and to issue calls for justice. They were not alone. Many white writers wrote against the United States’s imperial ambitions as well and several used humor to do so. Washington Irving and Mark Twain, two of America’s best known humor writers, both turned their wit to lampoon and criticize the hypocrisy and cultural chauvinism of the United States’s treatment of Indigenous peoples at home and abroad. However, even as it protests U.S. imperialism, the humor of these white Americans writer often partakes of popular </w:t>
      </w:r>
      <w:r w:rsidRPr="00287C65">
        <w:rPr>
          <w:color w:val="000000"/>
        </w:rPr>
        <w:lastRenderedPageBreak/>
        <w:t xml:space="preserve">cultural myths about Indian savagery and inevitable disappearance that enacts harmful settler colonial logics on a larger scale. </w:t>
      </w:r>
      <w:proofErr w:type="gramStart"/>
      <w:r w:rsidRPr="00287C65">
        <w:rPr>
          <w:color w:val="000000"/>
        </w:rPr>
        <w:t>Thus</w:t>
      </w:r>
      <w:proofErr w:type="gramEnd"/>
      <w:r w:rsidRPr="00287C65">
        <w:rPr>
          <w:color w:val="000000"/>
        </w:rPr>
        <w:t xml:space="preserve"> humor was both a tool of resistance, a method of negotiating power, and frequently a means of furthering imperial and colonial ends. </w:t>
      </w:r>
    </w:p>
    <w:p w14:paraId="7269083A" w14:textId="77777777" w:rsidR="00287C65" w:rsidRPr="00287C65" w:rsidRDefault="00287C65" w:rsidP="00287C65">
      <w:pPr>
        <w:pStyle w:val="NormalWeb"/>
        <w:spacing w:before="0" w:beforeAutospacing="0" w:after="0" w:afterAutospacing="0" w:line="480" w:lineRule="auto"/>
        <w:ind w:firstLine="720"/>
      </w:pPr>
      <w:r w:rsidRPr="00287C65">
        <w:rPr>
          <w:color w:val="000000"/>
        </w:rPr>
        <w:t xml:space="preserve">By situating Native writers’ humor alongside contemporaneous examples of white humor, “Unsettling Laughter” shows these writers use humor to navigate, resist, refuse, and sometimes enact the forms and discourses of U.S. imperialism. Each chapter </w:t>
      </w:r>
      <w:proofErr w:type="gramStart"/>
      <w:r w:rsidRPr="00287C65">
        <w:rPr>
          <w:color w:val="000000"/>
        </w:rPr>
        <w:t>centers</w:t>
      </w:r>
      <w:proofErr w:type="gramEnd"/>
      <w:r w:rsidRPr="00287C65">
        <w:rPr>
          <w:color w:val="000000"/>
        </w:rPr>
        <w:t xml:space="preserve"> the pairing of a Native and non-Native writers, linked through their contemporaneity or response to the same historical event, in order to restore to view the textual and discursive conversations among these writers. Thus “Unsettling Laughter” presents a totally new picture of the political work of humor in the nineteenth century. The authors in my study, particularly Native writers, all used humor to respond to the increasingly ambitious expansionist imperial projects of U.S. nationalism, sometimes critiquing the nation-state’s colonialism and sometimes perpetuating settler-colonial logics even as they push back against imperial projects and their attendant territorializing, racializing, and gendered structures of power. </w:t>
      </w:r>
    </w:p>
    <w:p w14:paraId="426D98D3" w14:textId="77777777" w:rsidR="00287C65" w:rsidRPr="00287C65" w:rsidRDefault="00287C65" w:rsidP="00287C65">
      <w:pPr>
        <w:pStyle w:val="NormalWeb"/>
        <w:spacing w:before="0" w:beforeAutospacing="0" w:after="0" w:afterAutospacing="0" w:line="480" w:lineRule="auto"/>
        <w:ind w:firstLine="720"/>
      </w:pPr>
      <w:r w:rsidRPr="00287C65">
        <w:rPr>
          <w:color w:val="000000"/>
        </w:rPr>
        <w:t xml:space="preserve">Recognizing humor as a historical language of Native political agency is a crucial step in deconstructing common racist stereotypes that continue to dehumanize Native people. The stock figure of the stoic, unsmiling Indian passing resignedly beyond the horizon has been a staple of American cultural production since at least James Fenimore Cooper’s </w:t>
      </w:r>
      <w:r w:rsidRPr="00287C65">
        <w:rPr>
          <w:i/>
          <w:iCs/>
          <w:color w:val="000000"/>
        </w:rPr>
        <w:t>Leatherstocking Tales</w:t>
      </w:r>
      <w:r w:rsidRPr="00287C65">
        <w:rPr>
          <w:color w:val="000000"/>
        </w:rPr>
        <w:t xml:space="preserve"> (1823-41). Part of the complex settler construction of the </w:t>
      </w:r>
      <w:r w:rsidRPr="00287C65">
        <w:rPr>
          <w:color w:val="000000"/>
        </w:rPr>
        <w:lastRenderedPageBreak/>
        <w:t xml:space="preserve">noble savage, the “Unsmiling Indian” helped perpetuate the </w:t>
      </w:r>
      <w:proofErr w:type="gramStart"/>
      <w:r w:rsidRPr="00287C65">
        <w:rPr>
          <w:color w:val="000000"/>
        </w:rPr>
        <w:t>mutually-reinforcing</w:t>
      </w:r>
      <w:proofErr w:type="gramEnd"/>
      <w:r w:rsidRPr="00287C65">
        <w:rPr>
          <w:color w:val="000000"/>
        </w:rPr>
        <w:t xml:space="preserve"> cultural myths that American Indians were savages, below white civilization on progressivist scale of cultural evolution, and that, therefore, their ultimate disappearance, either by assimilation or extermination, before the advancement of American settlement was inevitable. As Marianne Kongerslev observes, “the refusal of settlers to acknowledge or even notice Native forms of humor” is a form of Native erasure, making real Native peoples “unreal and </w:t>
      </w:r>
      <w:proofErr w:type="spellStart"/>
      <w:r w:rsidRPr="00287C65">
        <w:rPr>
          <w:color w:val="000000"/>
        </w:rPr>
        <w:t>ungrievable</w:t>
      </w:r>
      <w:proofErr w:type="spellEnd"/>
      <w:r w:rsidRPr="00287C65">
        <w:rPr>
          <w:color w:val="000000"/>
        </w:rPr>
        <w:t xml:space="preserve"> as living beings” (“Enduring Laughter,” 256). Additionally, this subtler operation of dehumanization through stereotype exists alongside examples of racist white humor that mocks and degrades Native people through caricature, especially the misrepresentation in American Indian English dialect in “Hollywood Injun English” (Meek 93). By restoring to view a sense of Native writers’ politically agentive use of humor, rather than focus on their misrepresentation and victimization in humor written by whites, this dissertation participates in efforts by scholars in the fields of Native American and Indigenous Studies, American Literature and American Studies, and Post-Colonial Studies since the 1990s to decolonize our collective, inherited narratives of Native inhumanity.</w:t>
      </w:r>
    </w:p>
    <w:p w14:paraId="018CA4F5" w14:textId="77777777" w:rsidR="00287C65" w:rsidRPr="005D0244" w:rsidRDefault="00287C65" w:rsidP="00287C65">
      <w:pPr>
        <w:pStyle w:val="Heading2"/>
        <w:spacing w:before="360" w:after="120" w:line="480" w:lineRule="auto"/>
        <w:jc w:val="center"/>
        <w:rPr>
          <w:rFonts w:ascii="Times New Roman" w:hAnsi="Times New Roman" w:cs="Times New Roman"/>
          <w:b/>
          <w:bCs/>
          <w:sz w:val="24"/>
          <w:szCs w:val="24"/>
        </w:rPr>
      </w:pPr>
      <w:bookmarkStart w:id="1" w:name="_Toc169279164"/>
      <w:r w:rsidRPr="005D0244">
        <w:rPr>
          <w:rFonts w:ascii="Times New Roman" w:hAnsi="Times New Roman" w:cs="Times New Roman"/>
          <w:b/>
          <w:bCs/>
          <w:color w:val="000000"/>
          <w:sz w:val="24"/>
          <w:szCs w:val="24"/>
        </w:rPr>
        <w:t>The Myth of the Humorless Indian</w:t>
      </w:r>
      <w:bookmarkEnd w:id="1"/>
    </w:p>
    <w:p w14:paraId="0BA0F75D" w14:textId="77777777" w:rsidR="00287C65" w:rsidRPr="00287C65" w:rsidRDefault="00287C65" w:rsidP="00287C65">
      <w:pPr>
        <w:pStyle w:val="NormalWeb"/>
        <w:spacing w:before="0" w:beforeAutospacing="0" w:after="0" w:afterAutospacing="0" w:line="480" w:lineRule="auto"/>
      </w:pPr>
      <w:r w:rsidRPr="00287C65">
        <w:rPr>
          <w:rStyle w:val="apple-tab-span"/>
          <w:rFonts w:eastAsiaTheme="majorEastAsia"/>
          <w:color w:val="000000"/>
        </w:rPr>
        <w:tab/>
      </w:r>
      <w:r w:rsidRPr="00287C65">
        <w:rPr>
          <w:color w:val="000000"/>
        </w:rPr>
        <w:t xml:space="preserve">Humor has always been an important part of Indigenous society and culture. Standing Rock Sioux writer and activist Vine Deloria, Jr. explains that for centuries prior to European arrival Native peoples used teasing and lighthearted ridicule to regulate acceptable behavior in social groups. “Rather than embarrass members of the tribe </w:t>
      </w:r>
      <w:r w:rsidRPr="00287C65">
        <w:rPr>
          <w:color w:val="000000"/>
        </w:rPr>
        <w:lastRenderedPageBreak/>
        <w:t xml:space="preserve">publicly,” Deloria writes, “people used to tease individuals they considered out of step with the consensus of tribal opinion” (149). Eventually, Deloria adds, such mockery became integrated into intratribal political discourse as people “began to tease themselves as a means of showing humility and at the same time advocating a course of action they deeply believed in” (149). Long before Native writers adapted it as a means to resist white supremacy, humor thus performed political work for Indigenous people. Additionally, as many non-Native anthropologists demonstrate, humor played a role in Indigenous ceremonial life as well. Julian H. Steward’s 1929 dissertation “The Ceremonial Buffoon of the American Indian” examines the many examples of ritualized clowning exhibited in the religious ceremonies of several Native tribes, such as the Hopi kachina and the </w:t>
      </w:r>
      <w:proofErr w:type="spellStart"/>
      <w:r w:rsidRPr="00287C65">
        <w:rPr>
          <w:color w:val="000000"/>
        </w:rPr>
        <w:t>heyoka</w:t>
      </w:r>
      <w:proofErr w:type="spellEnd"/>
      <w:r w:rsidRPr="00287C65">
        <w:rPr>
          <w:color w:val="000000"/>
        </w:rPr>
        <w:t xml:space="preserve"> of Lakota and Dakota tradition. Likewise, W. W. Hill’s </w:t>
      </w:r>
      <w:r w:rsidRPr="00287C65">
        <w:rPr>
          <w:i/>
          <w:iCs/>
          <w:color w:val="000000"/>
        </w:rPr>
        <w:t xml:space="preserve">Navaho </w:t>
      </w:r>
      <w:proofErr w:type="spellStart"/>
      <w:r w:rsidRPr="00287C65">
        <w:rPr>
          <w:i/>
          <w:iCs/>
          <w:color w:val="000000"/>
        </w:rPr>
        <w:t>Humour</w:t>
      </w:r>
      <w:proofErr w:type="spellEnd"/>
      <w:r w:rsidRPr="00287C65">
        <w:rPr>
          <w:i/>
          <w:iCs/>
          <w:color w:val="000000"/>
        </w:rPr>
        <w:t xml:space="preserve"> </w:t>
      </w:r>
      <w:r w:rsidRPr="00287C65">
        <w:rPr>
          <w:color w:val="000000"/>
        </w:rPr>
        <w:t>(1940) attests to the variegated role humor plays in Navajo culture. In these studies, both writers confirm the fictionality of the humorless Indian, or what Deloria calls “the grunting granite-faced redskin…[of] American mythology” (148). </w:t>
      </w:r>
    </w:p>
    <w:p w14:paraId="393E72A5" w14:textId="77777777" w:rsidR="00287C65" w:rsidRPr="00287C65" w:rsidRDefault="00287C65" w:rsidP="00287C65">
      <w:pPr>
        <w:pStyle w:val="NormalWeb"/>
        <w:spacing w:before="0" w:beforeAutospacing="0" w:after="0" w:afterAutospacing="0" w:line="480" w:lineRule="auto"/>
      </w:pPr>
      <w:r w:rsidRPr="00287C65">
        <w:rPr>
          <w:rStyle w:val="apple-tab-span"/>
          <w:rFonts w:eastAsiaTheme="majorEastAsia"/>
          <w:color w:val="000000"/>
        </w:rPr>
        <w:tab/>
      </w:r>
      <w:r w:rsidRPr="00287C65">
        <w:rPr>
          <w:color w:val="000000"/>
        </w:rPr>
        <w:t>Where does this figure come from? The myth of the humorless Indian can be traced to a theory of sociocultural evolution based on the concept of “progress” from the state of savagery to that of civilization which became popularized in the Age of Enlightenment. As Ter Ellingson summarizes it, this theory posited that human society developed on a gradual scale from savagery to civilization “</w:t>
      </w:r>
      <w:r w:rsidRPr="00287C65">
        <w:rPr>
          <w:color w:val="000000"/>
          <w:shd w:val="clear" w:color="auto" w:fill="FFFFFF"/>
        </w:rPr>
        <w:t xml:space="preserve">with its evolutionary stages grounded in patterns of subsistence: hunting as the basis of ‘savage’ life, progressing upward into ‘barbarism’ with the formation of pastoralist animal-herding societies, and </w:t>
      </w:r>
      <w:r w:rsidRPr="00287C65">
        <w:rPr>
          <w:color w:val="000000"/>
          <w:shd w:val="clear" w:color="auto" w:fill="FFFFFF"/>
        </w:rPr>
        <w:lastRenderedPageBreak/>
        <w:t>advancing toward civilization with the emergence of societies based on agriculture and ‘commerce’” (159). The four-stage theory was particularly influential to the thinkers of the Scottish Enlightenment, especially Adam Smith “its most prominent propagator” (</w:t>
      </w:r>
      <w:proofErr w:type="spellStart"/>
      <w:r w:rsidRPr="00287C65">
        <w:rPr>
          <w:color w:val="000000"/>
          <w:shd w:val="clear" w:color="auto" w:fill="FFFFFF"/>
        </w:rPr>
        <w:t>Wolloch</w:t>
      </w:r>
      <w:proofErr w:type="spellEnd"/>
      <w:r w:rsidRPr="00287C65">
        <w:rPr>
          <w:color w:val="000000"/>
          <w:shd w:val="clear" w:color="auto" w:fill="FFFFFF"/>
        </w:rPr>
        <w:t xml:space="preserve"> 253). In his writing, Smith strove to make the generalized theory historically specific in his attention to how different people’s lifeways and the environments in which they lived influenced their different courses of social development. For instance, in his </w:t>
      </w:r>
      <w:r w:rsidRPr="00287C65">
        <w:rPr>
          <w:i/>
          <w:iCs/>
          <w:color w:val="000000"/>
          <w:shd w:val="clear" w:color="auto" w:fill="FFFFFF"/>
        </w:rPr>
        <w:t xml:space="preserve">Lectures on Jurisprudence </w:t>
      </w:r>
      <w:r w:rsidRPr="00287C65">
        <w:rPr>
          <w:color w:val="000000"/>
          <w:shd w:val="clear" w:color="auto" w:fill="FFFFFF"/>
        </w:rPr>
        <w:t xml:space="preserve">(1763), Smith argues that in order for a people to make “improvement in the arts of life…The soil must be </w:t>
      </w:r>
      <w:proofErr w:type="spellStart"/>
      <w:r w:rsidRPr="00287C65">
        <w:rPr>
          <w:color w:val="000000"/>
          <w:shd w:val="clear" w:color="auto" w:fill="FFFFFF"/>
        </w:rPr>
        <w:t>improveable</w:t>
      </w:r>
      <w:proofErr w:type="spellEnd"/>
      <w:r w:rsidRPr="00287C65">
        <w:rPr>
          <w:color w:val="000000"/>
          <w:shd w:val="clear" w:color="auto" w:fill="FFFFFF"/>
        </w:rPr>
        <w:t xml:space="preserve">, otherwise there can be nothing from whence they might draw that which they should work up and improve. That must be the foundation of their </w:t>
      </w:r>
      <w:proofErr w:type="spellStart"/>
      <w:r w:rsidRPr="00287C65">
        <w:rPr>
          <w:color w:val="000000"/>
          <w:shd w:val="clear" w:color="auto" w:fill="FFFFFF"/>
        </w:rPr>
        <w:t>labour</w:t>
      </w:r>
      <w:proofErr w:type="spellEnd"/>
      <w:r w:rsidRPr="00287C65">
        <w:rPr>
          <w:color w:val="000000"/>
          <w:shd w:val="clear" w:color="auto" w:fill="FFFFFF"/>
        </w:rPr>
        <w:t xml:space="preserve"> and industry.” (223) A similar environmental determinism can be seen in other Enlightenment thinkers’ use of the four-stage theory, such as Cornelius de Pauw, Adam Ferguson, William Robertson, the Comte de Buffon, and Thomas Jefferson. </w:t>
      </w:r>
    </w:p>
    <w:p w14:paraId="2BC0EA57" w14:textId="77777777" w:rsidR="00287C65" w:rsidRPr="00287C65" w:rsidRDefault="00287C65" w:rsidP="00287C65">
      <w:pPr>
        <w:pStyle w:val="NormalWeb"/>
        <w:spacing w:before="0" w:beforeAutospacing="0" w:after="0" w:afterAutospacing="0" w:line="480" w:lineRule="auto"/>
        <w:ind w:firstLine="720"/>
      </w:pPr>
      <w:r w:rsidRPr="00287C65">
        <w:rPr>
          <w:color w:val="000000"/>
          <w:shd w:val="clear" w:color="auto" w:fill="FFFFFF"/>
        </w:rPr>
        <w:t xml:space="preserve">In the four-stage theory, climate not only determined the development of societies but also the characters of the individuals within them. More accurately, the exigencies of subsistence were thought to shape societies in ways that necessarily encouraged or thwarted certain virtues and vices. For instance, in his enormously popular </w:t>
      </w:r>
      <w:r w:rsidRPr="00287C65">
        <w:rPr>
          <w:i/>
          <w:iCs/>
          <w:color w:val="000000"/>
          <w:shd w:val="clear" w:color="auto" w:fill="FFFFFF"/>
        </w:rPr>
        <w:t xml:space="preserve">History of America </w:t>
      </w:r>
      <w:r w:rsidRPr="00287C65">
        <w:rPr>
          <w:color w:val="000000"/>
          <w:shd w:val="clear" w:color="auto" w:fill="FFFFFF"/>
        </w:rPr>
        <w:t xml:space="preserve">(1777) the Scottish Enlightenment thinker William Robertson uses the four-stage theory to </w:t>
      </w:r>
      <w:r w:rsidRPr="00287C65">
        <w:rPr>
          <w:color w:val="000000"/>
        </w:rPr>
        <w:t xml:space="preserve">examine the effect of the American climate on what he presents as “the American”—that is, Native—character. Among the characteristics Robertson attributes to Indigenous Americans are a low degree of affection between individuals, hardness of </w:t>
      </w:r>
      <w:r w:rsidRPr="00287C65">
        <w:rPr>
          <w:color w:val="000000"/>
        </w:rPr>
        <w:lastRenderedPageBreak/>
        <w:t xml:space="preserve">heart, insensibility, and taciturnity (437-8). Robertson argues that what he sees as the lack of sociality among Indigenous peoples comes as a consequence of their environment. As Roy Harvey Pearce explains, Robertson’s portrait of “the Indian as a cold, disaffected individual is, of course, the product of a rude social state necessitated by the exigencies of crude, isolated living. He must live in a small roaming group and survive by hunting; </w:t>
      </w:r>
      <w:proofErr w:type="gramStart"/>
      <w:r w:rsidRPr="00287C65">
        <w:rPr>
          <w:color w:val="000000"/>
        </w:rPr>
        <w:t>so</w:t>
      </w:r>
      <w:proofErr w:type="gramEnd"/>
      <w:r w:rsidRPr="00287C65">
        <w:rPr>
          <w:color w:val="000000"/>
        </w:rPr>
        <w:t xml:space="preserve"> he has little or no sense of property or wealth, little notion of government and civil organization, but has a ‘high sense of equality and independence’” (Pearce 87). Like so many other non-Native representations of Indigenous peoples, Robertson’s Indians are clearly colonial constructions, designed to enforce a sense of white cultural superiority. Robertson himself never met any Indigenous people and relied on eighteenth-century and earlier travel accounts and their proto-ethnographic renderings of Native life, to furnish his account of Indigenous insensibility. His </w:t>
      </w:r>
      <w:proofErr w:type="gramStart"/>
      <w:r w:rsidRPr="00287C65">
        <w:rPr>
          <w:i/>
          <w:iCs/>
          <w:color w:val="000000"/>
        </w:rPr>
        <w:t>History</w:t>
      </w:r>
      <w:proofErr w:type="gramEnd"/>
      <w:r w:rsidRPr="00287C65">
        <w:rPr>
          <w:i/>
          <w:iCs/>
          <w:color w:val="000000"/>
        </w:rPr>
        <w:t xml:space="preserve"> </w:t>
      </w:r>
      <w:r w:rsidRPr="00287C65">
        <w:rPr>
          <w:color w:val="000000"/>
        </w:rPr>
        <w:t>is full of judgmental comparisons that reflect his ideological commitments: “His attention to others is small. The range of his own ideas is narrow. Hence that taciturnity which is so disgusting to men accustomed to the open intercourse of social conversation” (439). </w:t>
      </w:r>
    </w:p>
    <w:p w14:paraId="22EAC4DA" w14:textId="77777777" w:rsidR="00287C65" w:rsidRPr="00287C65" w:rsidRDefault="00287C65" w:rsidP="00287C65">
      <w:pPr>
        <w:pStyle w:val="NormalWeb"/>
        <w:spacing w:before="0" w:beforeAutospacing="0" w:after="0" w:afterAutospacing="0" w:line="480" w:lineRule="auto"/>
        <w:ind w:firstLine="720"/>
      </w:pPr>
      <w:r w:rsidRPr="00287C65">
        <w:rPr>
          <w:color w:val="000000"/>
        </w:rPr>
        <w:t xml:space="preserve">Robertson’s Indians are not just pre-social, they are anti-social, and here we have one possible origin for the trope of the humorless Indian; for Robertson’s </w:t>
      </w:r>
      <w:r w:rsidRPr="00287C65">
        <w:rPr>
          <w:i/>
          <w:iCs/>
          <w:color w:val="000000"/>
        </w:rPr>
        <w:t xml:space="preserve">History </w:t>
      </w:r>
      <w:r w:rsidRPr="00287C65">
        <w:rPr>
          <w:color w:val="000000"/>
        </w:rPr>
        <w:t xml:space="preserve">is not only informed by stadial conceptions of history, but also eighteenth-century moral philosophy. In particular, </w:t>
      </w:r>
      <w:proofErr w:type="gramStart"/>
      <w:r w:rsidRPr="00287C65">
        <w:rPr>
          <w:color w:val="000000"/>
        </w:rPr>
        <w:t xml:space="preserve">the </w:t>
      </w:r>
      <w:r w:rsidRPr="00287C65">
        <w:rPr>
          <w:i/>
          <w:iCs/>
          <w:color w:val="000000"/>
        </w:rPr>
        <w:t>History</w:t>
      </w:r>
      <w:proofErr w:type="gramEnd"/>
      <w:r w:rsidRPr="00287C65">
        <w:rPr>
          <w:i/>
          <w:iCs/>
          <w:color w:val="000000"/>
        </w:rPr>
        <w:t xml:space="preserve"> </w:t>
      </w:r>
      <w:r w:rsidRPr="00287C65">
        <w:rPr>
          <w:color w:val="000000"/>
        </w:rPr>
        <w:t xml:space="preserve">makes use of Francis Hutcheson’s sentimentalist philosophy. Hutcheson proposes that all humans possess a range of innate “internal” senses—far more than the five “external” ones—including senses of Beauty, Harmony, </w:t>
      </w:r>
      <w:r w:rsidRPr="00287C65">
        <w:rPr>
          <w:color w:val="000000"/>
        </w:rPr>
        <w:lastRenderedPageBreak/>
        <w:t>the “</w:t>
      </w:r>
      <w:proofErr w:type="spellStart"/>
      <w:r w:rsidRPr="00287C65">
        <w:rPr>
          <w:color w:val="000000"/>
        </w:rPr>
        <w:t>Publick</w:t>
      </w:r>
      <w:proofErr w:type="spellEnd"/>
      <w:r w:rsidRPr="00287C65">
        <w:rPr>
          <w:color w:val="000000"/>
        </w:rPr>
        <w:t xml:space="preserve"> Sense,” and the “Sense of </w:t>
      </w:r>
      <w:proofErr w:type="spellStart"/>
      <w:r w:rsidRPr="00287C65">
        <w:rPr>
          <w:color w:val="000000"/>
        </w:rPr>
        <w:t>Honour</w:t>
      </w:r>
      <w:proofErr w:type="spellEnd"/>
      <w:r w:rsidRPr="00287C65">
        <w:rPr>
          <w:color w:val="000000"/>
        </w:rPr>
        <w:t xml:space="preserve">” (Dorsey). </w:t>
      </w:r>
      <w:r w:rsidRPr="00287C65">
        <w:rPr>
          <w:color w:val="1A1A1A"/>
          <w:shd w:val="clear" w:color="auto" w:fill="FFFFFF"/>
        </w:rPr>
        <w:t xml:space="preserve">As these senses receive sensations, they generate desires or aversions in the mind in relation to the amount of pleasure or pain caused by the objects or events they perceive. Then, in turn, through the application of Reason and reflection these desires and aversions give rise to “affections” or “passions,” excitements to action. </w:t>
      </w:r>
      <w:r w:rsidRPr="00287C65">
        <w:rPr>
          <w:color w:val="000000"/>
        </w:rPr>
        <w:t>Importantly, humans also possess a moral sense, paramount among the internal senses, that enables them to discern different social actors’ motivations for actions, whether they seem to be driven by benevolence or self-love. In Hutcheson’s philosophy, benevolence is the desire to increase another person’s happiness and self-love is the desire to merely increase one’s own happiness, perhaps at another’s expense. As Hutcheson explains, the “contemplation” of actions motivated by benevolence–that is, calculated to increase the happiness of another—elicits a feeling of approbation in the spectator, what Hutcheon calls “love [for] the Agent”:  “</w:t>
      </w:r>
      <w:r w:rsidRPr="00287C65">
        <w:rPr>
          <w:color w:val="1A1A1A"/>
          <w:shd w:val="clear" w:color="auto" w:fill="FFFFFF"/>
        </w:rPr>
        <w:t>[S]</w:t>
      </w:r>
      <w:proofErr w:type="spellStart"/>
      <w:r w:rsidRPr="00287C65">
        <w:rPr>
          <w:color w:val="1A1A1A"/>
          <w:shd w:val="clear" w:color="auto" w:fill="FFFFFF"/>
        </w:rPr>
        <w:t>ome</w:t>
      </w:r>
      <w:proofErr w:type="spellEnd"/>
      <w:r w:rsidRPr="00287C65">
        <w:rPr>
          <w:color w:val="1A1A1A"/>
          <w:shd w:val="clear" w:color="auto" w:fill="FFFFFF"/>
        </w:rPr>
        <w:t xml:space="preserve"> Actions have to Men an immediate Goodness; …by a superior Sense, which I call a Moral one, we perceive pleasure in the Contemplation of such Actions in others, and are </w:t>
      </w:r>
      <w:proofErr w:type="spellStart"/>
      <w:r w:rsidRPr="00287C65">
        <w:rPr>
          <w:color w:val="1A1A1A"/>
          <w:shd w:val="clear" w:color="auto" w:fill="FFFFFF"/>
        </w:rPr>
        <w:t>determin’d</w:t>
      </w:r>
      <w:proofErr w:type="spellEnd"/>
      <w:r w:rsidRPr="00287C65">
        <w:rPr>
          <w:color w:val="1A1A1A"/>
          <w:shd w:val="clear" w:color="auto" w:fill="FFFFFF"/>
        </w:rPr>
        <w:t xml:space="preserve"> to love the Agent, (and much more do we perceive Pleasure in being conscious of having done such Actions </w:t>
      </w:r>
      <w:proofErr w:type="spellStart"/>
      <w:r w:rsidRPr="00287C65">
        <w:rPr>
          <w:color w:val="1A1A1A"/>
          <w:shd w:val="clear" w:color="auto" w:fill="FFFFFF"/>
        </w:rPr>
        <w:t>our selves</w:t>
      </w:r>
      <w:proofErr w:type="spellEnd"/>
      <w:r w:rsidRPr="00287C65">
        <w:rPr>
          <w:color w:val="1A1A1A"/>
          <w:shd w:val="clear" w:color="auto" w:fill="FFFFFF"/>
        </w:rPr>
        <w:t>) without any View of further natural Advantage from them” (qtd. in Dorsey). Having determined that an action is benevolent, the spectator’s moral sense judges it and the agent to be virtuous. Because Hutcheson held human nature to be essentially benevolent, one’s approbation of another human’s benevolence towards another generates pleasure in the spectator, increasing one’s ultimate happiness. </w:t>
      </w:r>
    </w:p>
    <w:p w14:paraId="238EB058" w14:textId="77777777" w:rsidR="00287C65" w:rsidRPr="00287C65" w:rsidRDefault="00287C65" w:rsidP="00287C65">
      <w:pPr>
        <w:pStyle w:val="NormalWeb"/>
        <w:spacing w:before="0" w:beforeAutospacing="0" w:after="0" w:afterAutospacing="0" w:line="480" w:lineRule="auto"/>
        <w:ind w:firstLine="720"/>
      </w:pPr>
      <w:r w:rsidRPr="00287C65">
        <w:rPr>
          <w:color w:val="1A1A1A"/>
          <w:shd w:val="clear" w:color="auto" w:fill="FFFFFF"/>
        </w:rPr>
        <w:lastRenderedPageBreak/>
        <w:t xml:space="preserve">Importantly for Hutcheson, the pleasure gained from approbation did not only increase one’s individual </w:t>
      </w:r>
      <w:proofErr w:type="gramStart"/>
      <w:r w:rsidRPr="00287C65">
        <w:rPr>
          <w:color w:val="1A1A1A"/>
          <w:shd w:val="clear" w:color="auto" w:fill="FFFFFF"/>
        </w:rPr>
        <w:t>happiness, but</w:t>
      </w:r>
      <w:proofErr w:type="gramEnd"/>
      <w:r w:rsidRPr="00287C65">
        <w:rPr>
          <w:color w:val="1A1A1A"/>
          <w:shd w:val="clear" w:color="auto" w:fill="FFFFFF"/>
        </w:rPr>
        <w:t xml:space="preserve"> tended to raise the happiness of the whole society. His moral philosophy is finally a social theory of how humans work toward the general good of the whole. Though Hutcheson believes with other eighteenth-century natural law philosophers that human beings in a state of nature possess natural freedom and liberty, he argues that humans are nevertheless inherently social beings “fitted by nature for civil polity” (qtd. in Webster 68). He describes the “Contagion of </w:t>
      </w:r>
      <w:r w:rsidRPr="00287C65">
        <w:rPr>
          <w:i/>
          <w:iCs/>
          <w:color w:val="1A1A1A"/>
          <w:shd w:val="clear" w:color="auto" w:fill="FFFFFF"/>
        </w:rPr>
        <w:t xml:space="preserve">social </w:t>
      </w:r>
      <w:r w:rsidRPr="00287C65">
        <w:rPr>
          <w:color w:val="1A1A1A"/>
          <w:shd w:val="clear" w:color="auto" w:fill="FFFFFF"/>
        </w:rPr>
        <w:t>affections” in society, the propensity of benevolent feeling to spread naturally between people in social situations such as public worship: “gratitude, love and esteem, are affections which decline concealment when they are lively; . . . our worshiping in society, our recounting thankfully God’s benefits, our explaining his nature and perfections, our expressing our admiration, esteem, gratitude, and love, presents to the minds of others the proper motives of like affections; and by a contagion, observable in all our passions, naturally tends to raise them in others” (qtd. in Grenda 594). Hutcheson explains that the witnessing of virtue actions between people “naturally” inspires like action in the spectator which, in turn, inspires further spectators and so on, spreading virulently through society. </w:t>
      </w:r>
    </w:p>
    <w:p w14:paraId="340FEEF2" w14:textId="77777777" w:rsidR="00287C65" w:rsidRPr="00287C65" w:rsidRDefault="00287C65" w:rsidP="00287C65">
      <w:pPr>
        <w:pStyle w:val="NormalWeb"/>
        <w:spacing w:before="0" w:beforeAutospacing="0" w:after="0" w:afterAutospacing="0" w:line="480" w:lineRule="auto"/>
      </w:pPr>
      <w:r w:rsidRPr="00287C65">
        <w:rPr>
          <w:rStyle w:val="apple-tab-span"/>
          <w:rFonts w:eastAsiaTheme="majorEastAsia"/>
          <w:color w:val="1A1A1A"/>
          <w:shd w:val="clear" w:color="auto" w:fill="FFFFFF"/>
        </w:rPr>
        <w:tab/>
      </w:r>
      <w:r w:rsidRPr="00287C65">
        <w:rPr>
          <w:color w:val="1A1A1A"/>
          <w:shd w:val="clear" w:color="auto" w:fill="FFFFFF"/>
        </w:rPr>
        <w:t xml:space="preserve">However, though all human beings held a moral sense innately, not all human societies were equally optimized to promote the diffusion of benevolence and proper sentiment. The kind of society mattered. Influenced by climate, age, and other factors, different societies offered people opportunities to “cultivate” or “improve” certain moral </w:t>
      </w:r>
      <w:r w:rsidRPr="00287C65">
        <w:rPr>
          <w:color w:val="1A1A1A"/>
          <w:shd w:val="clear" w:color="auto" w:fill="FFFFFF"/>
        </w:rPr>
        <w:lastRenderedPageBreak/>
        <w:t xml:space="preserve">characteristics resulting, for many Scottish Enlightenment thinkers, in the diversity of manners among the various nations of the world. For instance, in the </w:t>
      </w:r>
      <w:r w:rsidRPr="00287C65">
        <w:rPr>
          <w:i/>
          <w:iCs/>
          <w:color w:val="1A1A1A"/>
          <w:shd w:val="clear" w:color="auto" w:fill="FFFFFF"/>
        </w:rPr>
        <w:t xml:space="preserve">Theory of Moral Sentiments </w:t>
      </w:r>
      <w:r w:rsidRPr="00287C65">
        <w:rPr>
          <w:color w:val="1A1A1A"/>
          <w:shd w:val="clear" w:color="auto" w:fill="FFFFFF"/>
        </w:rPr>
        <w:t>(1759) Adam Smith, Hutcheson’s pupil at the University of Glasgow, explains that: </w:t>
      </w:r>
    </w:p>
    <w:p w14:paraId="624E7E9F" w14:textId="77777777" w:rsidR="00287C65" w:rsidRPr="00287C65" w:rsidRDefault="00287C65" w:rsidP="00287C65">
      <w:pPr>
        <w:pStyle w:val="NormalWeb"/>
        <w:spacing w:before="0" w:beforeAutospacing="0" w:after="0" w:afterAutospacing="0" w:line="480" w:lineRule="auto"/>
        <w:ind w:left="720"/>
      </w:pPr>
      <w:r w:rsidRPr="00287C65">
        <w:rPr>
          <w:color w:val="1A1A1A"/>
          <w:shd w:val="clear" w:color="auto" w:fill="FFFFFF"/>
        </w:rPr>
        <w:t xml:space="preserve">The general security and happiness which prevail in ages of civility and politeness, afford little exercise to the contempt of danger, to patience in enduring labor, hunger, and pain. Poverty may be easily avoided, and the contempt of it, therefore, almost ceases to be a virtue. </w:t>
      </w:r>
      <w:proofErr w:type="gramStart"/>
      <w:r w:rsidRPr="00287C65">
        <w:rPr>
          <w:color w:val="1A1A1A"/>
          <w:shd w:val="clear" w:color="auto" w:fill="FFFFFF"/>
        </w:rPr>
        <w:t>The abstinence</w:t>
      </w:r>
      <w:proofErr w:type="gramEnd"/>
      <w:r w:rsidRPr="00287C65">
        <w:rPr>
          <w:color w:val="1A1A1A"/>
          <w:shd w:val="clear" w:color="auto" w:fill="FFFFFF"/>
        </w:rPr>
        <w:t xml:space="preserve"> from pleasure becomes less necessary, and the mind is more at liberty to unbend itself. (297) </w:t>
      </w:r>
    </w:p>
    <w:p w14:paraId="785C8940" w14:textId="77777777" w:rsidR="00287C65" w:rsidRPr="00287C65" w:rsidRDefault="00287C65" w:rsidP="00287C65">
      <w:pPr>
        <w:pStyle w:val="NormalWeb"/>
        <w:spacing w:before="0" w:beforeAutospacing="0" w:after="0" w:afterAutospacing="0" w:line="480" w:lineRule="auto"/>
      </w:pPr>
      <w:r w:rsidRPr="00287C65">
        <w:rPr>
          <w:color w:val="1A1A1A"/>
          <w:shd w:val="clear" w:color="auto" w:fill="FFFFFF"/>
        </w:rPr>
        <w:t xml:space="preserve">That is, because people living within sufficiently sophisticated “civil” societies do not regularly experience danger or find themselves having to toil to provide the daily means of their subsistence, Smith says, they then do not regard those actions, when they perceive them, to be virtuous. Conversely, Smith writes, people in less-advanced societies—according to the progressivist history to which he subscribed—are “in continual danger…exposed to the greatest extremities of hunger, and frequently [die] of pure want” (297). The moral effect of these privations is a general lack of what Smith calls sympathy, similar to Hutcheson’s generally contagious sociability: “His circumstances not only habituate him to every sort of </w:t>
      </w:r>
      <w:proofErr w:type="gramStart"/>
      <w:r w:rsidRPr="00287C65">
        <w:rPr>
          <w:color w:val="1A1A1A"/>
          <w:shd w:val="clear" w:color="auto" w:fill="FFFFFF"/>
        </w:rPr>
        <w:t>distress, but</w:t>
      </w:r>
      <w:proofErr w:type="gramEnd"/>
      <w:r w:rsidRPr="00287C65">
        <w:rPr>
          <w:color w:val="1A1A1A"/>
          <w:shd w:val="clear" w:color="auto" w:fill="FFFFFF"/>
        </w:rPr>
        <w:t xml:space="preserve"> teach him to give way to none of the passions which that distress is apt to excite. He can expect from his countrymen no sympathy or indulgence for such weakness” (297). Turning specifically to the “savages in North America,” </w:t>
      </w:r>
    </w:p>
    <w:p w14:paraId="110A673F" w14:textId="77777777" w:rsidR="00287C65" w:rsidRDefault="00287C65" w:rsidP="00287C65">
      <w:pPr>
        <w:pStyle w:val="NormalWeb"/>
        <w:spacing w:before="0" w:beforeAutospacing="0" w:after="0" w:afterAutospacing="0"/>
        <w:ind w:firstLine="720"/>
      </w:pPr>
      <w:r>
        <w:rPr>
          <w:color w:val="000000"/>
        </w:rPr>
        <w:lastRenderedPageBreak/>
        <w:t> </w:t>
      </w:r>
    </w:p>
    <w:p w14:paraId="57278D43" w14:textId="77777777" w:rsidR="00287C65" w:rsidRDefault="00287C65" w:rsidP="00287C65">
      <w:pPr>
        <w:pStyle w:val="NormalWeb"/>
        <w:spacing w:before="0" w:beforeAutospacing="0" w:after="0" w:afterAutospacing="0"/>
        <w:ind w:firstLine="720"/>
      </w:pPr>
      <w:r>
        <w:rPr>
          <w:color w:val="000000"/>
        </w:rPr>
        <w:t xml:space="preserve">The catalog of vices that Robertson finds in Indigenous people—hardness of heart, insensibility, etc.—developed </w:t>
      </w:r>
    </w:p>
    <w:p w14:paraId="47056F7A" w14:textId="77777777" w:rsidR="00F17833" w:rsidRDefault="00F17833" w:rsidP="003425DF">
      <w:pPr>
        <w:pStyle w:val="NormalWeb"/>
        <w:spacing w:before="0" w:beforeAutospacing="0" w:after="0" w:afterAutospacing="0" w:line="480" w:lineRule="auto"/>
      </w:pPr>
    </w:p>
    <w:p w14:paraId="73060EEC" w14:textId="6BDFF71B" w:rsidR="0030410F" w:rsidRDefault="0030410F" w:rsidP="0030410F">
      <w:pPr>
        <w:pStyle w:val="NormalWeb"/>
        <w:spacing w:before="0" w:beforeAutospacing="0" w:after="0" w:afterAutospacing="0" w:line="480" w:lineRule="auto"/>
      </w:pPr>
    </w:p>
    <w:p w14:paraId="58E185FD" w14:textId="4A7768FF" w:rsidR="003425DF" w:rsidRDefault="003425DF" w:rsidP="003425DF">
      <w:pPr>
        <w:pStyle w:val="NormalWeb"/>
        <w:spacing w:before="0" w:beforeAutospacing="0" w:after="0" w:afterAutospacing="0" w:line="480" w:lineRule="auto"/>
        <w:ind w:firstLine="720"/>
      </w:pPr>
    </w:p>
    <w:p w14:paraId="5EDE22C2" w14:textId="77777777" w:rsidR="003425DF" w:rsidRDefault="003425DF" w:rsidP="003425DF"/>
    <w:p w14:paraId="36261142" w14:textId="77777777" w:rsidR="00274B3F" w:rsidRDefault="00274B3F">
      <w:pPr>
        <w:spacing w:after="160" w:line="259" w:lineRule="auto"/>
        <w:rPr>
          <w:rFonts w:ascii="Times New Roman" w:hAnsi="Times New Roman" w:cs="Times New Roman"/>
          <w:b/>
        </w:rPr>
      </w:pPr>
      <w:r>
        <w:rPr>
          <w:rFonts w:ascii="Times New Roman" w:hAnsi="Times New Roman" w:cs="Times New Roman"/>
          <w:b/>
        </w:rPr>
        <w:br w:type="page"/>
      </w:r>
    </w:p>
    <w:p w14:paraId="1C9216EB" w14:textId="15DDA4C4" w:rsidR="00274B3F" w:rsidRPr="008752E7" w:rsidRDefault="00274B3F" w:rsidP="008752E7">
      <w:pPr>
        <w:pStyle w:val="Heading1"/>
        <w:spacing w:line="480" w:lineRule="auto"/>
        <w:jc w:val="center"/>
        <w:rPr>
          <w:rFonts w:ascii="Times New Roman" w:hAnsi="Times New Roman" w:cs="Times New Roman"/>
          <w:b/>
          <w:bCs/>
          <w:color w:val="auto"/>
          <w:sz w:val="24"/>
          <w:szCs w:val="24"/>
        </w:rPr>
      </w:pPr>
      <w:bookmarkStart w:id="2" w:name="_Toc169279165"/>
      <w:r w:rsidRPr="008752E7">
        <w:rPr>
          <w:rFonts w:ascii="Times New Roman" w:hAnsi="Times New Roman" w:cs="Times New Roman"/>
          <w:b/>
          <w:bCs/>
          <w:color w:val="auto"/>
          <w:sz w:val="24"/>
          <w:szCs w:val="24"/>
        </w:rPr>
        <w:lastRenderedPageBreak/>
        <w:t xml:space="preserve">CHAPTER </w:t>
      </w:r>
      <w:r w:rsidR="00287C65">
        <w:rPr>
          <w:rFonts w:ascii="Times New Roman" w:hAnsi="Times New Roman" w:cs="Times New Roman"/>
          <w:b/>
          <w:bCs/>
          <w:color w:val="auto"/>
          <w:sz w:val="24"/>
          <w:szCs w:val="24"/>
        </w:rPr>
        <w:t>1</w:t>
      </w:r>
      <w:r w:rsidR="008752E7" w:rsidRPr="008752E7">
        <w:rPr>
          <w:rFonts w:ascii="Times New Roman" w:hAnsi="Times New Roman" w:cs="Times New Roman"/>
          <w:b/>
          <w:bCs/>
          <w:color w:val="auto"/>
          <w:sz w:val="24"/>
          <w:szCs w:val="24"/>
        </w:rPr>
        <w:br/>
        <w:t xml:space="preserve"> </w:t>
      </w:r>
      <w:r w:rsidRPr="008752E7">
        <w:rPr>
          <w:rFonts w:ascii="Times New Roman" w:hAnsi="Times New Roman"/>
          <w:b/>
          <w:bCs/>
          <w:color w:val="auto"/>
          <w:sz w:val="24"/>
          <w:szCs w:val="24"/>
        </w:rPr>
        <w:t>TRAITS OF COLONIZER CHARACTER:</w:t>
      </w:r>
      <w:r w:rsidR="008752E7" w:rsidRPr="008752E7">
        <w:rPr>
          <w:rFonts w:ascii="Times New Roman" w:hAnsi="Times New Roman"/>
          <w:b/>
          <w:bCs/>
          <w:color w:val="auto"/>
          <w:sz w:val="24"/>
          <w:szCs w:val="24"/>
        </w:rPr>
        <w:t xml:space="preserve"> </w:t>
      </w:r>
      <w:r w:rsidRPr="008752E7">
        <w:rPr>
          <w:rFonts w:ascii="Times New Roman" w:hAnsi="Times New Roman"/>
          <w:b/>
          <w:bCs/>
          <w:color w:val="auto"/>
          <w:sz w:val="24"/>
          <w:szCs w:val="24"/>
        </w:rPr>
        <w:t>WILLIAM APESS, WASHINGTON IRVING, AND “TALKING STUFF”</w:t>
      </w:r>
      <w:r w:rsidR="008752E7" w:rsidRPr="008752E7">
        <w:rPr>
          <w:rFonts w:ascii="Times New Roman" w:hAnsi="Times New Roman"/>
          <w:b/>
          <w:bCs/>
          <w:color w:val="auto"/>
          <w:sz w:val="24"/>
          <w:szCs w:val="24"/>
        </w:rPr>
        <w:t xml:space="preserve"> </w:t>
      </w:r>
      <w:r w:rsidRPr="008752E7">
        <w:rPr>
          <w:rFonts w:ascii="Times New Roman" w:hAnsi="Times New Roman"/>
          <w:b/>
          <w:bCs/>
          <w:color w:val="auto"/>
          <w:sz w:val="24"/>
          <w:szCs w:val="24"/>
        </w:rPr>
        <w:t>AS INDIGENOUS RESISTANCE</w:t>
      </w:r>
      <w:bookmarkStart w:id="3" w:name="_nnujljiju5ih"/>
      <w:bookmarkEnd w:id="2"/>
      <w:bookmarkEnd w:id="3"/>
    </w:p>
    <w:p w14:paraId="2B85EC85" w14:textId="77777777" w:rsidR="00274B3F" w:rsidRPr="008C073E" w:rsidRDefault="00274B3F" w:rsidP="00274B3F">
      <w:pPr>
        <w:pStyle w:val="Body"/>
        <w:spacing w:line="480" w:lineRule="auto"/>
        <w:rPr>
          <w:rFonts w:ascii="Times New Roman" w:eastAsia="Times New Roman" w:hAnsi="Times New Roman" w:cs="Times New Roman"/>
          <w:sz w:val="24"/>
          <w:szCs w:val="24"/>
        </w:rPr>
      </w:pPr>
      <w:r w:rsidRPr="008C073E">
        <w:rPr>
          <w:rFonts w:ascii="Times New Roman" w:eastAsia="Times New Roman" w:hAnsi="Times New Roman" w:cs="Times New Roman"/>
          <w:sz w:val="24"/>
          <w:szCs w:val="24"/>
          <w:lang w:val="pt-PT"/>
        </w:rPr>
        <w:tab/>
        <w:t>William Apess</w:t>
      </w:r>
      <w:r w:rsidRPr="008C073E">
        <w:rPr>
          <w:rFonts w:ascii="Times New Roman" w:hAnsi="Times New Roman"/>
          <w:sz w:val="24"/>
          <w:szCs w:val="24"/>
        </w:rPr>
        <w:t xml:space="preserve">’s 1835 </w:t>
      </w:r>
      <w:proofErr w:type="spellStart"/>
      <w:r w:rsidRPr="008C073E">
        <w:rPr>
          <w:rFonts w:ascii="Times New Roman" w:hAnsi="Times New Roman"/>
          <w:i/>
          <w:iCs/>
          <w:sz w:val="24"/>
          <w:szCs w:val="24"/>
          <w:lang w:val="fr-FR"/>
        </w:rPr>
        <w:t>Indian</w:t>
      </w:r>
      <w:proofErr w:type="spellEnd"/>
      <w:r w:rsidRPr="008C073E">
        <w:rPr>
          <w:rFonts w:ascii="Times New Roman" w:hAnsi="Times New Roman"/>
          <w:i/>
          <w:iCs/>
          <w:sz w:val="24"/>
          <w:szCs w:val="24"/>
          <w:lang w:val="fr-FR"/>
        </w:rPr>
        <w:t xml:space="preserve"> Nullification </w:t>
      </w:r>
      <w:r w:rsidRPr="008C073E">
        <w:rPr>
          <w:rFonts w:ascii="Times New Roman" w:hAnsi="Times New Roman"/>
          <w:sz w:val="24"/>
          <w:szCs w:val="24"/>
        </w:rPr>
        <w:t xml:space="preserve">begins with a hilarious misidentification. </w:t>
      </w:r>
      <w:r w:rsidRPr="008C073E">
        <w:rPr>
          <w:rFonts w:ascii="Times New Roman" w:hAnsi="Times New Roman"/>
          <w:i/>
          <w:iCs/>
          <w:sz w:val="24"/>
          <w:szCs w:val="24"/>
        </w:rPr>
        <w:t xml:space="preserve">Nullification </w:t>
      </w:r>
      <w:r w:rsidRPr="008C073E">
        <w:rPr>
          <w:rFonts w:ascii="Times New Roman" w:hAnsi="Times New Roman"/>
          <w:sz w:val="24"/>
          <w:szCs w:val="24"/>
        </w:rPr>
        <w:t xml:space="preserve">chronicles the Mashpee Wampanoag’s struggle for sovereignty over land rights on their reservation in Mashpee, Massachusetts, from the tribe’s perspective. In the Spring of 1833, Apess arrives on Mashpee Wampanoag lands where the community has invited him to preach in their Meetinghouse. The “Indian Meetinghouse,” as Lisa Brooks reminds us, was one of many buildings scattered throughout the Northeast that formed a web of Native space (166). Mashpee religious leaders and preachers like </w:t>
      </w:r>
      <w:proofErr w:type="spellStart"/>
      <w:r w:rsidRPr="008C073E">
        <w:rPr>
          <w:rFonts w:ascii="Times New Roman" w:hAnsi="Times New Roman"/>
          <w:sz w:val="24"/>
          <w:szCs w:val="24"/>
        </w:rPr>
        <w:t>Popmonit</w:t>
      </w:r>
      <w:proofErr w:type="spellEnd"/>
      <w:r w:rsidRPr="008C073E">
        <w:rPr>
          <w:rFonts w:ascii="Times New Roman" w:hAnsi="Times New Roman"/>
          <w:sz w:val="24"/>
          <w:szCs w:val="24"/>
        </w:rPr>
        <w:t xml:space="preserve"> and Solomon Briant had long “traveled between these meetinghouses, strengthening ties between communities and creating a space for regional identity based on ‘shared language and religious </w:t>
      </w:r>
      <w:r w:rsidRPr="008C073E">
        <w:rPr>
          <w:rFonts w:ascii="Times New Roman" w:hAnsi="Times New Roman"/>
          <w:sz w:val="24"/>
          <w:szCs w:val="24"/>
          <w:lang w:val="it-IT"/>
        </w:rPr>
        <w:t>rituals</w:t>
      </w:r>
      <w:r w:rsidRPr="008C073E">
        <w:rPr>
          <w:rFonts w:ascii="Times New Roman" w:hAnsi="Times New Roman"/>
          <w:sz w:val="24"/>
          <w:szCs w:val="24"/>
        </w:rPr>
        <w:t xml:space="preserve">’” (166-7). When Apess arrived, services at the meetinghouse were led by the Reverend Phineas Fish, the missionary preacher appointed by Harvard University to oversee the Mashpees’ religious instruction. On the morning of his first ministrations to the Mashpee, Apess stands before the meetinghouse, expecting to see the local Natives arriving to the service. However, Apess writes that he was “greatly disappointed in the appearance of those who advanced. All the Indians I had ever seen were of a reddish color, sometimes approaching a yellow, but now, look to what quarter I would, most of those who were coming were pale faces, and, in my disappointment, it seemed to me that the hue of death sat upon their </w:t>
      </w:r>
      <w:r w:rsidRPr="008C073E">
        <w:rPr>
          <w:rFonts w:ascii="Times New Roman" w:hAnsi="Times New Roman"/>
          <w:sz w:val="24"/>
          <w:szCs w:val="24"/>
        </w:rPr>
        <w:lastRenderedPageBreak/>
        <w:t xml:space="preserve">countenances” (170). Discomfited by what he perceives to be sickly pale “Indians” unlike any he has ever seen before, Apess nevertheless proceeds to preach. During the delivery of the psalm, Apess “cast my eyes at the gallery, that I might see how the songsters who were tuning their harps appeared; but, with one exception, paleness was upon all their faces. I must do these </w:t>
      </w:r>
      <w:r w:rsidRPr="008C073E">
        <w:rPr>
          <w:rFonts w:ascii="Times New Roman" w:hAnsi="Times New Roman"/>
          <w:i/>
          <w:iCs/>
          <w:sz w:val="24"/>
          <w:szCs w:val="24"/>
        </w:rPr>
        <w:t>Indians</w:t>
      </w:r>
      <w:r w:rsidRPr="008C073E">
        <w:rPr>
          <w:rFonts w:ascii="Times New Roman" w:hAnsi="Times New Roman"/>
          <w:sz w:val="24"/>
          <w:szCs w:val="24"/>
        </w:rPr>
        <w:t xml:space="preserve"> the justice to say that they performed their parts very well” (171). Apess winkingly stresses “</w:t>
      </w:r>
      <w:r w:rsidRPr="008C073E">
        <w:rPr>
          <w:rFonts w:ascii="Times New Roman" w:hAnsi="Times New Roman"/>
          <w:i/>
          <w:iCs/>
          <w:sz w:val="24"/>
          <w:szCs w:val="24"/>
        </w:rPr>
        <w:t>Indians</w:t>
      </w:r>
      <w:r w:rsidRPr="008C073E">
        <w:rPr>
          <w:rFonts w:ascii="Times New Roman" w:hAnsi="Times New Roman"/>
          <w:sz w:val="24"/>
          <w:szCs w:val="24"/>
        </w:rPr>
        <w:t>,” nudging the reader in the ribs before turning finally to the punchline of the scene: the unnaturally pale Natives were not Mashpees at all, but white residents of the surrounding towns, “pale men [who] were certainly stealing from the Indians their portion in the Gospel, by leaving their own houses of worship and crowding them out of theirs” (171). As the scene resolves, we realize that what Apess has played off so far as his own misperception is actually the sarcastic unfolding of his acute recognition of the injustice going on at Mashpee. Indeed, the initial scene at the Indian Meetinghouse holds within it the whole crisis at Mashpee in microcosm, where besides the Gospel the “</w:t>
      </w:r>
      <w:r w:rsidRPr="008C073E">
        <w:rPr>
          <w:rFonts w:ascii="Times New Roman" w:hAnsi="Times New Roman"/>
          <w:sz w:val="24"/>
          <w:szCs w:val="24"/>
          <w:lang w:val="it-IT"/>
        </w:rPr>
        <w:t>pale man</w:t>
      </w:r>
      <w:r w:rsidRPr="008C073E">
        <w:rPr>
          <w:rFonts w:ascii="Times New Roman" w:hAnsi="Times New Roman"/>
          <w:sz w:val="24"/>
          <w:szCs w:val="24"/>
        </w:rPr>
        <w:t>” of Massachusetts had for centuries “[stolen] from the Indians their portion” of the land and the resources and sovereignty it offers. Apess adds scathingly: “The law, perhaps, allowed them to do so” (171).</w:t>
      </w:r>
    </w:p>
    <w:p w14:paraId="4BCF782B" w14:textId="77777777" w:rsidR="00274B3F" w:rsidRPr="008C073E" w:rsidRDefault="00274B3F" w:rsidP="00274B3F">
      <w:pPr>
        <w:pStyle w:val="Body"/>
        <w:spacing w:line="480" w:lineRule="auto"/>
        <w:rPr>
          <w:rFonts w:ascii="Times New Roman" w:eastAsia="Times New Roman" w:hAnsi="Times New Roman" w:cs="Times New Roman"/>
          <w:sz w:val="24"/>
          <w:szCs w:val="24"/>
        </w:rPr>
      </w:pPr>
      <w:r w:rsidRPr="008C073E">
        <w:rPr>
          <w:rFonts w:ascii="Times New Roman" w:eastAsia="Times New Roman" w:hAnsi="Times New Roman" w:cs="Times New Roman"/>
          <w:sz w:val="24"/>
          <w:szCs w:val="24"/>
        </w:rPr>
        <w:tab/>
        <w:t>The meetinghouse scene does more than introduce in broad terms the political conflicts of the 1833-5 Mashpee push for civil rights in which Apess played an integral part. It also showcases Apess</w:t>
      </w:r>
      <w:r w:rsidRPr="008C073E">
        <w:rPr>
          <w:rFonts w:ascii="Times New Roman" w:hAnsi="Times New Roman"/>
          <w:sz w:val="24"/>
          <w:szCs w:val="24"/>
        </w:rPr>
        <w:t xml:space="preserve">’s signature wit and sarcasm he employs throughout </w:t>
      </w:r>
      <w:r w:rsidRPr="008C073E">
        <w:rPr>
          <w:rFonts w:ascii="Times New Roman" w:hAnsi="Times New Roman"/>
          <w:i/>
          <w:iCs/>
          <w:sz w:val="24"/>
          <w:szCs w:val="24"/>
          <w:lang w:val="it-IT"/>
        </w:rPr>
        <w:t>Indian Nullification</w:t>
      </w:r>
      <w:r w:rsidRPr="008C073E">
        <w:rPr>
          <w:rFonts w:ascii="Times New Roman" w:hAnsi="Times New Roman"/>
          <w:sz w:val="24"/>
          <w:szCs w:val="24"/>
        </w:rPr>
        <w:t>.</w:t>
      </w:r>
      <w:r w:rsidRPr="008C073E">
        <w:rPr>
          <w:rFonts w:ascii="Times New Roman" w:eastAsia="Times New Roman" w:hAnsi="Times New Roman" w:cs="Times New Roman"/>
          <w:sz w:val="24"/>
          <w:szCs w:val="24"/>
          <w:vertAlign w:val="superscript"/>
        </w:rPr>
        <w:footnoteReference w:id="1"/>
      </w:r>
      <w:r w:rsidRPr="008C073E">
        <w:rPr>
          <w:rFonts w:ascii="Times New Roman" w:hAnsi="Times New Roman"/>
          <w:sz w:val="24"/>
          <w:szCs w:val="24"/>
        </w:rPr>
        <w:t xml:space="preserve"> Because sarcasm criticized one’s personality or character rather than </w:t>
      </w:r>
      <w:r w:rsidRPr="008C073E">
        <w:rPr>
          <w:rFonts w:ascii="Times New Roman" w:hAnsi="Times New Roman"/>
          <w:sz w:val="24"/>
          <w:szCs w:val="24"/>
        </w:rPr>
        <w:lastRenderedPageBreak/>
        <w:t xml:space="preserve">neutral facts or institutions, nineteenth century Anglo-American rhetoricians scorned it as indicating bad character or “ill humor.” Still today, sarcasm is seen by some as a passive aggressive if not downright sinister form of communication, “turned around and not forthright” (Bendik-Keymer). If white audiences then and now frown upon a white speaker’s use of sarcasm, how much worse did it sound coming from a Native speaker, especially when he leveled it at white community leaders and government officials as Apess did? Apess’s sarcasm does not at all resemble the kind of romanticized oratory colonial minds imagined and expected from Native speakers. What then did  Apess gain from his sarcastic style? This chapter explores Apess’s use of sarcasm and other forms of humor in </w:t>
      </w:r>
      <w:r w:rsidRPr="008C073E">
        <w:rPr>
          <w:rFonts w:ascii="Times New Roman" w:hAnsi="Times New Roman"/>
          <w:i/>
          <w:iCs/>
          <w:sz w:val="24"/>
          <w:szCs w:val="24"/>
          <w:lang w:val="fr-FR"/>
        </w:rPr>
        <w:t>Nullification</w:t>
      </w:r>
      <w:r w:rsidRPr="008C073E">
        <w:rPr>
          <w:rFonts w:ascii="Times New Roman" w:hAnsi="Times New Roman"/>
          <w:sz w:val="24"/>
          <w:szCs w:val="24"/>
        </w:rPr>
        <w:t xml:space="preserve"> and its relation to Apess’s goal of forwarding Indigenous rights in the Northeast. Apess used sarcasm and its “not forthright” approach to disrupt, confuse, and expose ready-made colonial ideas about Indigenous people as foolish and wrong. Above and beyond deriding the local officials directly involved in the civil rights crisis at Mashpee, Apess’s sarcastic style ranges more widely to show, in philosopher Jeremy Bendik-Keymer’s words, his “cognitive contempt” for the systemic settler-colonial logics undergirding ongoing oppression of Indigenous peoples across the continent.</w:t>
      </w:r>
    </w:p>
    <w:p w14:paraId="7141D8E4" w14:textId="77777777" w:rsidR="00274B3F" w:rsidRPr="008C073E" w:rsidRDefault="00274B3F" w:rsidP="00274B3F">
      <w:pPr>
        <w:pStyle w:val="Body"/>
        <w:spacing w:line="480" w:lineRule="auto"/>
        <w:rPr>
          <w:rFonts w:ascii="Times New Roman" w:eastAsia="Times New Roman" w:hAnsi="Times New Roman" w:cs="Times New Roman"/>
          <w:sz w:val="24"/>
          <w:szCs w:val="24"/>
        </w:rPr>
      </w:pPr>
      <w:r w:rsidRPr="008C073E">
        <w:rPr>
          <w:rFonts w:ascii="Times New Roman" w:eastAsia="Times New Roman" w:hAnsi="Times New Roman" w:cs="Times New Roman"/>
          <w:sz w:val="24"/>
          <w:szCs w:val="24"/>
          <w:lang w:val="pt-PT"/>
        </w:rPr>
        <w:tab/>
        <w:t>Apess</w:t>
      </w:r>
      <w:r w:rsidRPr="008C073E">
        <w:rPr>
          <w:rFonts w:ascii="Times New Roman" w:hAnsi="Times New Roman"/>
          <w:sz w:val="24"/>
          <w:szCs w:val="24"/>
        </w:rPr>
        <w:t xml:space="preserve">’s feigned misperceptions throughout </w:t>
      </w:r>
      <w:r w:rsidRPr="008C073E">
        <w:rPr>
          <w:rFonts w:ascii="Times New Roman" w:hAnsi="Times New Roman"/>
          <w:i/>
          <w:iCs/>
          <w:sz w:val="24"/>
          <w:szCs w:val="24"/>
          <w:lang w:val="de-DE"/>
        </w:rPr>
        <w:t xml:space="preserve">Nullification </w:t>
      </w:r>
      <w:r w:rsidRPr="008C073E">
        <w:rPr>
          <w:rFonts w:ascii="Times New Roman" w:hAnsi="Times New Roman"/>
          <w:sz w:val="24"/>
          <w:szCs w:val="24"/>
        </w:rPr>
        <w:t xml:space="preserve">mount a critique of colonial misapprehensions of what Washington Irving calls “the traits of Indian character.” In 1814, as editor of </w:t>
      </w:r>
      <w:r w:rsidRPr="008C073E">
        <w:rPr>
          <w:rFonts w:ascii="Times New Roman" w:hAnsi="Times New Roman"/>
          <w:i/>
          <w:iCs/>
          <w:sz w:val="24"/>
          <w:szCs w:val="24"/>
        </w:rPr>
        <w:t>Analectics Magazine</w:t>
      </w:r>
      <w:r w:rsidRPr="008C073E">
        <w:rPr>
          <w:rFonts w:ascii="Times New Roman" w:hAnsi="Times New Roman"/>
          <w:sz w:val="24"/>
          <w:szCs w:val="24"/>
        </w:rPr>
        <w:t xml:space="preserve">, a young Irving published an essay by that title that circulated widely through antebellum print culture, including republication in 1828 in </w:t>
      </w:r>
      <w:r w:rsidRPr="008C073E">
        <w:rPr>
          <w:rFonts w:ascii="Times New Roman" w:hAnsi="Times New Roman"/>
          <w:i/>
          <w:iCs/>
          <w:sz w:val="24"/>
          <w:szCs w:val="24"/>
          <w:lang w:val="nl-NL"/>
        </w:rPr>
        <w:t>The Cherokee Phoenix</w:t>
      </w:r>
      <w:r w:rsidRPr="008C073E">
        <w:rPr>
          <w:rFonts w:ascii="Times New Roman" w:hAnsi="Times New Roman"/>
          <w:sz w:val="24"/>
          <w:szCs w:val="24"/>
        </w:rPr>
        <w:t xml:space="preserve">, the official newspaper of the Cherokee </w:t>
      </w:r>
      <w:r w:rsidRPr="008C073E">
        <w:rPr>
          <w:rFonts w:ascii="Times New Roman" w:hAnsi="Times New Roman"/>
          <w:sz w:val="24"/>
          <w:szCs w:val="24"/>
        </w:rPr>
        <w:lastRenderedPageBreak/>
        <w:t>Nation.</w:t>
      </w:r>
      <w:r w:rsidRPr="008C073E">
        <w:rPr>
          <w:rFonts w:ascii="Times New Roman" w:eastAsia="Times New Roman" w:hAnsi="Times New Roman" w:cs="Times New Roman"/>
          <w:sz w:val="24"/>
          <w:szCs w:val="24"/>
          <w:vertAlign w:val="superscript"/>
        </w:rPr>
        <w:footnoteReference w:id="2"/>
      </w:r>
      <w:r w:rsidRPr="008C073E">
        <w:rPr>
          <w:rFonts w:ascii="Times New Roman" w:hAnsi="Times New Roman"/>
          <w:sz w:val="24"/>
          <w:szCs w:val="24"/>
        </w:rPr>
        <w:t xml:space="preserve"> In the essay, Irving responds to racist misrepresentations of Native “savagery” sparked by the violence of the 1813-14 “Red Stick War” in which a coalition of U.S. and Cherokee military forces invaded Creek lands in what is now Tennessee and Alabama. Irving sympathizes with the Creeks and condemns the racist, hawkish rhetoric about Indigenous peoples that sought to justify U.S. atrocities against Natives in and beyond the immediate context of the war. Newspaper coverage of the war displaced white depredations onto the Creeks, depicting them as inhuman monsters and blaming them for the brutality of the fighting. Describing the Battle of Horseshoe Bend, in which 800 Red Stick Creek warriors were killed defending their position in a narrow bend in the Tallapoosa River, General Thomas Pickney assured readers of the </w:t>
      </w:r>
      <w:r w:rsidRPr="008C073E">
        <w:rPr>
          <w:rFonts w:ascii="Times New Roman" w:hAnsi="Times New Roman"/>
          <w:i/>
          <w:iCs/>
          <w:sz w:val="24"/>
          <w:szCs w:val="24"/>
        </w:rPr>
        <w:t xml:space="preserve">Washington Inquirer </w:t>
      </w:r>
      <w:r w:rsidRPr="008C073E">
        <w:rPr>
          <w:rFonts w:ascii="Times New Roman" w:hAnsi="Times New Roman"/>
          <w:sz w:val="24"/>
          <w:szCs w:val="24"/>
        </w:rPr>
        <w:t xml:space="preserve">that “while the sign of humanity will escape for this profuse effusion of human blood, which results from the savage principle of the enemy, neither to give nor accept quarter…we have ample cause of gratitude to the Giver of all victory for thus continuing his protection of our women and children, who would otherwise be exposed to the indiscriminate havoc of the tomahawk and all the horrors of savage warfare” (“Great Victory Over the Creek Indians”).  </w:t>
      </w:r>
    </w:p>
    <w:p w14:paraId="062AA9C7" w14:textId="77777777" w:rsidR="00274B3F" w:rsidRPr="008C073E" w:rsidRDefault="00274B3F" w:rsidP="00274B3F">
      <w:pPr>
        <w:pStyle w:val="Body"/>
        <w:spacing w:line="480" w:lineRule="auto"/>
        <w:ind w:firstLine="720"/>
        <w:rPr>
          <w:rFonts w:ascii="Times New Roman" w:eastAsia="Times New Roman" w:hAnsi="Times New Roman" w:cs="Times New Roman"/>
          <w:sz w:val="24"/>
          <w:szCs w:val="24"/>
        </w:rPr>
      </w:pPr>
      <w:r w:rsidRPr="008C073E">
        <w:rPr>
          <w:rFonts w:ascii="Times New Roman" w:hAnsi="Times New Roman"/>
          <w:sz w:val="24"/>
          <w:szCs w:val="24"/>
        </w:rPr>
        <w:lastRenderedPageBreak/>
        <w:t>Irving defends the Creeks against this kind of misrepresentation, but in doing so he falls back on romanticized portraits of “the noble savage” common to the period that lamented Indigenous nations’ inevitable disappearance before the march of civilization: “Let the fate of war go as it may,” Irving writes, ‘the fate of those ignorant tribes that have been inveigled from their forests to mingle in the strife of white men, will inevitably be the same…They will vanish like a vapor from the face of that earth—their history will be lost in forgetfulness—and “the places that know them, will know them no more forever”’ (“</w:t>
      </w:r>
      <w:r w:rsidRPr="008C073E">
        <w:rPr>
          <w:rFonts w:ascii="Times New Roman" w:hAnsi="Times New Roman"/>
          <w:sz w:val="24"/>
          <w:szCs w:val="24"/>
          <w:lang w:val="fr-FR"/>
        </w:rPr>
        <w:t>Traits</w:t>
      </w:r>
      <w:r w:rsidRPr="008C073E">
        <w:rPr>
          <w:rFonts w:ascii="Times New Roman" w:hAnsi="Times New Roman"/>
          <w:sz w:val="24"/>
          <w:szCs w:val="24"/>
        </w:rPr>
        <w:t xml:space="preserve">” 145). Irving depicts the progress of civilization as an onslaught on Indigenous nations, completely debasing their cultures and characters: “The independence of thought and action, that formed the main pillar of their character, has been completely prostrated, and the whole moral fabric lies in ruins. Their spirits are debased by conscious inferiority, and their native courage completely daunted by the superior knowledge and power of their enlightened neighbors” (145). </w:t>
      </w:r>
    </w:p>
    <w:p w14:paraId="2DBFF004" w14:textId="77777777" w:rsidR="00274B3F" w:rsidRPr="008C073E" w:rsidRDefault="00274B3F" w:rsidP="00274B3F">
      <w:pPr>
        <w:pStyle w:val="Body"/>
        <w:spacing w:line="480" w:lineRule="auto"/>
        <w:ind w:firstLine="720"/>
        <w:rPr>
          <w:rFonts w:ascii="Times New Roman" w:eastAsia="Times New Roman" w:hAnsi="Times New Roman" w:cs="Times New Roman"/>
          <w:sz w:val="24"/>
          <w:szCs w:val="24"/>
        </w:rPr>
      </w:pPr>
      <w:r w:rsidRPr="008C073E">
        <w:rPr>
          <w:rFonts w:ascii="Times New Roman" w:hAnsi="Times New Roman"/>
          <w:sz w:val="24"/>
          <w:szCs w:val="24"/>
        </w:rPr>
        <w:t>When Native intellectuals such as Elias Boudinot (Cherokee) reprinted Irving’s essay, they recontextualized its romantic editorializations of “Indian character,” ironically framing its “</w:t>
      </w:r>
      <w:r w:rsidRPr="008C073E">
        <w:rPr>
          <w:rFonts w:ascii="Times New Roman" w:hAnsi="Times New Roman"/>
          <w:sz w:val="24"/>
          <w:szCs w:val="24"/>
          <w:lang w:val="fr-FR"/>
        </w:rPr>
        <w:t>observations</w:t>
      </w:r>
      <w:r w:rsidRPr="008C073E">
        <w:rPr>
          <w:rFonts w:ascii="Times New Roman" w:hAnsi="Times New Roman"/>
          <w:sz w:val="24"/>
          <w:szCs w:val="24"/>
        </w:rPr>
        <w:t xml:space="preserve">” with evidence of contemporaneous Indigenous ingenuity and capability in order to forward Indigenous political ends. Apess himself quoted extensively from Irving’s essay in the Appendix of his autobiography </w:t>
      </w:r>
      <w:r w:rsidRPr="008C073E">
        <w:rPr>
          <w:rFonts w:ascii="Times New Roman" w:hAnsi="Times New Roman"/>
          <w:i/>
          <w:iCs/>
          <w:sz w:val="24"/>
          <w:szCs w:val="24"/>
        </w:rPr>
        <w:t>A Son of the Forest</w:t>
      </w:r>
      <w:r w:rsidRPr="008C073E">
        <w:rPr>
          <w:rFonts w:ascii="Times New Roman" w:hAnsi="Times New Roman"/>
          <w:sz w:val="24"/>
          <w:szCs w:val="24"/>
        </w:rPr>
        <w:t xml:space="preserve"> (1829) as part of what Katy Chiles describes </w:t>
      </w:r>
      <w:r w:rsidRPr="008C073E">
        <w:rPr>
          <w:rFonts w:ascii="Times New Roman" w:hAnsi="Times New Roman"/>
          <w:sz w:val="24"/>
          <w:szCs w:val="24"/>
          <w:lang w:val="pt-PT"/>
        </w:rPr>
        <w:t>as Apess</w:t>
      </w:r>
      <w:r w:rsidRPr="008C073E">
        <w:rPr>
          <w:rFonts w:ascii="Times New Roman" w:hAnsi="Times New Roman"/>
          <w:sz w:val="24"/>
          <w:szCs w:val="24"/>
        </w:rPr>
        <w:t>’s strategy of quoting “non-Native writers to dispute other non-Native writers who had given inaccurate accounts of Indigenous history, practices, and lifeways” (22).</w:t>
      </w:r>
      <w:r w:rsidRPr="008C073E">
        <w:rPr>
          <w:rFonts w:ascii="Times New Roman" w:hAnsi="Times New Roman"/>
          <w:sz w:val="24"/>
          <w:szCs w:val="24"/>
          <w:lang w:val="pt-PT"/>
        </w:rPr>
        <w:t xml:space="preserve"> Apess</w:t>
      </w:r>
      <w:r w:rsidRPr="008C073E">
        <w:rPr>
          <w:rFonts w:ascii="Times New Roman" w:hAnsi="Times New Roman"/>
          <w:sz w:val="24"/>
          <w:szCs w:val="24"/>
        </w:rPr>
        <w:t xml:space="preserve">’s sarcastic framing of </w:t>
      </w:r>
      <w:r w:rsidRPr="008C073E">
        <w:rPr>
          <w:rFonts w:ascii="Times New Roman" w:hAnsi="Times New Roman"/>
          <w:sz w:val="24"/>
          <w:szCs w:val="24"/>
        </w:rPr>
        <w:lastRenderedPageBreak/>
        <w:t xml:space="preserve">Massachusetts’ ludicrous response to the Mashpees’ push for civil rights continues his ironic treatment and criticism of non-Native hypocrisy and hyperbole toward Natives that he began in </w:t>
      </w:r>
      <w:r w:rsidRPr="008C073E">
        <w:rPr>
          <w:rFonts w:ascii="Times New Roman" w:hAnsi="Times New Roman"/>
          <w:i/>
          <w:iCs/>
          <w:sz w:val="24"/>
          <w:szCs w:val="24"/>
        </w:rPr>
        <w:t>Son of the Forest</w:t>
      </w:r>
      <w:r w:rsidRPr="008C073E">
        <w:rPr>
          <w:rFonts w:ascii="Times New Roman" w:hAnsi="Times New Roman"/>
          <w:sz w:val="24"/>
          <w:szCs w:val="24"/>
        </w:rPr>
        <w:t>. Taken as a whole, Apess’s humor constitutes an ongoing analysis and satirical takedown of the colonizer character: a humorous and cuttingly sarcastic reversal of imperial, proto-ethnographic tropes about Natives and their “</w:t>
      </w:r>
      <w:r w:rsidRPr="008C073E">
        <w:rPr>
          <w:rFonts w:ascii="Times New Roman" w:hAnsi="Times New Roman"/>
          <w:sz w:val="24"/>
          <w:szCs w:val="24"/>
          <w:lang w:val="fr-FR"/>
        </w:rPr>
        <w:t xml:space="preserve">moral </w:t>
      </w:r>
      <w:proofErr w:type="spellStart"/>
      <w:r w:rsidRPr="008C073E">
        <w:rPr>
          <w:rFonts w:ascii="Times New Roman" w:hAnsi="Times New Roman"/>
          <w:sz w:val="24"/>
          <w:szCs w:val="24"/>
          <w:lang w:val="fr-FR"/>
        </w:rPr>
        <w:t>fabric</w:t>
      </w:r>
      <w:proofErr w:type="spellEnd"/>
      <w:r w:rsidRPr="008C073E">
        <w:rPr>
          <w:rFonts w:ascii="Times New Roman" w:hAnsi="Times New Roman"/>
          <w:sz w:val="24"/>
          <w:szCs w:val="24"/>
        </w:rPr>
        <w:t xml:space="preserve">” about which non-Natives endlessly opined. The portrait of non-Native ignorance, arrogance, and hypocrisy that emerges across this work, but particularly in </w:t>
      </w:r>
      <w:r w:rsidRPr="008C073E">
        <w:rPr>
          <w:rFonts w:ascii="Times New Roman" w:hAnsi="Times New Roman"/>
          <w:i/>
          <w:iCs/>
          <w:sz w:val="24"/>
          <w:szCs w:val="24"/>
          <w:lang w:val="fr-FR"/>
        </w:rPr>
        <w:t>Nullification</w:t>
      </w:r>
      <w:r w:rsidRPr="008C073E">
        <w:rPr>
          <w:rFonts w:ascii="Times New Roman" w:hAnsi="Times New Roman"/>
          <w:sz w:val="24"/>
          <w:szCs w:val="24"/>
        </w:rPr>
        <w:t>,</w:t>
      </w:r>
      <w:r w:rsidRPr="008C073E">
        <w:rPr>
          <w:rFonts w:ascii="Times New Roman" w:hAnsi="Times New Roman"/>
          <w:i/>
          <w:iCs/>
          <w:sz w:val="24"/>
          <w:szCs w:val="24"/>
        </w:rPr>
        <w:t xml:space="preserve"> </w:t>
      </w:r>
      <w:r w:rsidRPr="008C073E">
        <w:rPr>
          <w:rFonts w:ascii="Times New Roman" w:hAnsi="Times New Roman"/>
          <w:sz w:val="24"/>
          <w:szCs w:val="24"/>
        </w:rPr>
        <w:t>shows the ways that Apess turned humor into a looking glass for his audience, as part of what Drew Lopenzina calls Apess</w:t>
      </w:r>
      <w:r w:rsidRPr="008C073E">
        <w:rPr>
          <w:rFonts w:ascii="Times New Roman" w:hAnsi="Times New Roman"/>
          <w:sz w:val="24"/>
          <w:szCs w:val="24"/>
          <w:rtl/>
        </w:rPr>
        <w:t>’</w:t>
      </w:r>
      <w:r w:rsidRPr="008C073E">
        <w:rPr>
          <w:rFonts w:ascii="Times New Roman" w:hAnsi="Times New Roman"/>
          <w:sz w:val="24"/>
          <w:szCs w:val="24"/>
        </w:rPr>
        <w:t xml:space="preserve">s </w:t>
      </w:r>
      <w:r w:rsidRPr="008C073E">
        <w:rPr>
          <w:rFonts w:ascii="Times New Roman" w:hAnsi="Times New Roman"/>
          <w:sz w:val="24"/>
          <w:szCs w:val="24"/>
          <w:rtl/>
          <w:lang w:val="ar-SA"/>
        </w:rPr>
        <w:t>“</w:t>
      </w:r>
      <w:r w:rsidRPr="008C073E">
        <w:rPr>
          <w:rFonts w:ascii="Times New Roman" w:hAnsi="Times New Roman"/>
          <w:sz w:val="24"/>
          <w:szCs w:val="24"/>
        </w:rPr>
        <w:t xml:space="preserve">negative work.” For Lopenzina, negative work denotes the </w:t>
      </w:r>
      <w:r w:rsidRPr="008C073E">
        <w:rPr>
          <w:rFonts w:ascii="Times New Roman" w:hAnsi="Times New Roman"/>
          <w:sz w:val="24"/>
          <w:szCs w:val="24"/>
          <w:rtl/>
          <w:lang w:val="ar-SA"/>
        </w:rPr>
        <w:t>“</w:t>
      </w:r>
      <w:r w:rsidRPr="008C073E">
        <w:rPr>
          <w:rFonts w:ascii="Times New Roman" w:hAnsi="Times New Roman"/>
          <w:sz w:val="24"/>
          <w:szCs w:val="24"/>
        </w:rPr>
        <w:t xml:space="preserve">tiresome and perpetual undoing of…an intricate web of cultural and historical assumptions” about presumed Native primitivity and inferiority </w:t>
      </w:r>
      <w:r w:rsidRPr="008C073E">
        <w:rPr>
          <w:rFonts w:ascii="Times New Roman" w:hAnsi="Times New Roman"/>
          <w:sz w:val="24"/>
          <w:szCs w:val="24"/>
          <w:rtl/>
          <w:lang w:val="ar-SA"/>
        </w:rPr>
        <w:t>“</w:t>
      </w:r>
      <w:r w:rsidRPr="008C073E">
        <w:rPr>
          <w:rFonts w:ascii="Times New Roman" w:hAnsi="Times New Roman"/>
          <w:sz w:val="24"/>
          <w:szCs w:val="24"/>
        </w:rPr>
        <w:t xml:space="preserve">before [Native writers] can clear a space in which their own narratives might emerge” (6). As </w:t>
      </w:r>
      <w:proofErr w:type="spellStart"/>
      <w:r w:rsidRPr="008C073E">
        <w:rPr>
          <w:rFonts w:ascii="Times New Roman" w:hAnsi="Times New Roman"/>
          <w:sz w:val="24"/>
          <w:szCs w:val="24"/>
        </w:rPr>
        <w:t>Lopeniz</w:t>
      </w:r>
      <w:r w:rsidRPr="008C073E">
        <w:rPr>
          <w:rFonts w:ascii="Times New Roman" w:hAnsi="Times New Roman" w:cs="Times New Roman"/>
          <w:sz w:val="24"/>
          <w:szCs w:val="24"/>
        </w:rPr>
        <w:t>a</w:t>
      </w:r>
      <w:proofErr w:type="spellEnd"/>
      <w:r w:rsidRPr="008C073E">
        <w:rPr>
          <w:rFonts w:ascii="Times New Roman" w:hAnsi="Times New Roman" w:cs="Times New Roman"/>
          <w:sz w:val="24"/>
          <w:szCs w:val="24"/>
        </w:rPr>
        <w:t xml:space="preserve"> suggests, such </w:t>
      </w:r>
      <w:r w:rsidRPr="008C073E">
        <w:rPr>
          <w:rFonts w:ascii="Times New Roman" w:hAnsi="Times New Roman" w:cs="Times New Roman"/>
          <w:sz w:val="24"/>
          <w:szCs w:val="24"/>
          <w:rtl/>
          <w:lang w:val="ar-SA"/>
        </w:rPr>
        <w:t>“</w:t>
      </w:r>
      <w:r w:rsidRPr="008C073E">
        <w:rPr>
          <w:rFonts w:ascii="Times New Roman" w:hAnsi="Times New Roman" w:cs="Times New Roman"/>
          <w:sz w:val="24"/>
          <w:szCs w:val="24"/>
        </w:rPr>
        <w:t xml:space="preserve">undoing” is taxing and frequently insulting to the Native intellectuals who undertake it. </w:t>
      </w:r>
      <w:r w:rsidRPr="008C073E">
        <w:rPr>
          <w:rStyle w:val="cf01"/>
          <w:rFonts w:ascii="Times New Roman" w:hAnsi="Times New Roman" w:cs="Times New Roman"/>
          <w:sz w:val="24"/>
          <w:szCs w:val="24"/>
        </w:rPr>
        <w:t xml:space="preserve">As valuable as this attention to the exhaustive nature of such ‘negative work’ is, I am interested here </w:t>
      </w:r>
      <w:r w:rsidRPr="008C073E">
        <w:rPr>
          <w:rFonts w:ascii="Times New Roman" w:hAnsi="Times New Roman"/>
          <w:sz w:val="24"/>
          <w:szCs w:val="24"/>
        </w:rPr>
        <w:t xml:space="preserve">in the instances when Apess finds irony in the undoing and when he uses humor and sarcasm to perform his negative work. </w:t>
      </w:r>
      <w:r w:rsidRPr="008C073E">
        <w:rPr>
          <w:rFonts w:ascii="Times New Roman" w:hAnsi="Times New Roman"/>
          <w:sz w:val="24"/>
          <w:szCs w:val="24"/>
          <w:lang w:val="pt-PT"/>
        </w:rPr>
        <w:t>Apess</w:t>
      </w:r>
      <w:r w:rsidRPr="008C073E">
        <w:rPr>
          <w:rFonts w:ascii="Times New Roman" w:hAnsi="Times New Roman"/>
          <w:sz w:val="24"/>
          <w:szCs w:val="24"/>
        </w:rPr>
        <w:t xml:space="preserve">’s humor resists settler colonial ideology by reflecting it back and defamiliarizing it for his non-Native readers. Encountering this strange, sarcastic presentation of their own unconscious assumptions disrupts the smooth workings of settler-colonial logics, forwarding the rhetorical and political ends of the Mashpee civil rights protestors in 1833-5 by </w:t>
      </w:r>
      <w:r w:rsidRPr="008C073E">
        <w:rPr>
          <w:rFonts w:ascii="Times New Roman" w:hAnsi="Times New Roman"/>
          <w:sz w:val="24"/>
          <w:szCs w:val="24"/>
        </w:rPr>
        <w:lastRenderedPageBreak/>
        <w:t>engendering in his readers sympathy for the Mashpee and other Indigenous targets of colonial encroachment.</w:t>
      </w:r>
    </w:p>
    <w:p w14:paraId="37679030"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rPr>
      </w:pPr>
      <w:r w:rsidRPr="008C073E">
        <w:rPr>
          <w:rFonts w:ascii="Times New Roman" w:hAnsi="Times New Roman"/>
          <w:sz w:val="24"/>
          <w:szCs w:val="24"/>
        </w:rPr>
        <w:t xml:space="preserve">Apess presents his non-Native audiences across various media with the “Traits of Colonizer Character” in which they perceive themselves distorted through satire, but all the more truthfully for that. In his use of satire, wit, and wordplay to accomplish his goals, Apess, though a Pequot, resembles the Wampanoag </w:t>
      </w:r>
      <w:r w:rsidRPr="008C073E">
        <w:rPr>
          <w:rFonts w:ascii="Times New Roman" w:hAnsi="Times New Roman"/>
          <w:i/>
          <w:iCs/>
          <w:sz w:val="24"/>
          <w:szCs w:val="24"/>
          <w:lang w:val="de-DE"/>
        </w:rPr>
        <w:t xml:space="preserve">Ahanaeenun </w:t>
      </w:r>
      <w:r w:rsidRPr="008C073E">
        <w:rPr>
          <w:rFonts w:ascii="Times New Roman" w:hAnsi="Times New Roman"/>
          <w:sz w:val="24"/>
          <w:szCs w:val="24"/>
        </w:rPr>
        <w:t xml:space="preserve">or “medicine clown.” Black-Wampanoag artist and literary critic </w:t>
      </w:r>
      <w:proofErr w:type="spellStart"/>
      <w:r w:rsidRPr="008C073E">
        <w:rPr>
          <w:rFonts w:ascii="Times New Roman" w:hAnsi="Times New Roman"/>
          <w:sz w:val="24"/>
          <w:szCs w:val="24"/>
        </w:rPr>
        <w:t>Mwalim</w:t>
      </w:r>
      <w:proofErr w:type="spellEnd"/>
      <w:r w:rsidRPr="008C073E">
        <w:rPr>
          <w:rFonts w:ascii="Times New Roman" w:hAnsi="Times New Roman"/>
          <w:sz w:val="24"/>
          <w:szCs w:val="24"/>
        </w:rPr>
        <w:t xml:space="preserve"> Peters writes of the </w:t>
      </w:r>
      <w:proofErr w:type="spellStart"/>
      <w:r w:rsidRPr="008C073E">
        <w:rPr>
          <w:rFonts w:ascii="Times New Roman" w:hAnsi="Times New Roman"/>
          <w:i/>
          <w:iCs/>
          <w:sz w:val="24"/>
          <w:szCs w:val="24"/>
          <w:lang w:val="es-ES_tradnl"/>
        </w:rPr>
        <w:t>Ahanaeenun</w:t>
      </w:r>
      <w:proofErr w:type="spellEnd"/>
      <w:r w:rsidRPr="008C073E">
        <w:rPr>
          <w:rFonts w:ascii="Times New Roman" w:hAnsi="Times New Roman"/>
          <w:sz w:val="24"/>
          <w:szCs w:val="24"/>
        </w:rPr>
        <w:t xml:space="preserve"> that they are a “branch of the culture’s medicine community, using humor and satire as a means of bring[</w:t>
      </w:r>
      <w:proofErr w:type="spellStart"/>
      <w:r w:rsidRPr="008C073E">
        <w:rPr>
          <w:rFonts w:ascii="Times New Roman" w:hAnsi="Times New Roman"/>
          <w:sz w:val="24"/>
          <w:szCs w:val="24"/>
        </w:rPr>
        <w:t>ing</w:t>
      </w:r>
      <w:proofErr w:type="spellEnd"/>
      <w:r w:rsidRPr="008C073E">
        <w:rPr>
          <w:rFonts w:ascii="Times New Roman" w:hAnsi="Times New Roman"/>
          <w:sz w:val="24"/>
          <w:szCs w:val="24"/>
        </w:rPr>
        <w:t xml:space="preserve">] social and spiritual healing to people” (“Laughter Keepers”). Similar to </w:t>
      </w:r>
      <w:proofErr w:type="spellStart"/>
      <w:r w:rsidRPr="008C073E">
        <w:rPr>
          <w:rFonts w:ascii="Times New Roman" w:hAnsi="Times New Roman"/>
          <w:i/>
          <w:iCs/>
          <w:sz w:val="24"/>
          <w:szCs w:val="24"/>
        </w:rPr>
        <w:t>heyoka</w:t>
      </w:r>
      <w:proofErr w:type="spellEnd"/>
      <w:r w:rsidRPr="008C073E">
        <w:rPr>
          <w:rFonts w:ascii="Times New Roman" w:hAnsi="Times New Roman"/>
          <w:i/>
          <w:iCs/>
          <w:sz w:val="24"/>
          <w:szCs w:val="24"/>
        </w:rPr>
        <w:t xml:space="preserve"> </w:t>
      </w:r>
      <w:r w:rsidRPr="008C073E">
        <w:rPr>
          <w:rFonts w:ascii="Times New Roman" w:hAnsi="Times New Roman"/>
          <w:sz w:val="24"/>
          <w:szCs w:val="24"/>
        </w:rPr>
        <w:t xml:space="preserve">among the Lakota and Dakota or the </w:t>
      </w:r>
      <w:proofErr w:type="spellStart"/>
      <w:r w:rsidRPr="008C073E">
        <w:rPr>
          <w:rFonts w:ascii="Times New Roman" w:hAnsi="Times New Roman"/>
          <w:i/>
          <w:iCs/>
          <w:sz w:val="24"/>
          <w:szCs w:val="24"/>
        </w:rPr>
        <w:t>koshares</w:t>
      </w:r>
      <w:proofErr w:type="spellEnd"/>
      <w:r w:rsidRPr="008C073E">
        <w:rPr>
          <w:rFonts w:ascii="Times New Roman" w:hAnsi="Times New Roman"/>
          <w:i/>
          <w:iCs/>
          <w:sz w:val="24"/>
          <w:szCs w:val="24"/>
        </w:rPr>
        <w:t xml:space="preserve"> </w:t>
      </w:r>
      <w:r w:rsidRPr="008C073E">
        <w:rPr>
          <w:rFonts w:ascii="Times New Roman" w:hAnsi="Times New Roman"/>
          <w:sz w:val="24"/>
          <w:szCs w:val="24"/>
        </w:rPr>
        <w:t xml:space="preserve">of the Hopi, the Wampanoag </w:t>
      </w:r>
      <w:r w:rsidRPr="008C073E">
        <w:rPr>
          <w:rFonts w:ascii="Times New Roman" w:hAnsi="Times New Roman"/>
          <w:i/>
          <w:iCs/>
          <w:sz w:val="24"/>
          <w:szCs w:val="24"/>
          <w:lang w:val="de-DE"/>
        </w:rPr>
        <w:t xml:space="preserve">Ahanaeenun </w:t>
      </w:r>
      <w:r w:rsidRPr="008C073E">
        <w:rPr>
          <w:rFonts w:ascii="Times New Roman" w:hAnsi="Times New Roman"/>
          <w:sz w:val="24"/>
          <w:szCs w:val="24"/>
        </w:rPr>
        <w:t>performs a religious ceremonial (“</w:t>
      </w:r>
      <w:r w:rsidRPr="008C073E">
        <w:rPr>
          <w:rFonts w:ascii="Times New Roman" w:hAnsi="Times New Roman"/>
          <w:sz w:val="24"/>
          <w:szCs w:val="24"/>
          <w:lang w:val="it-IT"/>
        </w:rPr>
        <w:t>medicine</w:t>
      </w:r>
      <w:r w:rsidRPr="008C073E">
        <w:rPr>
          <w:rFonts w:ascii="Times New Roman" w:hAnsi="Times New Roman"/>
          <w:sz w:val="24"/>
          <w:szCs w:val="24"/>
        </w:rPr>
        <w:t xml:space="preserve">”) function of disrupting the more “serious” ceremonies with antics meant to induce laughter and thereby “bring emotional relief from intense events, issues and conflicts [which] is viewed as a sacred activity” (“Laughter Keepers”). Because of the Wampanoags’ long history of encounter and conflict with Europeans and American invaders who condemned Wampanoag medicine as devil-worship, little documentary evidence of the </w:t>
      </w:r>
      <w:r w:rsidRPr="008C073E">
        <w:rPr>
          <w:rFonts w:ascii="Times New Roman" w:hAnsi="Times New Roman"/>
          <w:i/>
          <w:iCs/>
          <w:sz w:val="24"/>
          <w:szCs w:val="24"/>
          <w:lang w:val="de-DE"/>
        </w:rPr>
        <w:t xml:space="preserve">Ahanaeenun </w:t>
      </w:r>
      <w:r w:rsidRPr="008C073E">
        <w:rPr>
          <w:rFonts w:ascii="Times New Roman" w:hAnsi="Times New Roman"/>
          <w:sz w:val="24"/>
          <w:szCs w:val="24"/>
        </w:rPr>
        <w:t xml:space="preserve">or their social or religious functions exist outside of the Wampanoag language and oral tradition. I do not propose that Apess, after his adoption into the Mashpee Wampanoag, actually fulfilled this venerated medicine role. However, viewing Apess’s use of satire through the lens of the </w:t>
      </w:r>
      <w:proofErr w:type="spellStart"/>
      <w:r w:rsidRPr="008C073E">
        <w:rPr>
          <w:rFonts w:ascii="Times New Roman" w:hAnsi="Times New Roman"/>
          <w:i/>
          <w:iCs/>
          <w:sz w:val="24"/>
          <w:szCs w:val="24"/>
          <w:lang w:val="es-ES_tradnl"/>
        </w:rPr>
        <w:t>Ahanaeenun</w:t>
      </w:r>
      <w:proofErr w:type="spellEnd"/>
      <w:r w:rsidRPr="008C073E">
        <w:rPr>
          <w:rFonts w:ascii="Times New Roman" w:hAnsi="Times New Roman"/>
          <w:sz w:val="24"/>
          <w:szCs w:val="24"/>
        </w:rPr>
        <w:t xml:space="preserve"> contextualizes his unusual rhetorical mode in a continuing history of Wampanoag religious practice that honored trickster resistance. In </w:t>
      </w:r>
      <w:r w:rsidRPr="008C073E">
        <w:rPr>
          <w:rFonts w:ascii="Times New Roman" w:hAnsi="Times New Roman"/>
          <w:sz w:val="24"/>
          <w:szCs w:val="24"/>
        </w:rPr>
        <w:lastRenderedPageBreak/>
        <w:t xml:space="preserve">his brief essay on the Wampanoag </w:t>
      </w:r>
      <w:r w:rsidRPr="008C073E">
        <w:rPr>
          <w:rFonts w:ascii="Times New Roman" w:hAnsi="Times New Roman"/>
          <w:i/>
          <w:iCs/>
          <w:sz w:val="24"/>
          <w:szCs w:val="24"/>
          <w:lang w:val="de-DE"/>
        </w:rPr>
        <w:t xml:space="preserve">Ahanaeenun </w:t>
      </w:r>
      <w:r w:rsidRPr="008C073E">
        <w:rPr>
          <w:rFonts w:ascii="Times New Roman" w:hAnsi="Times New Roman"/>
          <w:sz w:val="24"/>
          <w:szCs w:val="24"/>
        </w:rPr>
        <w:t xml:space="preserve">tradition entitled “Laughter Keepers,” </w:t>
      </w:r>
      <w:proofErr w:type="spellStart"/>
      <w:r w:rsidRPr="008C073E">
        <w:rPr>
          <w:rFonts w:ascii="Times New Roman" w:hAnsi="Times New Roman"/>
          <w:sz w:val="24"/>
          <w:szCs w:val="24"/>
        </w:rPr>
        <w:t>Mwalim</w:t>
      </w:r>
      <w:proofErr w:type="spellEnd"/>
      <w:r w:rsidRPr="008C073E">
        <w:rPr>
          <w:rFonts w:ascii="Times New Roman" w:hAnsi="Times New Roman"/>
          <w:sz w:val="24"/>
          <w:szCs w:val="24"/>
        </w:rPr>
        <w:t xml:space="preserve"> records a story from the Mashpee Wampanoag Chief Sly Fox about the “Weasel Man,” an </w:t>
      </w:r>
      <w:r w:rsidRPr="008C073E">
        <w:rPr>
          <w:rFonts w:ascii="Times New Roman" w:hAnsi="Times New Roman"/>
          <w:i/>
          <w:iCs/>
          <w:sz w:val="24"/>
          <w:szCs w:val="24"/>
          <w:lang w:val="de-DE"/>
        </w:rPr>
        <w:t xml:space="preserve">Ahanaeenun </w:t>
      </w:r>
      <w:r w:rsidRPr="008C073E">
        <w:rPr>
          <w:rFonts w:ascii="Times New Roman" w:hAnsi="Times New Roman"/>
          <w:sz w:val="24"/>
          <w:szCs w:val="24"/>
          <w:lang w:val="it-IT"/>
        </w:rPr>
        <w:t>figure.</w:t>
      </w:r>
      <w:r w:rsidRPr="008C073E">
        <w:rPr>
          <w:rFonts w:ascii="Times New Roman" w:eastAsia="Times New Roman" w:hAnsi="Times New Roman" w:cs="Times New Roman"/>
          <w:sz w:val="24"/>
          <w:szCs w:val="24"/>
          <w:vertAlign w:val="superscript"/>
        </w:rPr>
        <w:footnoteReference w:id="3"/>
      </w:r>
      <w:r w:rsidRPr="008C073E">
        <w:rPr>
          <w:rStyle w:val="None"/>
          <w:rFonts w:ascii="Times New Roman" w:hAnsi="Times New Roman"/>
          <w:sz w:val="24"/>
          <w:szCs w:val="24"/>
        </w:rPr>
        <w:t xml:space="preserve"> </w:t>
      </w:r>
    </w:p>
    <w:p w14:paraId="1B1346E6" w14:textId="77777777" w:rsidR="00274B3F" w:rsidRPr="008C073E" w:rsidRDefault="00274B3F" w:rsidP="00274B3F">
      <w:pPr>
        <w:pStyle w:val="Body"/>
        <w:spacing w:line="480" w:lineRule="auto"/>
        <w:ind w:left="720"/>
        <w:rPr>
          <w:rStyle w:val="None"/>
          <w:rFonts w:ascii="Times New Roman" w:eastAsia="Times New Roman" w:hAnsi="Times New Roman" w:cs="Times New Roman"/>
        </w:rPr>
      </w:pPr>
      <w:proofErr w:type="gramStart"/>
      <w:r w:rsidRPr="008C073E">
        <w:rPr>
          <w:rStyle w:val="None"/>
          <w:rFonts w:ascii="Times New Roman" w:hAnsi="Times New Roman"/>
          <w:sz w:val="24"/>
          <w:szCs w:val="24"/>
        </w:rPr>
        <w:t>So</w:t>
      </w:r>
      <w:proofErr w:type="gramEnd"/>
      <w:r w:rsidRPr="008C073E">
        <w:rPr>
          <w:rStyle w:val="None"/>
          <w:rFonts w:ascii="Times New Roman" w:hAnsi="Times New Roman"/>
          <w:sz w:val="24"/>
          <w:szCs w:val="24"/>
        </w:rPr>
        <w:t xml:space="preserve"> the tale goes, many Mashpees had gathered in the meetinghouse one Sunday to hear the gospel of a white pastor. As the pastor preached, a weasel ran into the meetinghouse, looking at the people and running all about the meeting. It was not unusual for animals to wander into the meeting, so nobody saw it as unusual, until the weasel ran up to the pulpit and stood next to the pastor. The weasel then transformed into a man. The man was somebody that was known to the Mashpees as a medicine man who lived off by himself in the woods. He asked the assembly if their preacher could do that too, then changed back into a weasel and scurried out of the meetinghouse. It was said that the pastor quickly changed his sermon to a discussion about the demons that exist among us. (“Laughter Keepers”)</w:t>
      </w:r>
    </w:p>
    <w:p w14:paraId="4D93A7A4" w14:textId="77777777" w:rsidR="00274B3F" w:rsidRPr="008C073E" w:rsidRDefault="00274B3F" w:rsidP="00274B3F">
      <w:pPr>
        <w:pStyle w:val="Body"/>
        <w:spacing w:line="480" w:lineRule="auto"/>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Sly Fox’s story uncannily echoes Apess’s experiences at Mashpee. In fact, the story may collapse and encode Apess’s arrival among the people and his first experience in the Meetinghouse with Wampanoag oral traditions surrounding the trickster weasel and the </w:t>
      </w:r>
      <w:r w:rsidRPr="008C073E">
        <w:rPr>
          <w:rStyle w:val="None"/>
          <w:rFonts w:ascii="Times New Roman" w:hAnsi="Times New Roman"/>
          <w:sz w:val="24"/>
          <w:szCs w:val="24"/>
        </w:rPr>
        <w:lastRenderedPageBreak/>
        <w:t>history of Mashpee resistance centered on the Meetinghouse before and after Apess’s time. The shapeshifting medicine man employs clownish, trickster antics to show up and make fun of the non-Native preacher, whose only defense is to fall back to his old Puritanical redoubt of diabolism.</w:t>
      </w:r>
      <w:r w:rsidRPr="008C073E">
        <w:rPr>
          <w:rStyle w:val="None"/>
          <w:rFonts w:ascii="Times New Roman" w:eastAsia="Times New Roman" w:hAnsi="Times New Roman" w:cs="Times New Roman"/>
          <w:sz w:val="24"/>
          <w:szCs w:val="24"/>
          <w:vertAlign w:val="superscript"/>
        </w:rPr>
        <w:footnoteReference w:id="4"/>
      </w:r>
      <w:r w:rsidRPr="008C073E">
        <w:rPr>
          <w:rStyle w:val="None"/>
          <w:rFonts w:ascii="Times New Roman" w:hAnsi="Times New Roman"/>
          <w:sz w:val="24"/>
          <w:szCs w:val="24"/>
        </w:rPr>
        <w:t xml:space="preserve"> Such lampooning of presumptive, colonial authority is a hallmark of Apess’s style in </w:t>
      </w:r>
      <w:r w:rsidRPr="007C1487">
        <w:rPr>
          <w:rStyle w:val="None"/>
          <w:rFonts w:ascii="Times New Roman" w:hAnsi="Times New Roman"/>
          <w:i/>
          <w:iCs/>
          <w:sz w:val="24"/>
          <w:szCs w:val="24"/>
          <w:lang w:val="fr-FR"/>
        </w:rPr>
        <w:t>Nullification</w:t>
      </w:r>
      <w:r w:rsidRPr="008C073E">
        <w:rPr>
          <w:rStyle w:val="None"/>
          <w:rFonts w:ascii="Times New Roman" w:hAnsi="Times New Roman"/>
          <w:sz w:val="24"/>
          <w:szCs w:val="24"/>
        </w:rPr>
        <w:t xml:space="preserve"> and is central to this portrayal of the “Traits of Colonizer Character.”</w:t>
      </w:r>
    </w:p>
    <w:p w14:paraId="3493205C" w14:textId="77777777" w:rsidR="00274B3F" w:rsidRPr="008C073E" w:rsidRDefault="00274B3F" w:rsidP="00274B3F">
      <w:pPr>
        <w:pStyle w:val="Body"/>
        <w:spacing w:line="480" w:lineRule="auto"/>
        <w:ind w:firstLine="720"/>
        <w:rPr>
          <w:rStyle w:val="None"/>
          <w:rFonts w:ascii="Times New Roman" w:hAnsi="Times New Roman"/>
          <w:sz w:val="24"/>
          <w:szCs w:val="24"/>
        </w:rPr>
      </w:pPr>
      <w:r w:rsidRPr="008C073E">
        <w:rPr>
          <w:rStyle w:val="None"/>
          <w:rFonts w:ascii="Times New Roman" w:hAnsi="Times New Roman"/>
          <w:sz w:val="24"/>
          <w:szCs w:val="24"/>
        </w:rPr>
        <w:t xml:space="preserve">In this chapter, I use the </w:t>
      </w:r>
      <w:r w:rsidRPr="008C073E">
        <w:rPr>
          <w:rStyle w:val="None"/>
          <w:rFonts w:ascii="Times New Roman" w:hAnsi="Times New Roman"/>
          <w:sz w:val="24"/>
          <w:szCs w:val="24"/>
          <w:lang w:val="de-DE"/>
        </w:rPr>
        <w:t xml:space="preserve">Ahanaeenun </w:t>
      </w:r>
      <w:r w:rsidRPr="008C073E">
        <w:rPr>
          <w:rStyle w:val="None"/>
          <w:rFonts w:ascii="Times New Roman" w:hAnsi="Times New Roman"/>
          <w:sz w:val="24"/>
          <w:szCs w:val="24"/>
        </w:rPr>
        <w:t xml:space="preserve">tradition to frame my examination of Apess’s use of humor and satire, particularly sarcasm, in </w:t>
      </w:r>
      <w:proofErr w:type="spellStart"/>
      <w:r w:rsidRPr="007C1487">
        <w:rPr>
          <w:rStyle w:val="None"/>
          <w:rFonts w:ascii="Times New Roman" w:hAnsi="Times New Roman"/>
          <w:i/>
          <w:iCs/>
          <w:sz w:val="24"/>
          <w:szCs w:val="24"/>
          <w:lang w:val="fr-FR"/>
        </w:rPr>
        <w:t>Indian</w:t>
      </w:r>
      <w:proofErr w:type="spellEnd"/>
      <w:r w:rsidRPr="007C1487">
        <w:rPr>
          <w:rStyle w:val="None"/>
          <w:rFonts w:ascii="Times New Roman" w:hAnsi="Times New Roman"/>
          <w:i/>
          <w:iCs/>
          <w:sz w:val="24"/>
          <w:szCs w:val="24"/>
          <w:lang w:val="fr-FR"/>
        </w:rPr>
        <w:t xml:space="preserve"> Nullification</w:t>
      </w:r>
      <w:r w:rsidRPr="008C073E">
        <w:rPr>
          <w:rStyle w:val="None"/>
          <w:rFonts w:ascii="Times New Roman" w:hAnsi="Times New Roman"/>
          <w:sz w:val="24"/>
          <w:szCs w:val="24"/>
          <w:lang w:val="fr-FR"/>
        </w:rPr>
        <w:t xml:space="preserve"> </w:t>
      </w:r>
      <w:r w:rsidRPr="008C073E">
        <w:rPr>
          <w:rStyle w:val="None"/>
          <w:rFonts w:ascii="Times New Roman" w:hAnsi="Times New Roman"/>
          <w:sz w:val="24"/>
          <w:szCs w:val="24"/>
        </w:rPr>
        <w:t xml:space="preserve">to communicate his contempt for non-Natives’ hypocrisy in their ongoing oppression of the Mashpee. Like the Mashpee </w:t>
      </w:r>
      <w:r w:rsidRPr="008C073E">
        <w:rPr>
          <w:rStyle w:val="None"/>
          <w:rFonts w:ascii="Times New Roman" w:hAnsi="Times New Roman"/>
          <w:sz w:val="24"/>
          <w:szCs w:val="24"/>
          <w:lang w:val="de-DE"/>
        </w:rPr>
        <w:t xml:space="preserve">Ahanaeenun </w:t>
      </w:r>
      <w:r w:rsidRPr="008C073E">
        <w:rPr>
          <w:rStyle w:val="None"/>
          <w:rFonts w:ascii="Times New Roman" w:hAnsi="Times New Roman"/>
          <w:sz w:val="24"/>
          <w:szCs w:val="24"/>
        </w:rPr>
        <w:t>Weasel Man’</w:t>
      </w:r>
      <w:r w:rsidRPr="008C073E">
        <w:rPr>
          <w:rStyle w:val="None"/>
          <w:rFonts w:ascii="Times New Roman" w:hAnsi="Times New Roman"/>
          <w:sz w:val="24"/>
          <w:szCs w:val="24"/>
          <w:lang w:val="pt-PT"/>
        </w:rPr>
        <w:t>s sudden transformation, Apess</w:t>
      </w:r>
      <w:r w:rsidRPr="008C073E">
        <w:rPr>
          <w:rStyle w:val="None"/>
          <w:rFonts w:ascii="Times New Roman" w:hAnsi="Times New Roman"/>
          <w:sz w:val="24"/>
          <w:szCs w:val="24"/>
        </w:rPr>
        <w:t>’s sarcasm interrupts non-Native authoritative narratives to voice a critique of settler-colonial scripts via his expose of the “</w:t>
      </w:r>
      <w:r w:rsidRPr="008C073E">
        <w:rPr>
          <w:rStyle w:val="None"/>
          <w:rFonts w:ascii="Times New Roman" w:hAnsi="Times New Roman"/>
          <w:sz w:val="24"/>
          <w:szCs w:val="24"/>
          <w:lang w:val="pt-PT"/>
        </w:rPr>
        <w:t>colonizer character.</w:t>
      </w:r>
      <w:r w:rsidRPr="008C073E">
        <w:rPr>
          <w:rStyle w:val="None"/>
          <w:rFonts w:ascii="Times New Roman" w:hAnsi="Times New Roman"/>
          <w:sz w:val="24"/>
          <w:szCs w:val="24"/>
        </w:rPr>
        <w:t>” I position Washington Irving as an interlocutor for Apess in this chapter because, as his quotation of Irving in A Son of the Forest suggests, Apess saw the writer of “Traits of Indian Character” as the exception that proves the rule among non-Native disclaimers of “Indian character.”</w:t>
      </w:r>
      <w:r w:rsidRPr="008C073E">
        <w:rPr>
          <w:rStyle w:val="None"/>
          <w:rFonts w:ascii="Times New Roman" w:eastAsia="Times New Roman" w:hAnsi="Times New Roman" w:cs="Times New Roman"/>
          <w:sz w:val="24"/>
          <w:szCs w:val="24"/>
          <w:vertAlign w:val="superscript"/>
        </w:rPr>
        <w:footnoteReference w:id="5"/>
      </w:r>
      <w:r w:rsidRPr="008C073E">
        <w:rPr>
          <w:rStyle w:val="None"/>
          <w:rFonts w:ascii="Times New Roman" w:hAnsi="Times New Roman"/>
          <w:sz w:val="24"/>
          <w:szCs w:val="24"/>
        </w:rPr>
        <w:t xml:space="preserve"> That is, Apess </w:t>
      </w:r>
      <w:r w:rsidRPr="008C073E">
        <w:rPr>
          <w:rStyle w:val="None"/>
          <w:rFonts w:ascii="Times New Roman" w:hAnsi="Times New Roman"/>
          <w:sz w:val="24"/>
          <w:szCs w:val="24"/>
        </w:rPr>
        <w:lastRenderedPageBreak/>
        <w:t xml:space="preserve">saw in Irving’s work proof of many white historians’ general “great misrepresentation” of Indigenous peoples (Apess, Son, 139). </w:t>
      </w:r>
    </w:p>
    <w:p w14:paraId="0B4D44D7" w14:textId="77777777" w:rsidR="00274B3F" w:rsidRPr="008C073E" w:rsidRDefault="00274B3F" w:rsidP="00274B3F">
      <w:pPr>
        <w:pStyle w:val="Body"/>
        <w:spacing w:line="480" w:lineRule="auto"/>
        <w:ind w:firstLine="720"/>
        <w:rPr>
          <w:rStyle w:val="Hyperlink"/>
          <w:rFonts w:ascii="Times New Roman" w:hAnsi="Times New Roman" w:cs="Times New Roman"/>
          <w:sz w:val="24"/>
          <w:szCs w:val="24"/>
        </w:rPr>
      </w:pPr>
      <w:r w:rsidRPr="008C073E">
        <w:rPr>
          <w:rStyle w:val="None"/>
          <w:rFonts w:ascii="Times New Roman" w:hAnsi="Times New Roman"/>
          <w:sz w:val="24"/>
          <w:szCs w:val="24"/>
        </w:rPr>
        <w:t>In this chapter, I focus on Irving’</w:t>
      </w:r>
      <w:r w:rsidRPr="008C073E">
        <w:rPr>
          <w:rStyle w:val="None"/>
          <w:rFonts w:ascii="Times New Roman" w:hAnsi="Times New Roman"/>
          <w:sz w:val="24"/>
          <w:szCs w:val="24"/>
          <w:lang w:val="fr-FR"/>
        </w:rPr>
        <w:t xml:space="preserve">s 1835 travelogue </w:t>
      </w:r>
      <w:r w:rsidRPr="007C1487">
        <w:rPr>
          <w:rStyle w:val="None"/>
          <w:rFonts w:ascii="Times New Roman" w:hAnsi="Times New Roman"/>
          <w:i/>
          <w:iCs/>
          <w:sz w:val="24"/>
          <w:szCs w:val="24"/>
        </w:rPr>
        <w:t>A Tour of the Prairies</w:t>
      </w:r>
      <w:r w:rsidRPr="008C073E">
        <w:rPr>
          <w:rStyle w:val="None"/>
          <w:rFonts w:ascii="Times New Roman" w:hAnsi="Times New Roman"/>
          <w:sz w:val="24"/>
          <w:szCs w:val="24"/>
        </w:rPr>
        <w:t xml:space="preserve"> in order to examine the subtle operation of Native humor in the text. Published in the same year as </w:t>
      </w:r>
      <w:r w:rsidRPr="007C1487">
        <w:rPr>
          <w:rStyle w:val="None"/>
          <w:rFonts w:ascii="Times New Roman" w:hAnsi="Times New Roman"/>
          <w:i/>
          <w:iCs/>
          <w:sz w:val="24"/>
          <w:szCs w:val="24"/>
          <w:lang w:val="fr-FR"/>
        </w:rPr>
        <w:t>Nullification</w:t>
      </w:r>
      <w:r w:rsidRPr="008C073E">
        <w:rPr>
          <w:rStyle w:val="None"/>
          <w:rFonts w:ascii="Times New Roman" w:hAnsi="Times New Roman"/>
          <w:sz w:val="24"/>
          <w:szCs w:val="24"/>
        </w:rPr>
        <w:t xml:space="preserve">,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presents a romanticized version of Irving’s trip in 1834 through Pawnee and Osage homelands with Indian Commissioner Henry L. Ellsworth, who had been dispatched by the U.S. government to survey lands in the so-called “</w:t>
      </w:r>
      <w:r w:rsidRPr="008C073E">
        <w:rPr>
          <w:rStyle w:val="None"/>
          <w:rFonts w:ascii="Times New Roman" w:hAnsi="Times New Roman"/>
          <w:sz w:val="24"/>
          <w:szCs w:val="24"/>
          <w:lang w:val="it-IT"/>
        </w:rPr>
        <w:t>Indian Territory</w:t>
      </w:r>
      <w:r w:rsidRPr="008C073E">
        <w:rPr>
          <w:rStyle w:val="None"/>
          <w:rFonts w:ascii="Times New Roman" w:hAnsi="Times New Roman"/>
          <w:sz w:val="24"/>
          <w:szCs w:val="24"/>
        </w:rPr>
        <w:t xml:space="preserve">” for the resettlement of forcibly deported Indigenous communities from the Southeast. Historically, literary critics have overlooked </w:t>
      </w:r>
      <w:r w:rsidRPr="007C1487">
        <w:rPr>
          <w:rStyle w:val="None"/>
          <w:rFonts w:ascii="Times New Roman" w:hAnsi="Times New Roman"/>
          <w:i/>
          <w:iCs/>
          <w:sz w:val="24"/>
          <w:szCs w:val="24"/>
        </w:rPr>
        <w:t>A Tour on the Prairies</w:t>
      </w:r>
      <w:r w:rsidRPr="008C073E">
        <w:rPr>
          <w:rStyle w:val="None"/>
          <w:rFonts w:ascii="Times New Roman" w:hAnsi="Times New Roman"/>
          <w:sz w:val="24"/>
          <w:szCs w:val="24"/>
        </w:rPr>
        <w:t xml:space="preserve"> (1832) and the other “</w:t>
      </w:r>
      <w:r w:rsidRPr="008C073E">
        <w:rPr>
          <w:rStyle w:val="None"/>
          <w:rFonts w:ascii="Times New Roman" w:hAnsi="Times New Roman"/>
          <w:sz w:val="24"/>
          <w:szCs w:val="24"/>
          <w:lang w:val="nl-NL"/>
        </w:rPr>
        <w:t>western</w:t>
      </w:r>
      <w:r w:rsidRPr="008C073E">
        <w:rPr>
          <w:rStyle w:val="None"/>
          <w:rFonts w:ascii="Times New Roman" w:hAnsi="Times New Roman"/>
          <w:sz w:val="24"/>
          <w:szCs w:val="24"/>
        </w:rPr>
        <w:t xml:space="preserve">” books Irving published upon his homecoming to the U.S. in favor of his more celebrated Sketch Book. Recent scholarship has re-examined these later works for what they can tell us about Irving’s relationship to imperialism, capitalism, and the other noxious ideologies that metastasized during fourteen years in Europe. For instance, rather than sectioning Irving’s work off into discrete periods, J. Woodrow McCree argues that the Irving of </w:t>
      </w:r>
      <w:proofErr w:type="gramStart"/>
      <w:r w:rsidRPr="007C1487">
        <w:rPr>
          <w:rStyle w:val="None"/>
          <w:rFonts w:ascii="Times New Roman" w:hAnsi="Times New Roman"/>
          <w:i/>
          <w:iCs/>
          <w:sz w:val="24"/>
          <w:szCs w:val="24"/>
        </w:rPr>
        <w:t>A</w:t>
      </w:r>
      <w:proofErr w:type="gramEnd"/>
      <w:r w:rsidRPr="007C1487">
        <w:rPr>
          <w:rStyle w:val="None"/>
          <w:rFonts w:ascii="Times New Roman" w:hAnsi="Times New Roman"/>
          <w:i/>
          <w:iCs/>
          <w:sz w:val="24"/>
          <w:szCs w:val="24"/>
        </w:rPr>
        <w:t xml:space="preserve"> Tour on the Prairies</w:t>
      </w:r>
      <w:r w:rsidRPr="008C073E">
        <w:rPr>
          <w:rStyle w:val="None"/>
          <w:rFonts w:ascii="Times New Roman" w:hAnsi="Times New Roman"/>
          <w:sz w:val="24"/>
          <w:szCs w:val="24"/>
        </w:rPr>
        <w:t xml:space="preserve"> is “essentially the same person who wrote A History of New-York” and traces the author’s consistent critique of settler colonialism (though Irving never used tha</w:t>
      </w:r>
      <w:r w:rsidRPr="008C073E">
        <w:rPr>
          <w:rStyle w:val="None"/>
          <w:rFonts w:ascii="Times New Roman" w:hAnsi="Times New Roman" w:cs="Times New Roman"/>
          <w:sz w:val="24"/>
          <w:szCs w:val="24"/>
        </w:rPr>
        <w:t>t term) across Irving’s lifetime (xii).</w:t>
      </w:r>
      <w:r w:rsidRPr="008C073E">
        <w:rPr>
          <w:rStyle w:val="Hyperlink"/>
          <w:rFonts w:ascii="Times New Roman" w:hAnsi="Times New Roman" w:cs="Times New Roman"/>
          <w:sz w:val="24"/>
          <w:szCs w:val="24"/>
        </w:rPr>
        <w:t xml:space="preserve"> </w:t>
      </w:r>
    </w:p>
    <w:p w14:paraId="2E56904C"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cf01"/>
          <w:rFonts w:ascii="Times New Roman" w:hAnsi="Times New Roman" w:cs="Times New Roman"/>
          <w:sz w:val="24"/>
          <w:szCs w:val="24"/>
        </w:rPr>
        <w:t xml:space="preserve">Here I focus less on Irving’s settler colonialism than on the </w:t>
      </w:r>
      <w:r w:rsidRPr="008C073E">
        <w:rPr>
          <w:rStyle w:val="None"/>
          <w:rFonts w:ascii="Times New Roman" w:hAnsi="Times New Roman"/>
          <w:sz w:val="24"/>
          <w:szCs w:val="24"/>
        </w:rPr>
        <w:t xml:space="preserve">Indigenous humor that creeps, unintentionally and </w:t>
      </w:r>
      <w:proofErr w:type="spellStart"/>
      <w:r w:rsidRPr="008C073E">
        <w:rPr>
          <w:rStyle w:val="None"/>
          <w:rFonts w:ascii="Times New Roman" w:hAnsi="Times New Roman"/>
          <w:sz w:val="24"/>
          <w:szCs w:val="24"/>
        </w:rPr>
        <w:t>unsurveilled</w:t>
      </w:r>
      <w:proofErr w:type="spellEnd"/>
      <w:r w:rsidRPr="008C073E">
        <w:rPr>
          <w:rStyle w:val="None"/>
          <w:rFonts w:ascii="Times New Roman" w:hAnsi="Times New Roman"/>
          <w:sz w:val="24"/>
          <w:szCs w:val="24"/>
        </w:rPr>
        <w:t xml:space="preserve">, into </w:t>
      </w:r>
      <w:r w:rsidRPr="007C1487">
        <w:rPr>
          <w:rStyle w:val="None"/>
          <w:rFonts w:ascii="Times New Roman" w:hAnsi="Times New Roman"/>
          <w:i/>
          <w:iCs/>
          <w:sz w:val="24"/>
          <w:szCs w:val="24"/>
        </w:rPr>
        <w:t>A Tour on the Prairies</w:t>
      </w:r>
      <w:r w:rsidRPr="008C073E">
        <w:rPr>
          <w:rStyle w:val="None"/>
          <w:rFonts w:ascii="Times New Roman" w:hAnsi="Times New Roman"/>
          <w:sz w:val="24"/>
          <w:szCs w:val="24"/>
        </w:rPr>
        <w:t xml:space="preserve">. Irving seems to record these moments unwittingly, and their humor often undermines Irving’s affable, worldly persona, making him and his non-Native traveling companions the butt of the </w:t>
      </w:r>
      <w:r w:rsidRPr="008C073E">
        <w:rPr>
          <w:rStyle w:val="None"/>
          <w:rFonts w:ascii="Times New Roman" w:hAnsi="Times New Roman"/>
          <w:sz w:val="24"/>
          <w:szCs w:val="24"/>
        </w:rPr>
        <w:lastRenderedPageBreak/>
        <w:t xml:space="preserve">joke. For instance, in one scene that I discuss below, Ellsworth is carrying out the diplomatic aspect of his mission by speechifying to an assembled group of Osages about the importance of keeping peace with their neighbors the Pawnees and renouncing the temptations of wasteful revenge. The rich historical ironies of Ellsworth’s message are there on the surface for any twenty-first century reader to readily appreciate; however, it all becomes hilarious when we appreciate that the hunting party has departed the village for a season and so Ellsworth’s Osage audience are mainly old men, women, and children. Their response deepens the irony of the situation. In Irving’s words: “This speech…seemed to have a most pacifying effect upon the multitude who promised faithfully that as far as in them lay, the peace should not be disturbed; and </w:t>
      </w:r>
      <w:proofErr w:type="gramStart"/>
      <w:r w:rsidRPr="008C073E">
        <w:rPr>
          <w:rStyle w:val="None"/>
          <w:rFonts w:ascii="Times New Roman" w:hAnsi="Times New Roman"/>
          <w:sz w:val="24"/>
          <w:szCs w:val="24"/>
        </w:rPr>
        <w:t>indeed</w:t>
      </w:r>
      <w:proofErr w:type="gramEnd"/>
      <w:r w:rsidRPr="008C073E">
        <w:rPr>
          <w:rStyle w:val="None"/>
          <w:rFonts w:ascii="Times New Roman" w:hAnsi="Times New Roman"/>
          <w:sz w:val="24"/>
          <w:szCs w:val="24"/>
        </w:rPr>
        <w:t xml:space="preserve"> their age and sex gave some reason to hope that they would keep their word” </w:t>
      </w:r>
      <w:r w:rsidRPr="008C073E">
        <w:rPr>
          <w:rStyle w:val="None"/>
          <w:rFonts w:ascii="Times New Roman" w:hAnsi="Times New Roman"/>
          <w:sz w:val="24"/>
          <w:szCs w:val="24"/>
          <w:lang w:val="da-DK"/>
        </w:rPr>
        <w:t xml:space="preserve">(Irving, </w:t>
      </w:r>
      <w:r w:rsidRPr="007C1487">
        <w:rPr>
          <w:rStyle w:val="None"/>
          <w:rFonts w:ascii="Times New Roman" w:hAnsi="Times New Roman"/>
          <w:i/>
          <w:iCs/>
          <w:sz w:val="24"/>
          <w:szCs w:val="24"/>
          <w:lang w:val="fr-FR"/>
        </w:rPr>
        <w:t>Tour</w:t>
      </w:r>
      <w:r w:rsidRPr="008C073E">
        <w:rPr>
          <w:rStyle w:val="None"/>
          <w:rFonts w:ascii="Times New Roman" w:hAnsi="Times New Roman"/>
          <w:sz w:val="24"/>
          <w:szCs w:val="24"/>
        </w:rPr>
        <w:t xml:space="preserve">, 25-6, emphasis added). The drift of the humor here changes whether one adopts Irving’s perspective or the Osages’. For Irving, the irony is that the old men, children, and women in the village were unlikely to go to war anyway and had limited power to decide such questions for their people. However, when one understands the complexity of Osage government and the instrumental role of the Ne </w:t>
      </w:r>
      <w:proofErr w:type="spellStart"/>
      <w:r w:rsidRPr="008C073E">
        <w:rPr>
          <w:rStyle w:val="None"/>
          <w:rFonts w:ascii="Times New Roman" w:hAnsi="Times New Roman"/>
          <w:sz w:val="24"/>
          <w:szCs w:val="24"/>
        </w:rPr>
        <w:t>ke</w:t>
      </w:r>
      <w:proofErr w:type="spellEnd"/>
      <w:r w:rsidRPr="008C073E">
        <w:rPr>
          <w:rStyle w:val="None"/>
          <w:rFonts w:ascii="Times New Roman" w:hAnsi="Times New Roman"/>
          <w:sz w:val="24"/>
          <w:szCs w:val="24"/>
        </w:rPr>
        <w:t xml:space="preserve"> </w:t>
      </w:r>
      <w:proofErr w:type="gramStart"/>
      <w:r w:rsidRPr="008C073E">
        <w:rPr>
          <w:rStyle w:val="None"/>
          <w:rFonts w:ascii="Times New Roman" w:hAnsi="Times New Roman"/>
          <w:sz w:val="24"/>
          <w:szCs w:val="24"/>
        </w:rPr>
        <w:t>a Shin ka</w:t>
      </w:r>
      <w:proofErr w:type="gramEnd"/>
      <w:r w:rsidRPr="008C073E">
        <w:rPr>
          <w:rStyle w:val="None"/>
          <w:rFonts w:ascii="Times New Roman" w:hAnsi="Times New Roman"/>
          <w:sz w:val="24"/>
          <w:szCs w:val="24"/>
        </w:rPr>
        <w:t xml:space="preserve">, the “Council of Little Old Men,” in deciding questions of peace and war, then the punchline reflects back on Ellsworth. We see his canny audience now ironically eyeing commissioner Ellsworth and his troop of U.S. rangers: “We won’t disturb the peace. Will you?” </w:t>
      </w:r>
    </w:p>
    <w:p w14:paraId="49EA832F" w14:textId="77777777" w:rsidR="00274B3F" w:rsidRPr="008C073E" w:rsidRDefault="00274B3F" w:rsidP="00274B3F">
      <w:pPr>
        <w:pStyle w:val="Body"/>
        <w:spacing w:line="480" w:lineRule="auto"/>
        <w:rPr>
          <w:rStyle w:val="None"/>
          <w:rFonts w:ascii="Times New Roman" w:eastAsia="Times New Roman" w:hAnsi="Times New Roman" w:cs="Times New Roman"/>
          <w:sz w:val="24"/>
          <w:szCs w:val="24"/>
        </w:rPr>
      </w:pPr>
      <w:r w:rsidRPr="008C073E">
        <w:rPr>
          <w:rStyle w:val="None"/>
          <w:rFonts w:ascii="Times New Roman" w:eastAsia="Times New Roman" w:hAnsi="Times New Roman" w:cs="Times New Roman"/>
          <w:sz w:val="24"/>
          <w:szCs w:val="24"/>
        </w:rPr>
        <w:tab/>
      </w:r>
      <w:r w:rsidRPr="008C073E">
        <w:rPr>
          <w:rStyle w:val="None"/>
          <w:rFonts w:ascii="Times New Roman" w:hAnsi="Times New Roman"/>
          <w:sz w:val="24"/>
          <w:szCs w:val="24"/>
        </w:rPr>
        <w:t>The Osages and Pawnees whose humor sneaks through in between the lines of Irving’s work join Apess and other Mashpee leaders in turning the romantic, proto-</w:t>
      </w:r>
      <w:r w:rsidRPr="008C073E">
        <w:rPr>
          <w:rStyle w:val="None"/>
          <w:rFonts w:ascii="Times New Roman" w:hAnsi="Times New Roman"/>
          <w:sz w:val="24"/>
          <w:szCs w:val="24"/>
        </w:rPr>
        <w:lastRenderedPageBreak/>
        <w:t xml:space="preserve">anthropological gaze back on men like Irving and Ellsworth, mimicking their authoritative scripts and sarcastically presenting them with their own estimation of colonizer character. Apess saw writing as a mirror that reflected the reader’s character. In 1833, he advised his non-Native readers that “[b]y what you read, you may learn how deep your principles are” (Apess 160). Through his use of humor, </w:t>
      </w:r>
      <w:r w:rsidRPr="007C1487">
        <w:rPr>
          <w:rStyle w:val="None"/>
          <w:rFonts w:ascii="Times New Roman" w:hAnsi="Times New Roman"/>
          <w:i/>
          <w:iCs/>
          <w:sz w:val="24"/>
          <w:szCs w:val="24"/>
        </w:rPr>
        <w:t>Nullification</w:t>
      </w:r>
      <w:r w:rsidRPr="008C073E">
        <w:rPr>
          <w:rStyle w:val="None"/>
          <w:rFonts w:ascii="Times New Roman" w:hAnsi="Times New Roman"/>
          <w:sz w:val="24"/>
          <w:szCs w:val="24"/>
        </w:rPr>
        <w:t xml:space="preserve"> becomes something like a carnival fun-house mirror, revealing the warped morality of settler colonialism.</w:t>
      </w:r>
    </w:p>
    <w:p w14:paraId="1A548C0E" w14:textId="77777777" w:rsidR="00F8213A" w:rsidRDefault="00F8213A" w:rsidP="00F8213A">
      <w:pPr>
        <w:rPr>
          <w:rStyle w:val="None"/>
          <w:rFonts w:ascii="Times New Roman" w:eastAsiaTheme="majorEastAsia" w:hAnsi="Times New Roman"/>
          <w:i/>
          <w:iCs/>
        </w:rPr>
      </w:pPr>
      <w:bookmarkStart w:id="4" w:name="_cmb1oryy2prf"/>
      <w:bookmarkEnd w:id="4"/>
    </w:p>
    <w:p w14:paraId="2F209B9F" w14:textId="77777777" w:rsidR="00F8213A" w:rsidRDefault="00F8213A" w:rsidP="00F8213A">
      <w:pPr>
        <w:rPr>
          <w:rStyle w:val="None"/>
          <w:rFonts w:ascii="Times New Roman" w:eastAsiaTheme="majorEastAsia" w:hAnsi="Times New Roman"/>
          <w:i/>
          <w:iCs/>
        </w:rPr>
      </w:pPr>
    </w:p>
    <w:p w14:paraId="44B7782B" w14:textId="3973D615" w:rsidR="00274B3F" w:rsidRPr="008752E7" w:rsidRDefault="008752E7" w:rsidP="008752E7">
      <w:pPr>
        <w:pStyle w:val="Heading2"/>
        <w:spacing w:line="480" w:lineRule="auto"/>
        <w:jc w:val="center"/>
        <w:rPr>
          <w:rStyle w:val="None"/>
          <w:rFonts w:ascii="Times New Roman" w:hAnsi="Times New Roman" w:cs="Times New Roman"/>
          <w:b/>
          <w:bCs/>
          <w:color w:val="auto"/>
          <w:sz w:val="24"/>
          <w:szCs w:val="24"/>
        </w:rPr>
      </w:pPr>
      <w:bookmarkStart w:id="5" w:name="_Toc169279166"/>
      <w:r>
        <w:rPr>
          <w:rStyle w:val="None"/>
          <w:rFonts w:ascii="Times New Roman" w:hAnsi="Times New Roman" w:cs="Times New Roman"/>
          <w:b/>
          <w:bCs/>
          <w:i/>
          <w:iCs/>
          <w:color w:val="auto"/>
          <w:sz w:val="24"/>
          <w:szCs w:val="24"/>
        </w:rPr>
        <w:t>Indian Nullification</w:t>
      </w:r>
      <w:r>
        <w:rPr>
          <w:rStyle w:val="None"/>
          <w:rFonts w:ascii="Times New Roman" w:hAnsi="Times New Roman" w:cs="Times New Roman"/>
          <w:b/>
          <w:bCs/>
          <w:color w:val="auto"/>
          <w:sz w:val="24"/>
          <w:szCs w:val="24"/>
        </w:rPr>
        <w:t xml:space="preserve">: Apess’s </w:t>
      </w:r>
      <w:proofErr w:type="gramStart"/>
      <w:r>
        <w:rPr>
          <w:rStyle w:val="None"/>
          <w:rFonts w:ascii="Times New Roman" w:hAnsi="Times New Roman" w:cs="Times New Roman"/>
          <w:b/>
          <w:bCs/>
          <w:color w:val="auto"/>
          <w:sz w:val="24"/>
          <w:szCs w:val="24"/>
        </w:rPr>
        <w:t>Fun-House Mirror</w:t>
      </w:r>
      <w:proofErr w:type="gramEnd"/>
      <w:r>
        <w:rPr>
          <w:rStyle w:val="None"/>
          <w:rFonts w:ascii="Times New Roman" w:hAnsi="Times New Roman" w:cs="Times New Roman"/>
          <w:b/>
          <w:bCs/>
          <w:color w:val="auto"/>
          <w:sz w:val="24"/>
          <w:szCs w:val="24"/>
        </w:rPr>
        <w:t xml:space="preserve"> for the White Man</w:t>
      </w:r>
      <w:bookmarkEnd w:id="5"/>
    </w:p>
    <w:p w14:paraId="4D89D825" w14:textId="1C49044B" w:rsidR="00274B3F" w:rsidRPr="008C073E" w:rsidRDefault="00274B3F" w:rsidP="008752E7">
      <w:pPr>
        <w:pStyle w:val="Body"/>
        <w:spacing w:line="480" w:lineRule="auto"/>
        <w:rPr>
          <w:rStyle w:val="None"/>
          <w:rFonts w:ascii="Times New Roman" w:eastAsia="Times New Roman" w:hAnsi="Times New Roman" w:cs="Times New Roman"/>
          <w:sz w:val="24"/>
          <w:szCs w:val="24"/>
        </w:rPr>
      </w:pPr>
      <w:r w:rsidRPr="008C073E">
        <w:rPr>
          <w:rStyle w:val="None"/>
          <w:rFonts w:ascii="Times New Roman" w:eastAsia="Times New Roman" w:hAnsi="Times New Roman" w:cs="Times New Roman"/>
          <w:sz w:val="24"/>
          <w:szCs w:val="24"/>
        </w:rPr>
        <w:tab/>
        <w:t>As Drew Lopenzina has written, Apess</w:t>
      </w:r>
      <w:r w:rsidRPr="008C073E">
        <w:rPr>
          <w:rStyle w:val="None"/>
          <w:rFonts w:ascii="Times New Roman" w:hAnsi="Times New Roman"/>
          <w:sz w:val="24"/>
          <w:szCs w:val="24"/>
        </w:rPr>
        <w:t>’s rhetorical strategy for addressing white audiences bent on misrecognizing him through the lens of settler-state myths was not outrage or sentiment, but “to reflect back” the “</w:t>
      </w:r>
      <w:r w:rsidRPr="008C073E">
        <w:rPr>
          <w:rStyle w:val="None"/>
          <w:rFonts w:ascii="Times New Roman" w:hAnsi="Times New Roman"/>
          <w:sz w:val="24"/>
          <w:szCs w:val="24"/>
          <w:lang w:val="es-ES_tradnl"/>
        </w:rPr>
        <w:t xml:space="preserve">pale </w:t>
      </w:r>
      <w:proofErr w:type="spellStart"/>
      <w:r w:rsidRPr="008C073E">
        <w:rPr>
          <w:rStyle w:val="None"/>
          <w:rFonts w:ascii="Times New Roman" w:hAnsi="Times New Roman"/>
          <w:sz w:val="24"/>
          <w:szCs w:val="24"/>
          <w:lang w:val="es-ES_tradnl"/>
        </w:rPr>
        <w:t>inconsistencies</w:t>
      </w:r>
      <w:proofErr w:type="spellEnd"/>
      <w:r w:rsidRPr="008C073E">
        <w:rPr>
          <w:rStyle w:val="None"/>
          <w:rFonts w:ascii="Times New Roman" w:hAnsi="Times New Roman"/>
          <w:sz w:val="24"/>
          <w:szCs w:val="24"/>
        </w:rPr>
        <w:t>” of their racist mischaracterization of him and the other Mashpee leaders, “formed of the logics of oppression, back at his audience in the hope that, somehow, they might give pause” (214). His efforts “may have strained at the polite boundaries” of the Christian “</w:t>
      </w:r>
      <w:proofErr w:type="spellStart"/>
      <w:r w:rsidRPr="008C073E">
        <w:rPr>
          <w:rStyle w:val="None"/>
          <w:rFonts w:ascii="Times New Roman" w:hAnsi="Times New Roman"/>
          <w:sz w:val="24"/>
          <w:szCs w:val="24"/>
          <w:lang w:val="fr-FR"/>
        </w:rPr>
        <w:t>discourse</w:t>
      </w:r>
      <w:proofErr w:type="spellEnd"/>
      <w:r w:rsidRPr="008C073E">
        <w:rPr>
          <w:rStyle w:val="None"/>
          <w:rFonts w:ascii="Times New Roman" w:hAnsi="Times New Roman"/>
          <w:sz w:val="24"/>
          <w:szCs w:val="24"/>
        </w:rPr>
        <w:t>” he adapted to the ends of pressing for Native agency, but Apess also strained the boundaries of expected Native discourse in the nineteenth century (4). In this section I will examine how Apess strategically strained those boundaries with humor. “</w:t>
      </w:r>
      <w:r w:rsidRPr="008C073E">
        <w:rPr>
          <w:rStyle w:val="None"/>
          <w:rFonts w:ascii="Times New Roman" w:hAnsi="Times New Roman"/>
          <w:sz w:val="24"/>
          <w:szCs w:val="24"/>
          <w:lang w:val="pt-PT"/>
        </w:rPr>
        <w:t>Apess</w:t>
      </w:r>
      <w:r w:rsidRPr="008C073E">
        <w:rPr>
          <w:rStyle w:val="None"/>
          <w:rFonts w:ascii="Times New Roman" w:hAnsi="Times New Roman"/>
          <w:sz w:val="24"/>
          <w:szCs w:val="24"/>
        </w:rPr>
        <w:t xml:space="preserve">’s wit,” Lopenzina writes, “his political consciousness, his provocative engagement with history, and even his bifurcated brand of Christianity all work to powerfully subvert passive notions of Native identity” (3) and “kept him at a rhetorical remove from other </w:t>
      </w:r>
      <w:r w:rsidRPr="008C073E">
        <w:rPr>
          <w:rStyle w:val="None"/>
          <w:rFonts w:ascii="Times New Roman" w:hAnsi="Times New Roman"/>
          <w:sz w:val="24"/>
          <w:szCs w:val="24"/>
        </w:rPr>
        <w:lastRenderedPageBreak/>
        <w:t xml:space="preserve">nineteenth-century Native figures, such as Tecumseh, Black Hawk, Geronimo, or Sitting Bull, who were involved in what might seem like more tangible struggles for land and cultural identity” (4).  Unlike these figures who rightly protested broken treaties and stolen land, Apess worked within the center of the settler-state in the Northeast to expose the illogicality of settler-colonial thought undergirding such atrocities. His tools were a sarcastic disregard for the tropes of authority and the satirist’s desire to bring balance: in other words, the tools of the </w:t>
      </w:r>
      <w:r w:rsidRPr="008C073E">
        <w:rPr>
          <w:rStyle w:val="None"/>
          <w:rFonts w:ascii="Times New Roman" w:hAnsi="Times New Roman"/>
          <w:sz w:val="24"/>
          <w:szCs w:val="24"/>
          <w:lang w:val="pt-PT"/>
        </w:rPr>
        <w:t xml:space="preserve">Ahanaeenun. </w:t>
      </w:r>
    </w:p>
    <w:p w14:paraId="3C35EB11"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The sarcasm of the </w:t>
      </w:r>
      <w:r w:rsidRPr="008C073E">
        <w:rPr>
          <w:rStyle w:val="None"/>
          <w:rFonts w:ascii="Times New Roman" w:hAnsi="Times New Roman"/>
          <w:sz w:val="24"/>
          <w:szCs w:val="24"/>
          <w:lang w:val="de-DE"/>
        </w:rPr>
        <w:t xml:space="preserve">Ahanaeenun </w:t>
      </w:r>
      <w:r w:rsidRPr="008C073E">
        <w:rPr>
          <w:rStyle w:val="None"/>
          <w:rFonts w:ascii="Times New Roman" w:hAnsi="Times New Roman"/>
          <w:sz w:val="24"/>
          <w:szCs w:val="24"/>
        </w:rPr>
        <w:t xml:space="preserve">is obvious from the very beginning of </w:t>
      </w:r>
      <w:r w:rsidRPr="007C1487">
        <w:rPr>
          <w:rStyle w:val="None"/>
          <w:rFonts w:ascii="Times New Roman" w:hAnsi="Times New Roman"/>
          <w:i/>
          <w:iCs/>
          <w:sz w:val="24"/>
          <w:szCs w:val="24"/>
          <w:lang w:val="it-IT"/>
        </w:rPr>
        <w:t>Indian Nullification</w:t>
      </w:r>
      <w:r w:rsidRPr="008C073E">
        <w:rPr>
          <w:rStyle w:val="None"/>
          <w:rFonts w:ascii="Times New Roman" w:hAnsi="Times New Roman"/>
          <w:sz w:val="24"/>
          <w:szCs w:val="24"/>
        </w:rPr>
        <w:t xml:space="preserve">, where the book’s title page declares its full title: </w:t>
      </w:r>
      <w:r w:rsidRPr="007C1487">
        <w:rPr>
          <w:rStyle w:val="None"/>
          <w:rFonts w:ascii="Times New Roman" w:hAnsi="Times New Roman"/>
          <w:i/>
          <w:iCs/>
          <w:sz w:val="24"/>
          <w:szCs w:val="24"/>
        </w:rPr>
        <w:t xml:space="preserve">Indian Nullification of the Unconstitutional Laws of Massachusetts Relative to the Mashpee Tribe: </w:t>
      </w:r>
      <w:proofErr w:type="gramStart"/>
      <w:r w:rsidRPr="007C1487">
        <w:rPr>
          <w:rStyle w:val="None"/>
          <w:rFonts w:ascii="Times New Roman" w:hAnsi="Times New Roman"/>
          <w:i/>
          <w:iCs/>
          <w:sz w:val="24"/>
          <w:szCs w:val="24"/>
        </w:rPr>
        <w:t>or,</w:t>
      </w:r>
      <w:proofErr w:type="gramEnd"/>
      <w:r w:rsidRPr="007C1487">
        <w:rPr>
          <w:rStyle w:val="None"/>
          <w:rFonts w:ascii="Times New Roman" w:hAnsi="Times New Roman"/>
          <w:i/>
          <w:iCs/>
          <w:sz w:val="24"/>
          <w:szCs w:val="24"/>
        </w:rPr>
        <w:t xml:space="preserve"> The Pretended Riot Explained, by William Apes</w:t>
      </w:r>
      <w:r w:rsidRPr="008C073E">
        <w:rPr>
          <w:rStyle w:val="None"/>
          <w:rFonts w:ascii="Times New Roman" w:hAnsi="Times New Roman"/>
          <w:sz w:val="24"/>
          <w:szCs w:val="24"/>
        </w:rPr>
        <w:t xml:space="preserve"> </w:t>
      </w:r>
      <w:r w:rsidRPr="008C073E">
        <w:rPr>
          <w:rStyle w:val="None"/>
          <w:rFonts w:ascii="Times New Roman" w:hAnsi="Times New Roman"/>
          <w:sz w:val="24"/>
          <w:szCs w:val="24"/>
          <w:lang w:val="de-DE"/>
        </w:rPr>
        <w:t>(sic)</w:t>
      </w:r>
      <w:r w:rsidRPr="008C073E">
        <w:rPr>
          <w:rStyle w:val="None"/>
          <w:rFonts w:ascii="Times New Roman" w:hAnsi="Times New Roman"/>
          <w:sz w:val="24"/>
          <w:szCs w:val="24"/>
        </w:rPr>
        <w:t>, an Indian and Preacher of the Gospel. In the period between 1833 and 1835, the white press in the area around Mashpee referred to the Mashpees’ peaceful assertion of sovereignty as a “riot,” “revolt,” “</w:t>
      </w:r>
      <w:r w:rsidRPr="008C073E">
        <w:rPr>
          <w:rStyle w:val="None"/>
          <w:rFonts w:ascii="Times New Roman" w:hAnsi="Times New Roman"/>
          <w:sz w:val="24"/>
          <w:szCs w:val="24"/>
          <w:lang w:val="nl-NL"/>
        </w:rPr>
        <w:t>open rebellion,</w:t>
      </w:r>
      <w:r w:rsidRPr="008C073E">
        <w:rPr>
          <w:rStyle w:val="None"/>
          <w:rFonts w:ascii="Times New Roman" w:hAnsi="Times New Roman"/>
          <w:sz w:val="24"/>
          <w:szCs w:val="24"/>
        </w:rPr>
        <w:t>” or “</w:t>
      </w:r>
      <w:r w:rsidRPr="008C073E">
        <w:rPr>
          <w:rStyle w:val="None"/>
          <w:rFonts w:ascii="Times New Roman" w:hAnsi="Times New Roman"/>
          <w:sz w:val="24"/>
          <w:szCs w:val="24"/>
          <w:lang w:val="fr-FR"/>
        </w:rPr>
        <w:t>insurrection.</w:t>
      </w:r>
      <w:r w:rsidRPr="008C073E">
        <w:rPr>
          <w:rStyle w:val="None"/>
          <w:rFonts w:ascii="Times New Roman" w:hAnsi="Times New Roman"/>
          <w:sz w:val="24"/>
          <w:szCs w:val="24"/>
        </w:rPr>
        <w:t>” Such language derives from prevalent historical and literary conventions that depicted Indigenous peoples as particularly and “savagely” violent. To the colonial mind, any Native resistance to white encroachment must necessarily be armed and bloody. Apess’s chosen title addresses both sides: by naming the Mashpee political movement “</w:t>
      </w:r>
      <w:proofErr w:type="spellStart"/>
      <w:r w:rsidRPr="008C073E">
        <w:rPr>
          <w:rStyle w:val="None"/>
          <w:rFonts w:ascii="Times New Roman" w:hAnsi="Times New Roman"/>
          <w:sz w:val="24"/>
          <w:szCs w:val="24"/>
          <w:lang w:val="fr-FR"/>
        </w:rPr>
        <w:t>Indian</w:t>
      </w:r>
      <w:proofErr w:type="spellEnd"/>
      <w:r w:rsidRPr="008C073E">
        <w:rPr>
          <w:rStyle w:val="None"/>
          <w:rFonts w:ascii="Times New Roman" w:hAnsi="Times New Roman"/>
          <w:sz w:val="24"/>
          <w:szCs w:val="24"/>
          <w:lang w:val="fr-FR"/>
        </w:rPr>
        <w:t xml:space="preserve"> Nullification,</w:t>
      </w:r>
      <w:r w:rsidRPr="008C073E">
        <w:rPr>
          <w:rStyle w:val="None"/>
          <w:rFonts w:ascii="Times New Roman" w:hAnsi="Times New Roman"/>
          <w:sz w:val="24"/>
          <w:szCs w:val="24"/>
        </w:rPr>
        <w:t xml:space="preserve">” he references the contemporary nullification crisis with South Carolina. In doing so, Apess “unyoke[s] nullification as a political practice from the arguments of southern US states” and invests the Mashpees protest with a contemporary language of political resistance intelligible to white Americans (Zuck </w:t>
      </w:r>
      <w:r w:rsidRPr="008C073E">
        <w:rPr>
          <w:rStyle w:val="None"/>
          <w:rFonts w:ascii="Times New Roman" w:hAnsi="Times New Roman"/>
          <w:sz w:val="24"/>
          <w:szCs w:val="24"/>
        </w:rPr>
        <w:lastRenderedPageBreak/>
        <w:t>397).</w:t>
      </w:r>
      <w:r w:rsidRPr="008C073E">
        <w:rPr>
          <w:rStyle w:val="None"/>
          <w:rFonts w:ascii="Times New Roman" w:eastAsia="Times New Roman" w:hAnsi="Times New Roman" w:cs="Times New Roman"/>
          <w:sz w:val="24"/>
          <w:szCs w:val="24"/>
          <w:vertAlign w:val="superscript"/>
        </w:rPr>
        <w:footnoteReference w:id="6"/>
      </w:r>
      <w:r w:rsidRPr="008C073E">
        <w:rPr>
          <w:rStyle w:val="None"/>
          <w:rFonts w:ascii="Times New Roman" w:hAnsi="Times New Roman"/>
          <w:sz w:val="24"/>
          <w:szCs w:val="24"/>
        </w:rPr>
        <w:t xml:space="preserve"> However, by naming the Mashpees’ movement the “Pretended Riot,” Apess also points out the fictionality of the white press’s prophecies of Native violence. Moreover, the “Pretended Riot” also points ironically to the Massachusetts state officials who react to the Mashpees’ declaration of autonomy by threatening to send armed troops to the town. Thus, the title holds out a hand to Apess’s white readers, offering to put recent events in a context and language they can understand, but only if they leave their biases and preconceived notions of “Indian character” at the door of the Meetinghouse. </w:t>
      </w:r>
    </w:p>
    <w:p w14:paraId="7B87CD07"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Even before the title page, though, Apess announces his satirical perspective through the inclusion of a woodcut frontispiece illustration entitled “Manner of Instructing the Indians.”</w:t>
      </w:r>
      <w:r w:rsidRPr="008C073E">
        <w:rPr>
          <w:rStyle w:val="None"/>
          <w:rFonts w:ascii="Times New Roman" w:eastAsia="Times New Roman" w:hAnsi="Times New Roman" w:cs="Times New Roman"/>
          <w:sz w:val="24"/>
          <w:szCs w:val="24"/>
          <w:vertAlign w:val="superscript"/>
        </w:rPr>
        <w:footnoteReference w:id="7"/>
      </w:r>
      <w:r w:rsidRPr="008C073E">
        <w:rPr>
          <w:rStyle w:val="None"/>
          <w:rFonts w:ascii="Times New Roman" w:hAnsi="Times New Roman"/>
          <w:sz w:val="24"/>
          <w:szCs w:val="24"/>
        </w:rPr>
        <w:t xml:space="preserve"> The </w:t>
      </w:r>
    </w:p>
    <w:p w14:paraId="23D18E4A" w14:textId="77777777" w:rsidR="00274B3F" w:rsidRPr="008C073E" w:rsidRDefault="00274B3F" w:rsidP="00274B3F">
      <w:pPr>
        <w:pStyle w:val="Body"/>
        <w:spacing w:line="480" w:lineRule="auto"/>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engraving shows a Northeast woodland Indigenous figure reaching out to grasp the arm of a white man in apparent greeting. The white man seems to reciprocate the gesture while holding a bottle of liquor aloft in the other hand. In the background, an Indigenous couple can be seen beside a wigwam while a second white figure watches the transaction </w:t>
      </w:r>
      <w:r w:rsidRPr="008C073E">
        <w:rPr>
          <w:rStyle w:val="None"/>
          <w:rFonts w:ascii="Times New Roman" w:hAnsi="Times New Roman"/>
          <w:sz w:val="24"/>
          <w:szCs w:val="24"/>
        </w:rPr>
        <w:lastRenderedPageBreak/>
        <w:t xml:space="preserve">over his shoulder as he drives a wagonful of timber away from the village, his horse’s legs raised at full gallop. The  </w:t>
      </w:r>
    </w:p>
    <w:p w14:paraId="62D4E069" w14:textId="77777777" w:rsidR="00F8213A" w:rsidRDefault="00274B3F" w:rsidP="00F8213A">
      <w:pPr>
        <w:pStyle w:val="Body"/>
        <w:spacing w:line="480" w:lineRule="auto"/>
        <w:rPr>
          <w:rStyle w:val="None"/>
          <w:rFonts w:ascii="Times New Roman" w:hAnsi="Times New Roman"/>
          <w:sz w:val="24"/>
          <w:szCs w:val="24"/>
        </w:rPr>
      </w:pPr>
      <w:r w:rsidRPr="008C073E">
        <w:rPr>
          <w:rStyle w:val="None"/>
          <w:rFonts w:ascii="Times New Roman" w:hAnsi="Times New Roman"/>
          <w:sz w:val="24"/>
          <w:szCs w:val="24"/>
        </w:rPr>
        <w:t xml:space="preserve">engraving addresses Native and white audiences at the same time with different messages. To white audiences, it condemns the underhanded ways in which colonial forces have tricked and coerced Native people into “selling” their land. The simultaneous gesture of friendship and offer of the liquor bottle capture this double-dealing and the man escaping with what is obviously Native-owned timber connects the apparent gift to the ongoing history of colonial theft. Apess preached frequently on the dangers of intemperance and condemned in print the colonial practice of cultivating drunkenness among Native communities. In A Son of the Forest, he blames the sufferings of his youth “in a great measure to the whites, inasmuch as they introduced among my countrymen that bane of comfort and happiness, ardent spirits—seduced them into a love of it </w:t>
      </w:r>
      <w:r w:rsidR="00F8213A">
        <w:rPr>
          <w:rStyle w:val="None"/>
          <w:rFonts w:ascii="Times New Roman" w:hAnsi="Times New Roman"/>
          <w:sz w:val="24"/>
          <w:szCs w:val="24"/>
        </w:rPr>
        <w:br w:type="page"/>
      </w:r>
    </w:p>
    <w:p w14:paraId="04ED51BD" w14:textId="4107B0FC" w:rsidR="00F8213A" w:rsidRPr="008C073E" w:rsidRDefault="00287C65" w:rsidP="00F8213A">
      <w:pPr>
        <w:pStyle w:val="Body"/>
        <w:spacing w:line="480" w:lineRule="auto"/>
        <w:rPr>
          <w:rStyle w:val="None"/>
          <w:rFonts w:ascii="Times New Roman" w:eastAsia="Times New Roman" w:hAnsi="Times New Roman" w:cs="Times New Roman"/>
          <w:sz w:val="24"/>
          <w:szCs w:val="24"/>
        </w:rPr>
      </w:pPr>
      <w:r>
        <w:rPr>
          <w:noProof/>
        </w:rPr>
        <w:lastRenderedPageBreak/>
        <mc:AlternateContent>
          <mc:Choice Requires="wps">
            <w:drawing>
              <wp:anchor distT="0" distB="0" distL="114300" distR="114300" simplePos="0" relativeHeight="251670528" behindDoc="0" locked="0" layoutInCell="1" allowOverlap="1" wp14:anchorId="0386AC5D" wp14:editId="754CE793">
                <wp:simplePos x="0" y="0"/>
                <wp:positionH relativeFrom="margin">
                  <wp:posOffset>-472</wp:posOffset>
                </wp:positionH>
                <wp:positionV relativeFrom="paragraph">
                  <wp:posOffset>4237990</wp:posOffset>
                </wp:positionV>
                <wp:extent cx="5943600" cy="635"/>
                <wp:effectExtent l="0" t="0" r="0" b="2540"/>
                <wp:wrapTopAndBottom/>
                <wp:docPr id="283238791"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5A85D0F" w14:textId="0DD85594" w:rsidR="00287C65" w:rsidRPr="00287C65" w:rsidRDefault="00287C65" w:rsidP="00287C65">
                            <w:pPr>
                              <w:pStyle w:val="Caption"/>
                              <w:spacing w:line="480" w:lineRule="auto"/>
                              <w:rPr>
                                <w:rFonts w:ascii="Times New Roman" w:eastAsia="Arial Unicode MS" w:hAnsi="Times New Roman" w:cs="Times New Roman"/>
                                <w:i w:val="0"/>
                                <w:iCs w:val="0"/>
                                <w:noProof/>
                                <w:color w:val="auto"/>
                                <w:kern w:val="0"/>
                                <w:sz w:val="24"/>
                                <w:szCs w:val="24"/>
                                <w:u w:color="000000"/>
                                <w:bdr w:val="nil"/>
                                <w14:textOutline w14:w="0" w14:cap="flat" w14:cmpd="sng" w14:algn="ctr">
                                  <w14:noFill/>
                                  <w14:prstDash w14:val="solid"/>
                                  <w14:bevel/>
                                </w14:textOutline>
                                <w14:ligatures w14:val="none"/>
                              </w:rPr>
                            </w:pPr>
                            <w:bookmarkStart w:id="6" w:name="_Toc169278857"/>
                            <w:r w:rsidRPr="00287C65">
                              <w:rPr>
                                <w:rFonts w:ascii="Times New Roman" w:hAnsi="Times New Roman" w:cs="Times New Roman"/>
                                <w:i w:val="0"/>
                                <w:iCs w:val="0"/>
                                <w:color w:val="auto"/>
                                <w:sz w:val="24"/>
                                <w:szCs w:val="24"/>
                              </w:rPr>
                              <w:t xml:space="preserve">Figure </w:t>
                            </w:r>
                            <w:r w:rsidRPr="00287C65">
                              <w:rPr>
                                <w:rFonts w:ascii="Times New Roman" w:hAnsi="Times New Roman" w:cs="Times New Roman"/>
                                <w:i w:val="0"/>
                                <w:iCs w:val="0"/>
                                <w:color w:val="auto"/>
                                <w:sz w:val="24"/>
                                <w:szCs w:val="24"/>
                              </w:rPr>
                              <w:fldChar w:fldCharType="begin"/>
                            </w:r>
                            <w:r w:rsidRPr="00287C65">
                              <w:rPr>
                                <w:rFonts w:ascii="Times New Roman" w:hAnsi="Times New Roman" w:cs="Times New Roman"/>
                                <w:i w:val="0"/>
                                <w:iCs w:val="0"/>
                                <w:color w:val="auto"/>
                                <w:sz w:val="24"/>
                                <w:szCs w:val="24"/>
                              </w:rPr>
                              <w:instrText xml:space="preserve"> SEQ Figure \* ARABIC </w:instrText>
                            </w:r>
                            <w:r w:rsidRPr="00287C65">
                              <w:rPr>
                                <w:rFonts w:ascii="Times New Roman" w:hAnsi="Times New Roman" w:cs="Times New Roman"/>
                                <w:i w:val="0"/>
                                <w:iCs w:val="0"/>
                                <w:color w:val="auto"/>
                                <w:sz w:val="24"/>
                                <w:szCs w:val="24"/>
                              </w:rPr>
                              <w:fldChar w:fldCharType="separate"/>
                            </w:r>
                            <w:r w:rsidRPr="00287C65">
                              <w:rPr>
                                <w:rFonts w:ascii="Times New Roman" w:hAnsi="Times New Roman" w:cs="Times New Roman"/>
                                <w:i w:val="0"/>
                                <w:iCs w:val="0"/>
                                <w:noProof/>
                                <w:color w:val="auto"/>
                                <w:sz w:val="24"/>
                                <w:szCs w:val="24"/>
                              </w:rPr>
                              <w:t>1</w:t>
                            </w:r>
                            <w:r w:rsidRPr="00287C65">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 xml:space="preserve">. </w:t>
                            </w:r>
                            <w:r w:rsidRPr="00287C65">
                              <w:rPr>
                                <w:rFonts w:ascii="Times New Roman" w:hAnsi="Times New Roman" w:cs="Times New Roman"/>
                                <w:i w:val="0"/>
                                <w:iCs w:val="0"/>
                                <w:color w:val="auto"/>
                                <w:sz w:val="24"/>
                                <w:szCs w:val="24"/>
                              </w:rPr>
                              <w:t xml:space="preserve">Anonymous. </w:t>
                            </w:r>
                            <w:r>
                              <w:rPr>
                                <w:rFonts w:ascii="Times New Roman" w:hAnsi="Times New Roman" w:cs="Times New Roman"/>
                                <w:i w:val="0"/>
                                <w:iCs w:val="0"/>
                                <w:color w:val="auto"/>
                                <w:sz w:val="24"/>
                                <w:szCs w:val="24"/>
                              </w:rPr>
                              <w:t>“</w:t>
                            </w:r>
                            <w:r w:rsidRPr="00287C65">
                              <w:rPr>
                                <w:rFonts w:ascii="Times New Roman" w:hAnsi="Times New Roman" w:cs="Times New Roman"/>
                                <w:i w:val="0"/>
                                <w:iCs w:val="0"/>
                                <w:color w:val="auto"/>
                                <w:sz w:val="24"/>
                                <w:szCs w:val="24"/>
                              </w:rPr>
                              <w:t>Manner of Instructing the Indians.</w:t>
                            </w:r>
                            <w:r>
                              <w:rPr>
                                <w:rFonts w:ascii="Times New Roman" w:hAnsi="Times New Roman" w:cs="Times New Roman"/>
                                <w:i w:val="0"/>
                                <w:iCs w:val="0"/>
                                <w:color w:val="auto"/>
                                <w:sz w:val="24"/>
                                <w:szCs w:val="24"/>
                              </w:rPr>
                              <w:t>”</w:t>
                            </w:r>
                            <w:r w:rsidRPr="00287C65">
                              <w:rPr>
                                <w:rFonts w:ascii="Times New Roman" w:hAnsi="Times New Roman" w:cs="Times New Roman"/>
                                <w:i w:val="0"/>
                                <w:iCs w:val="0"/>
                                <w:color w:val="auto"/>
                                <w:sz w:val="24"/>
                                <w:szCs w:val="24"/>
                              </w:rPr>
                              <w:t xml:space="preserve"> 1835. </w:t>
                            </w:r>
                            <w:r w:rsidRPr="00287C65">
                              <w:rPr>
                                <w:rFonts w:ascii="Times New Roman" w:hAnsi="Times New Roman" w:cs="Times New Roman"/>
                                <w:color w:val="auto"/>
                                <w:sz w:val="24"/>
                                <w:szCs w:val="24"/>
                              </w:rPr>
                              <w:t xml:space="preserve">Indian Nullification of the Unconstitutional Laws of Massachusetts, Relative to the Marshpee Tribe: </w:t>
                            </w:r>
                            <w:proofErr w:type="gramStart"/>
                            <w:r w:rsidRPr="00287C65">
                              <w:rPr>
                                <w:rFonts w:ascii="Times New Roman" w:hAnsi="Times New Roman" w:cs="Times New Roman"/>
                                <w:color w:val="auto"/>
                                <w:sz w:val="24"/>
                                <w:szCs w:val="24"/>
                              </w:rPr>
                              <w:t>Or,</w:t>
                            </w:r>
                            <w:proofErr w:type="gramEnd"/>
                            <w:r w:rsidRPr="00287C65">
                              <w:rPr>
                                <w:rFonts w:ascii="Times New Roman" w:hAnsi="Times New Roman" w:cs="Times New Roman"/>
                                <w:color w:val="auto"/>
                                <w:sz w:val="24"/>
                                <w:szCs w:val="24"/>
                              </w:rPr>
                              <w:t xml:space="preserve"> the Pretended Riot Explained</w:t>
                            </w:r>
                            <w:r w:rsidRPr="00287C65">
                              <w:rPr>
                                <w:rFonts w:ascii="Times New Roman" w:hAnsi="Times New Roman" w:cs="Times New Roman"/>
                                <w:i w:val="0"/>
                                <w:iCs w:val="0"/>
                                <w:color w:val="auto"/>
                                <w:sz w:val="24"/>
                                <w:szCs w:val="24"/>
                              </w:rPr>
                              <w:t>, Jonathan Howe, 1835, frontispiece.</w:t>
                            </w:r>
                            <w:bookmarkEnd w:id="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386AC5D" id="_x0000_t202" coordsize="21600,21600" o:spt="202" path="m,l,21600r21600,l21600,xe">
                <v:stroke joinstyle="miter"/>
                <v:path gradientshapeok="t" o:connecttype="rect"/>
              </v:shapetype>
              <v:shape id="_x0000_s1026" type="#_x0000_t202" style="position:absolute;margin-left:-.05pt;margin-top:333.7pt;width:468pt;height:.05pt;z-index:2516705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" stroked="f">
                <v:textbox style="mso-fit-shape-to-text:t" inset="0,0,0,0">
                  <w:txbxContent>
                    <w:p w14:paraId="55A85D0F" w14:textId="0DD85594" w:rsidR="00287C65" w:rsidRPr="00287C65" w:rsidRDefault="00287C65" w:rsidP="00287C65">
                      <w:pPr>
                        <w:pStyle w:val="Caption"/>
                        <w:spacing w:line="480" w:lineRule="auto"/>
                        <w:rPr>
                          <w:rFonts w:ascii="Times New Roman" w:eastAsia="Arial Unicode MS" w:hAnsi="Times New Roman" w:cs="Times New Roman"/>
                          <w:i w:val="0"/>
                          <w:iCs w:val="0"/>
                          <w:noProof/>
                          <w:color w:val="auto"/>
                          <w:kern w:val="0"/>
                          <w:sz w:val="24"/>
                          <w:szCs w:val="24"/>
                          <w:u w:color="000000"/>
                          <w:bdr w:val="nil"/>
                          <w14:textOutline w14:w="0" w14:cap="flat" w14:cmpd="sng" w14:algn="ctr">
                            <w14:noFill/>
                            <w14:prstDash w14:val="solid"/>
                            <w14:bevel/>
                          </w14:textOutline>
                          <w14:ligatures w14:val="none"/>
                        </w:rPr>
                      </w:pPr>
                      <w:bookmarkStart w:id="7" w:name="_Toc169278857"/>
                      <w:r w:rsidRPr="00287C65">
                        <w:rPr>
                          <w:rFonts w:ascii="Times New Roman" w:hAnsi="Times New Roman" w:cs="Times New Roman"/>
                          <w:i w:val="0"/>
                          <w:iCs w:val="0"/>
                          <w:color w:val="auto"/>
                          <w:sz w:val="24"/>
                          <w:szCs w:val="24"/>
                        </w:rPr>
                        <w:t xml:space="preserve">Figure </w:t>
                      </w:r>
                      <w:r w:rsidRPr="00287C65">
                        <w:rPr>
                          <w:rFonts w:ascii="Times New Roman" w:hAnsi="Times New Roman" w:cs="Times New Roman"/>
                          <w:i w:val="0"/>
                          <w:iCs w:val="0"/>
                          <w:color w:val="auto"/>
                          <w:sz w:val="24"/>
                          <w:szCs w:val="24"/>
                        </w:rPr>
                        <w:fldChar w:fldCharType="begin"/>
                      </w:r>
                      <w:r w:rsidRPr="00287C65">
                        <w:rPr>
                          <w:rFonts w:ascii="Times New Roman" w:hAnsi="Times New Roman" w:cs="Times New Roman"/>
                          <w:i w:val="0"/>
                          <w:iCs w:val="0"/>
                          <w:color w:val="auto"/>
                          <w:sz w:val="24"/>
                          <w:szCs w:val="24"/>
                        </w:rPr>
                        <w:instrText xml:space="preserve"> SEQ Figure \* ARABIC </w:instrText>
                      </w:r>
                      <w:r w:rsidRPr="00287C65">
                        <w:rPr>
                          <w:rFonts w:ascii="Times New Roman" w:hAnsi="Times New Roman" w:cs="Times New Roman"/>
                          <w:i w:val="0"/>
                          <w:iCs w:val="0"/>
                          <w:color w:val="auto"/>
                          <w:sz w:val="24"/>
                          <w:szCs w:val="24"/>
                        </w:rPr>
                        <w:fldChar w:fldCharType="separate"/>
                      </w:r>
                      <w:r w:rsidRPr="00287C65">
                        <w:rPr>
                          <w:rFonts w:ascii="Times New Roman" w:hAnsi="Times New Roman" w:cs="Times New Roman"/>
                          <w:i w:val="0"/>
                          <w:iCs w:val="0"/>
                          <w:noProof/>
                          <w:color w:val="auto"/>
                          <w:sz w:val="24"/>
                          <w:szCs w:val="24"/>
                        </w:rPr>
                        <w:t>1</w:t>
                      </w:r>
                      <w:r w:rsidRPr="00287C65">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 xml:space="preserve">. </w:t>
                      </w:r>
                      <w:r w:rsidRPr="00287C65">
                        <w:rPr>
                          <w:rFonts w:ascii="Times New Roman" w:hAnsi="Times New Roman" w:cs="Times New Roman"/>
                          <w:i w:val="0"/>
                          <w:iCs w:val="0"/>
                          <w:color w:val="auto"/>
                          <w:sz w:val="24"/>
                          <w:szCs w:val="24"/>
                        </w:rPr>
                        <w:t xml:space="preserve">Anonymous. </w:t>
                      </w:r>
                      <w:r>
                        <w:rPr>
                          <w:rFonts w:ascii="Times New Roman" w:hAnsi="Times New Roman" w:cs="Times New Roman"/>
                          <w:i w:val="0"/>
                          <w:iCs w:val="0"/>
                          <w:color w:val="auto"/>
                          <w:sz w:val="24"/>
                          <w:szCs w:val="24"/>
                        </w:rPr>
                        <w:t>“</w:t>
                      </w:r>
                      <w:r w:rsidRPr="00287C65">
                        <w:rPr>
                          <w:rFonts w:ascii="Times New Roman" w:hAnsi="Times New Roman" w:cs="Times New Roman"/>
                          <w:i w:val="0"/>
                          <w:iCs w:val="0"/>
                          <w:color w:val="auto"/>
                          <w:sz w:val="24"/>
                          <w:szCs w:val="24"/>
                        </w:rPr>
                        <w:t>Manner of Instructing the Indians.</w:t>
                      </w:r>
                      <w:r>
                        <w:rPr>
                          <w:rFonts w:ascii="Times New Roman" w:hAnsi="Times New Roman" w:cs="Times New Roman"/>
                          <w:i w:val="0"/>
                          <w:iCs w:val="0"/>
                          <w:color w:val="auto"/>
                          <w:sz w:val="24"/>
                          <w:szCs w:val="24"/>
                        </w:rPr>
                        <w:t>”</w:t>
                      </w:r>
                      <w:r w:rsidRPr="00287C65">
                        <w:rPr>
                          <w:rFonts w:ascii="Times New Roman" w:hAnsi="Times New Roman" w:cs="Times New Roman"/>
                          <w:i w:val="0"/>
                          <w:iCs w:val="0"/>
                          <w:color w:val="auto"/>
                          <w:sz w:val="24"/>
                          <w:szCs w:val="24"/>
                        </w:rPr>
                        <w:t xml:space="preserve"> 1835. </w:t>
                      </w:r>
                      <w:r w:rsidRPr="00287C65">
                        <w:rPr>
                          <w:rFonts w:ascii="Times New Roman" w:hAnsi="Times New Roman" w:cs="Times New Roman"/>
                          <w:color w:val="auto"/>
                          <w:sz w:val="24"/>
                          <w:szCs w:val="24"/>
                        </w:rPr>
                        <w:t xml:space="preserve">Indian Nullification of the Unconstitutional Laws of Massachusetts, Relative to the Marshpee Tribe: </w:t>
                      </w:r>
                      <w:proofErr w:type="gramStart"/>
                      <w:r w:rsidRPr="00287C65">
                        <w:rPr>
                          <w:rFonts w:ascii="Times New Roman" w:hAnsi="Times New Roman" w:cs="Times New Roman"/>
                          <w:color w:val="auto"/>
                          <w:sz w:val="24"/>
                          <w:szCs w:val="24"/>
                        </w:rPr>
                        <w:t>Or,</w:t>
                      </w:r>
                      <w:proofErr w:type="gramEnd"/>
                      <w:r w:rsidRPr="00287C65">
                        <w:rPr>
                          <w:rFonts w:ascii="Times New Roman" w:hAnsi="Times New Roman" w:cs="Times New Roman"/>
                          <w:color w:val="auto"/>
                          <w:sz w:val="24"/>
                          <w:szCs w:val="24"/>
                        </w:rPr>
                        <w:t xml:space="preserve"> the Pretended Riot Explained</w:t>
                      </w:r>
                      <w:r w:rsidRPr="00287C65">
                        <w:rPr>
                          <w:rFonts w:ascii="Times New Roman" w:hAnsi="Times New Roman" w:cs="Times New Roman"/>
                          <w:i w:val="0"/>
                          <w:iCs w:val="0"/>
                          <w:color w:val="auto"/>
                          <w:sz w:val="24"/>
                          <w:szCs w:val="24"/>
                        </w:rPr>
                        <w:t>, Jonathan Howe, 1835, frontispiece.</w:t>
                      </w:r>
                      <w:bookmarkEnd w:id="7"/>
                    </w:p>
                  </w:txbxContent>
                </v:textbox>
                <w10:wrap type="topAndBottom" anchorx="margin"/>
              </v:shape>
            </w:pict>
          </mc:Fallback>
        </mc:AlternateContent>
      </w:r>
      <w:r w:rsidR="00F8213A">
        <w:rPr>
          <w:rStyle w:val="None"/>
          <w:rFonts w:ascii="Times New Roman" w:hAnsi="Times New Roman"/>
          <w:sz w:val="24"/>
          <w:szCs w:val="24"/>
        </w:rPr>
        <w:br w:type="page"/>
      </w:r>
      <w:r w:rsidR="00F8213A" w:rsidRPr="008C073E">
        <w:rPr>
          <w:rStyle w:val="None"/>
          <w:rFonts w:ascii="Times New Roman" w:eastAsia="Times New Roman" w:hAnsi="Times New Roman" w:cs="Times New Roman"/>
          <w:noProof/>
          <w:sz w:val="24"/>
          <w:szCs w:val="24"/>
        </w:rPr>
        <w:drawing>
          <wp:anchor distT="0" distB="0" distL="114300" distR="114300" simplePos="0" relativeHeight="251658240" behindDoc="0" locked="0" layoutInCell="1" allowOverlap="1" wp14:anchorId="06667B3C" wp14:editId="0040E7DA">
            <wp:simplePos x="0" y="0"/>
            <wp:positionH relativeFrom="column">
              <wp:posOffset>0</wp:posOffset>
            </wp:positionH>
            <wp:positionV relativeFrom="paragraph">
              <wp:posOffset>352</wp:posOffset>
            </wp:positionV>
            <wp:extent cx="5943600" cy="4064000"/>
            <wp:effectExtent l="0" t="0" r="0" b="0"/>
            <wp:wrapTopAndBottom/>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943600" cy="4064000"/>
                    </a:xfrm>
                    <a:prstGeom prst="rect">
                      <a:avLst/>
                    </a:prstGeom>
                    <a:ln w="12700" cap="flat">
                      <a:noFill/>
                      <a:miter lim="400000"/>
                    </a:ln>
                    <a:effectLst/>
                  </pic:spPr>
                </pic:pic>
              </a:graphicData>
            </a:graphic>
          </wp:anchor>
        </w:drawing>
      </w:r>
    </w:p>
    <w:p w14:paraId="2F455C4D" w14:textId="1BB216E1" w:rsidR="00F8213A" w:rsidRDefault="00274B3F" w:rsidP="00F8213A">
      <w:pPr>
        <w:pStyle w:val="Body"/>
        <w:spacing w:line="480" w:lineRule="auto"/>
        <w:rPr>
          <w:rStyle w:val="None"/>
          <w:rFonts w:ascii="Times New Roman" w:hAnsi="Times New Roman"/>
          <w:sz w:val="24"/>
          <w:szCs w:val="24"/>
        </w:rPr>
      </w:pPr>
      <w:r w:rsidRPr="008C073E">
        <w:rPr>
          <w:rStyle w:val="None"/>
          <w:rFonts w:ascii="Times New Roman" w:hAnsi="Times New Roman"/>
          <w:sz w:val="24"/>
          <w:szCs w:val="24"/>
        </w:rPr>
        <w:lastRenderedPageBreak/>
        <w:t xml:space="preserve">and, when under its unhappy influence, wronged them out of their lawful possessions—that land, where reposed the ashes of their sires” (7). Apess connects alcohol to a whole series of settler depredations, including land theft, sexual violence toward Indigenous women, and the “scattering abroad” of whole villages (7). </w:t>
      </w:r>
    </w:p>
    <w:p w14:paraId="217E90E7" w14:textId="62F0143D" w:rsidR="00274B3F" w:rsidRPr="008C073E" w:rsidRDefault="00274B3F" w:rsidP="00274B3F">
      <w:pPr>
        <w:pStyle w:val="Body"/>
        <w:spacing w:line="480" w:lineRule="auto"/>
        <w:ind w:firstLine="720"/>
        <w:rPr>
          <w:rStyle w:val="None"/>
          <w:rFonts w:ascii="Times New Roman" w:eastAsia="Times New Roman" w:hAnsi="Times New Roman" w:cs="Times New Roman"/>
        </w:rPr>
      </w:pPr>
      <w:r w:rsidRPr="008C073E">
        <w:rPr>
          <w:rStyle w:val="None"/>
          <w:rFonts w:ascii="Times New Roman" w:hAnsi="Times New Roman"/>
          <w:sz w:val="24"/>
          <w:szCs w:val="24"/>
        </w:rPr>
        <w:t xml:space="preserve">However, for Native audiences, the engraving connects to other moments in </w:t>
      </w:r>
      <w:r w:rsidRPr="007C1487">
        <w:rPr>
          <w:rStyle w:val="None"/>
          <w:rFonts w:ascii="Times New Roman" w:hAnsi="Times New Roman"/>
          <w:i/>
          <w:iCs/>
          <w:sz w:val="24"/>
          <w:szCs w:val="24"/>
          <w:lang w:val="fr-FR"/>
        </w:rPr>
        <w:t>Nullification</w:t>
      </w:r>
      <w:r w:rsidRPr="008C073E">
        <w:rPr>
          <w:rStyle w:val="None"/>
          <w:rFonts w:ascii="Times New Roman" w:hAnsi="Times New Roman"/>
          <w:sz w:val="24"/>
          <w:szCs w:val="24"/>
          <w:lang w:val="fr-FR"/>
        </w:rPr>
        <w:t xml:space="preserve"> </w:t>
      </w:r>
      <w:r w:rsidRPr="008C073E">
        <w:rPr>
          <w:rStyle w:val="None"/>
          <w:rFonts w:ascii="Times New Roman" w:hAnsi="Times New Roman"/>
          <w:sz w:val="24"/>
          <w:szCs w:val="24"/>
        </w:rPr>
        <w:t xml:space="preserve">to move past mere condemnation and focus on community-building and spiritual health. For instance, in his first exhortation to the Mashpees, Apess “told them what I had heard from their missionary, viz., that it was their general disposition to be idle, not to hoe the cornfields they had planted, to take no care of their hay after mowing it, and to lie drunken under their fences. I admonished them of the evil of these, their ways and advised them to consider any white man who sold them rum their enemy and to place no confidence in him. I told them that such a person deserved to have his own rum thrown into his face” (171).  Apess is being sly here. As he later mentions in </w:t>
      </w:r>
      <w:r w:rsidRPr="007C1487">
        <w:rPr>
          <w:rStyle w:val="None"/>
          <w:rFonts w:ascii="Times New Roman" w:hAnsi="Times New Roman"/>
          <w:i/>
          <w:iCs/>
          <w:sz w:val="24"/>
          <w:szCs w:val="24"/>
          <w:lang w:val="fr-FR"/>
        </w:rPr>
        <w:t>Nullification</w:t>
      </w:r>
      <w:r w:rsidRPr="008C073E">
        <w:rPr>
          <w:rStyle w:val="None"/>
          <w:rFonts w:ascii="Times New Roman" w:hAnsi="Times New Roman"/>
          <w:sz w:val="24"/>
          <w:szCs w:val="24"/>
        </w:rPr>
        <w:t xml:space="preserve">, temperance efforts led by Mashpee religious leaders had been frustrated by unlicensed white men from the surrounding areas who continued to sell illicit rum to the Mashpees. Apess incorporates two excerpts from the Boston Daily Advocate denouncing the legislature for failing to punish or even investigate these “white harpies” (201). The writers for the Advocate connect the ongoing illegal sale of rum to the Mashpee to a whole network of oppressions: </w:t>
      </w:r>
    </w:p>
    <w:p w14:paraId="0F89AD89" w14:textId="77777777" w:rsidR="00274B3F" w:rsidRPr="008C073E" w:rsidRDefault="00274B3F" w:rsidP="00274B3F">
      <w:pPr>
        <w:pStyle w:val="Body"/>
        <w:spacing w:line="480" w:lineRule="auto"/>
        <w:ind w:left="720"/>
        <w:rPr>
          <w:rStyle w:val="None"/>
          <w:rFonts w:ascii="Times New Roman" w:eastAsia="Times New Roman" w:hAnsi="Times New Roman" w:cs="Times New Roman"/>
        </w:rPr>
      </w:pPr>
      <w:r w:rsidRPr="008C073E">
        <w:rPr>
          <w:rStyle w:val="None"/>
          <w:rFonts w:ascii="Times New Roman" w:hAnsi="Times New Roman"/>
          <w:sz w:val="24"/>
          <w:szCs w:val="24"/>
        </w:rPr>
        <w:t xml:space="preserve">The Indians have no adviser near them in whom they can confide; those who hold the power, appear regardless of their wishes or their welfare; no pains is taken by </w:t>
      </w:r>
      <w:r w:rsidRPr="008C073E">
        <w:rPr>
          <w:rStyle w:val="None"/>
          <w:rFonts w:ascii="Times New Roman" w:hAnsi="Times New Roman"/>
          <w:sz w:val="24"/>
          <w:szCs w:val="24"/>
        </w:rPr>
        <w:lastRenderedPageBreak/>
        <w:t>the authorities to punish the wretches who continue to sell rum to those who will buy it; and though the Indians are still struggling to advance in improvement, every obstacle is thrown in their way that men can devise, whose intent it is to get them back to a state of vassalage, that they may get hold of their property. All this, we are satisfied, from personal inspection, is owing to the injudicious appointment made by Gov. Davis, of a commissioner, and yet the Governor unfortunately seems indisposed to listen to any application for a remedy to the existing evils. (241)</w:t>
      </w:r>
    </w:p>
    <w:p w14:paraId="2FD31C6A" w14:textId="77777777" w:rsidR="00274B3F" w:rsidRPr="008C073E" w:rsidRDefault="00274B3F" w:rsidP="00274B3F">
      <w:pPr>
        <w:pStyle w:val="Body"/>
        <w:spacing w:line="480" w:lineRule="auto"/>
        <w:rPr>
          <w:rStyle w:val="None"/>
          <w:rFonts w:ascii="Times New Roman" w:eastAsia="Times New Roman" w:hAnsi="Times New Roman" w:cs="Times New Roman"/>
          <w:sz w:val="24"/>
          <w:szCs w:val="24"/>
        </w:rPr>
      </w:pPr>
      <w:r w:rsidRPr="008C073E">
        <w:rPr>
          <w:rStyle w:val="None"/>
          <w:rFonts w:ascii="Times New Roman" w:hAnsi="Times New Roman"/>
          <w:sz w:val="24"/>
          <w:szCs w:val="24"/>
        </w:rPr>
        <w:t>With Rev. Fish watching over his shoulder, “caution[</w:t>
      </w:r>
      <w:proofErr w:type="spellStart"/>
      <w:r w:rsidRPr="008C073E">
        <w:rPr>
          <w:rStyle w:val="None"/>
          <w:rFonts w:ascii="Times New Roman" w:hAnsi="Times New Roman"/>
          <w:sz w:val="24"/>
          <w:szCs w:val="24"/>
        </w:rPr>
        <w:t>ing</w:t>
      </w:r>
      <w:proofErr w:type="spellEnd"/>
      <w:r w:rsidRPr="008C073E">
        <w:rPr>
          <w:rStyle w:val="None"/>
          <w:rFonts w:ascii="Times New Roman" w:hAnsi="Times New Roman"/>
          <w:sz w:val="24"/>
          <w:szCs w:val="24"/>
        </w:rPr>
        <w:t xml:space="preserve">]” him “not to say anything about oppression” (172) to the congregated Mashpees, Apess appears to countenance the reverend’s ungenerous portrait of the Mashpees’ character while deftly weaving in acknowledgement of the systemic nature of the Mashpees’ oppressions. Apess advises his audience to shun alcohol and pursue education so as to be “useful to themselves and…the world” (171). Concluding his sermon, Apess “addressing the throne of </w:t>
      </w:r>
      <w:proofErr w:type="gramStart"/>
      <w:r w:rsidRPr="008C073E">
        <w:rPr>
          <w:rStyle w:val="None"/>
          <w:rFonts w:ascii="Times New Roman" w:hAnsi="Times New Roman"/>
          <w:sz w:val="24"/>
          <w:szCs w:val="24"/>
        </w:rPr>
        <w:t>grace,...</w:t>
      </w:r>
      <w:proofErr w:type="gramEnd"/>
      <w:r w:rsidRPr="008C073E">
        <w:rPr>
          <w:rStyle w:val="None"/>
          <w:rFonts w:ascii="Times New Roman" w:hAnsi="Times New Roman"/>
          <w:sz w:val="24"/>
          <w:szCs w:val="24"/>
        </w:rPr>
        <w:t xml:space="preserve">besought the Lord to have mercy on them and relieve them from the oppressions under which they labored” (171-2). The engraving’s sarcastic message echoes loudly here and points to the </w:t>
      </w:r>
      <w:r w:rsidRPr="008C073E">
        <w:rPr>
          <w:rStyle w:val="None"/>
          <w:rFonts w:ascii="Times New Roman" w:hAnsi="Times New Roman"/>
          <w:sz w:val="24"/>
          <w:szCs w:val="24"/>
          <w:lang w:val="de-DE"/>
        </w:rPr>
        <w:t xml:space="preserve">Ahanaeenun </w:t>
      </w:r>
      <w:r w:rsidRPr="008C073E">
        <w:rPr>
          <w:rStyle w:val="None"/>
          <w:rFonts w:ascii="Times New Roman" w:hAnsi="Times New Roman"/>
          <w:sz w:val="24"/>
          <w:szCs w:val="24"/>
          <w:lang w:val="pt-PT"/>
        </w:rPr>
        <w:t>dimensions of Apess</w:t>
      </w:r>
      <w:r w:rsidRPr="008C073E">
        <w:rPr>
          <w:rStyle w:val="None"/>
          <w:rFonts w:ascii="Times New Roman" w:hAnsi="Times New Roman"/>
          <w:sz w:val="24"/>
          <w:szCs w:val="24"/>
        </w:rPr>
        <w:t xml:space="preserve">’s rhetoric. He moves from Rev. Fish’s conventional accusations of Indigenous moral failure to reveal a wider panorama of settler-state abuse and neglect. Finally, Apess stresses the importance of civic engagement  when he writes of re-establishing community bonds through being educated and “useful.” </w:t>
      </w:r>
    </w:p>
    <w:p w14:paraId="50F5D876" w14:textId="77777777" w:rsidR="00274B3F" w:rsidRPr="008C073E" w:rsidRDefault="00274B3F" w:rsidP="00274B3F">
      <w:pPr>
        <w:pStyle w:val="Body"/>
        <w:spacing w:line="480" w:lineRule="auto"/>
        <w:rPr>
          <w:rStyle w:val="None"/>
          <w:rFonts w:ascii="Times New Roman" w:eastAsia="Times New Roman" w:hAnsi="Times New Roman" w:cs="Times New Roman"/>
          <w:sz w:val="24"/>
          <w:szCs w:val="24"/>
        </w:rPr>
      </w:pPr>
      <w:r w:rsidRPr="008C073E">
        <w:rPr>
          <w:rStyle w:val="None"/>
          <w:rFonts w:ascii="Times New Roman" w:eastAsia="Times New Roman" w:hAnsi="Times New Roman" w:cs="Times New Roman"/>
          <w:sz w:val="24"/>
          <w:szCs w:val="24"/>
        </w:rPr>
        <w:lastRenderedPageBreak/>
        <w:tab/>
        <w:t>Alongside the ongoing duplicitousness of whites in their dealings with Indigenous communities, Apess lampoons the colonial mind</w:t>
      </w:r>
      <w:r w:rsidRPr="008C073E">
        <w:rPr>
          <w:rStyle w:val="None"/>
          <w:rFonts w:ascii="Times New Roman" w:hAnsi="Times New Roman"/>
          <w:sz w:val="24"/>
          <w:szCs w:val="24"/>
        </w:rPr>
        <w:t>’s hysterical fear of Native violence as another “Trait of Colonizer Character.” Stories of the Natives’ insatiable bloodlust recur throughout colonial chronicles.</w:t>
      </w:r>
      <w:r w:rsidRPr="008C073E">
        <w:rPr>
          <w:rStyle w:val="None"/>
          <w:rFonts w:ascii="Times New Roman" w:eastAsia="Times New Roman" w:hAnsi="Times New Roman" w:cs="Times New Roman"/>
          <w:sz w:val="24"/>
          <w:szCs w:val="24"/>
          <w:vertAlign w:val="superscript"/>
        </w:rPr>
        <w:footnoteReference w:id="8"/>
      </w:r>
      <w:r w:rsidRPr="008C073E">
        <w:rPr>
          <w:rStyle w:val="None"/>
          <w:rFonts w:ascii="Times New Roman" w:hAnsi="Times New Roman"/>
          <w:sz w:val="24"/>
          <w:szCs w:val="24"/>
        </w:rPr>
        <w:t xml:space="preserve"> Puritan writers conjured horrific visions of Indigenous brutality against settlers, vilifying the “</w:t>
      </w:r>
      <w:proofErr w:type="spellStart"/>
      <w:r w:rsidRPr="008C073E">
        <w:rPr>
          <w:rStyle w:val="None"/>
          <w:rFonts w:ascii="Times New Roman" w:hAnsi="Times New Roman"/>
          <w:sz w:val="24"/>
          <w:szCs w:val="24"/>
          <w:lang w:val="fr-FR"/>
        </w:rPr>
        <w:t>savages</w:t>
      </w:r>
      <w:proofErr w:type="spellEnd"/>
      <w:r w:rsidRPr="008C073E">
        <w:rPr>
          <w:rStyle w:val="None"/>
          <w:rFonts w:ascii="Times New Roman" w:hAnsi="Times New Roman"/>
          <w:sz w:val="24"/>
          <w:szCs w:val="24"/>
        </w:rPr>
        <w:t xml:space="preserve">” for their fabled propensity to attack innocent and soldier alike. For instance, Mary Rowlandson begins her famous captivity narrative with a gruesome retelling of a Nipmuc raid on her village. Rowlandson, or perhaps Jonathan Edwards, lingers on visceral images of Native warriors shooting English women full of arrows and knocking wounded children over the head. Rowlandson pictures herself at the scene of slaughter: “Thus were we butchered by </w:t>
      </w:r>
      <w:proofErr w:type="gramStart"/>
      <w:r w:rsidRPr="008C073E">
        <w:rPr>
          <w:rStyle w:val="None"/>
          <w:rFonts w:ascii="Times New Roman" w:hAnsi="Times New Roman"/>
          <w:sz w:val="24"/>
          <w:szCs w:val="24"/>
        </w:rPr>
        <w:t>those merciless heathen</w:t>
      </w:r>
      <w:proofErr w:type="gramEnd"/>
      <w:r w:rsidRPr="008C073E">
        <w:rPr>
          <w:rStyle w:val="None"/>
          <w:rFonts w:ascii="Times New Roman" w:hAnsi="Times New Roman"/>
          <w:sz w:val="24"/>
          <w:szCs w:val="24"/>
        </w:rPr>
        <w:t xml:space="preserve">, standing amazed, with the blood running down to our heels” (4). </w:t>
      </w:r>
    </w:p>
    <w:p w14:paraId="027E0B6D" w14:textId="77777777" w:rsidR="00274B3F" w:rsidRPr="008C073E" w:rsidRDefault="00274B3F" w:rsidP="00274B3F">
      <w:pPr>
        <w:pStyle w:val="Body"/>
        <w:spacing w:line="480" w:lineRule="auto"/>
        <w:rPr>
          <w:rStyle w:val="None"/>
          <w:rFonts w:ascii="Times New Roman" w:eastAsia="Times New Roman" w:hAnsi="Times New Roman" w:cs="Times New Roman"/>
          <w:sz w:val="24"/>
          <w:szCs w:val="24"/>
        </w:rPr>
      </w:pPr>
      <w:r w:rsidRPr="008C073E">
        <w:rPr>
          <w:rStyle w:val="None"/>
          <w:rFonts w:ascii="Times New Roman" w:eastAsia="Times New Roman" w:hAnsi="Times New Roman" w:cs="Times New Roman"/>
          <w:sz w:val="24"/>
          <w:szCs w:val="24"/>
        </w:rPr>
        <w:tab/>
        <w:t xml:space="preserve">Apess makes fun of this trope many times throughout his work. In a famous passage from </w:t>
      </w:r>
      <w:r w:rsidRPr="008C073E">
        <w:rPr>
          <w:rStyle w:val="None"/>
          <w:rFonts w:ascii="Times New Roman" w:hAnsi="Times New Roman"/>
          <w:sz w:val="24"/>
          <w:szCs w:val="24"/>
        </w:rPr>
        <w:t xml:space="preserve">A Son of the Forest, Apess remembers how as a child he was terrified by the “mere threat of being sent away” from his white foster family to live “among the Indians into the dreary woods” (10). To illustrate his “dread” at the idea of “seeing any of my brethren of the forest,” Apess relates an early encounter with “Indians”: “One day several of the family went into the woods to gather berries, taking me with them. We had not been out long before we fell in with a company of white females, on the same errand—their complexion was, to say the least, as dark as that of the natives” (10). The </w:t>
      </w:r>
      <w:r w:rsidRPr="008C073E">
        <w:rPr>
          <w:rStyle w:val="None"/>
          <w:rFonts w:ascii="Times New Roman" w:hAnsi="Times New Roman"/>
          <w:sz w:val="24"/>
          <w:szCs w:val="24"/>
        </w:rPr>
        <w:lastRenderedPageBreak/>
        <w:t xml:space="preserve">writer Apess makes clear that these were white girls and not Natives, but his young </w:t>
      </w:r>
      <w:proofErr w:type="spellStart"/>
      <w:r w:rsidRPr="008C073E">
        <w:rPr>
          <w:rStyle w:val="None"/>
          <w:rFonts w:ascii="Times New Roman" w:hAnsi="Times New Roman"/>
          <w:sz w:val="24"/>
          <w:szCs w:val="24"/>
        </w:rPr>
        <w:t>self did</w:t>
      </w:r>
      <w:proofErr w:type="spellEnd"/>
      <w:r w:rsidRPr="008C073E">
        <w:rPr>
          <w:rStyle w:val="None"/>
          <w:rFonts w:ascii="Times New Roman" w:hAnsi="Times New Roman"/>
          <w:sz w:val="24"/>
          <w:szCs w:val="24"/>
        </w:rPr>
        <w:t xml:space="preserve"> not realize this. “This circumstance filled my mind with terror, and I broke from the party with my utmost speed, and I could not muster courage enough to look behind me until I had reached home” (10-11). Influenced by colonial discourses of Indigenous barbarity and cannibalism, Apess’s “imagination had pictured out a tale of blood, and as soon as I regained my breath…I informed [Mr. Furman] that we had met a body of the natives in the woods, but what had become of the party I could not tell” </w:t>
      </w:r>
      <w:r w:rsidRPr="008C073E">
        <w:rPr>
          <w:rStyle w:val="None"/>
          <w:rFonts w:ascii="Times New Roman" w:hAnsi="Times New Roman"/>
          <w:sz w:val="24"/>
          <w:szCs w:val="24"/>
          <w:lang w:val="pt-PT"/>
        </w:rPr>
        <w:t>(11). Apess</w:t>
      </w:r>
      <w:r w:rsidRPr="008C073E">
        <w:rPr>
          <w:rStyle w:val="None"/>
          <w:rFonts w:ascii="Times New Roman" w:hAnsi="Times New Roman"/>
          <w:sz w:val="24"/>
          <w:szCs w:val="24"/>
        </w:rPr>
        <w:t xml:space="preserve"> plays his juvenile hysteria for laugh</w:t>
      </w:r>
      <w:r w:rsidRPr="008C073E">
        <w:rPr>
          <w:rStyle w:val="None"/>
          <w:rFonts w:ascii="Times New Roman" w:hAnsi="Times New Roman" w:cs="Times New Roman"/>
          <w:sz w:val="24"/>
          <w:szCs w:val="24"/>
        </w:rPr>
        <w:t xml:space="preserve">s, </w:t>
      </w:r>
      <w:r w:rsidRPr="008C073E">
        <w:rPr>
          <w:rStyle w:val="cf01"/>
          <w:rFonts w:ascii="Times New Roman" w:hAnsi="Times New Roman" w:cs="Times New Roman"/>
          <w:sz w:val="24"/>
          <w:szCs w:val="24"/>
        </w:rPr>
        <w:t xml:space="preserve">reminiscent of Benjamin Franklin’s similarly self-deprecating humor in </w:t>
      </w:r>
      <w:r w:rsidRPr="008C073E">
        <w:rPr>
          <w:rStyle w:val="cf01"/>
          <w:rFonts w:ascii="Times New Roman" w:hAnsi="Times New Roman" w:cs="Times New Roman"/>
          <w:i/>
          <w:iCs/>
          <w:sz w:val="24"/>
          <w:szCs w:val="24"/>
        </w:rPr>
        <w:t>The Autobiography</w:t>
      </w:r>
      <w:r w:rsidRPr="008C073E">
        <w:rPr>
          <w:rStyle w:val="cf01"/>
          <w:rFonts w:ascii="Times New Roman" w:hAnsi="Times New Roman" w:cs="Times New Roman"/>
          <w:sz w:val="24"/>
          <w:szCs w:val="24"/>
        </w:rPr>
        <w:t xml:space="preserve">. </w:t>
      </w:r>
      <w:r w:rsidRPr="008C073E">
        <w:rPr>
          <w:rStyle w:val="None"/>
          <w:rFonts w:ascii="Times New Roman" w:hAnsi="Times New Roman"/>
          <w:sz w:val="24"/>
          <w:szCs w:val="24"/>
        </w:rPr>
        <w:t>Apess wraps up the passage by directing the humor of the anecdote toward a political point about white hysteria and the rhetorical abuse of Native people in colonial history-writing: “the great fear I entertained of my brethren was occasioned by the many stories I had heard of their cruelty toward the whites–how they were in the habit of killing and scalping men, women, and children” (11). Again, adult Apess knows what his younger self did not and underlines the irony of this colonial rhetoric. “But the whites did not tell me that they were in a great majority of instances the aggressors—that they had imbrued their hands in the lifeblood of my brethren, driven them from their once peaceful and happy homes—that they introduced among them the fatal and exterminating diseases of civilized life. If the whites had told me how cruel they had been to the ‘</w:t>
      </w:r>
      <w:r w:rsidRPr="008C073E">
        <w:rPr>
          <w:rStyle w:val="None"/>
          <w:rFonts w:ascii="Times New Roman" w:hAnsi="Times New Roman"/>
          <w:sz w:val="24"/>
          <w:szCs w:val="24"/>
          <w:lang w:val="nl-NL"/>
        </w:rPr>
        <w:t>poor Indian,</w:t>
      </w:r>
      <w:r w:rsidRPr="008C073E">
        <w:rPr>
          <w:rStyle w:val="None"/>
          <w:rFonts w:ascii="Times New Roman" w:hAnsi="Times New Roman"/>
          <w:sz w:val="24"/>
          <w:szCs w:val="24"/>
        </w:rPr>
        <w:t xml:space="preserve">’ I should have apprehended as much harm from them” (11). </w:t>
      </w:r>
    </w:p>
    <w:p w14:paraId="3888FEEF" w14:textId="77777777" w:rsidR="00274B3F" w:rsidRPr="008C073E" w:rsidRDefault="00274B3F" w:rsidP="00274B3F">
      <w:pPr>
        <w:pStyle w:val="Body"/>
        <w:spacing w:line="480" w:lineRule="auto"/>
        <w:rPr>
          <w:rStyle w:val="None"/>
          <w:rFonts w:ascii="Times New Roman" w:eastAsia="Times New Roman" w:hAnsi="Times New Roman" w:cs="Times New Roman"/>
          <w:sz w:val="24"/>
          <w:szCs w:val="24"/>
        </w:rPr>
      </w:pPr>
      <w:r w:rsidRPr="008C073E">
        <w:rPr>
          <w:rStyle w:val="None"/>
          <w:rFonts w:ascii="Times New Roman" w:eastAsia="Times New Roman" w:hAnsi="Times New Roman" w:cs="Times New Roman"/>
          <w:sz w:val="24"/>
          <w:szCs w:val="24"/>
        </w:rPr>
        <w:lastRenderedPageBreak/>
        <w:tab/>
        <w:t xml:space="preserve">Apess plays on this trope again in </w:t>
      </w:r>
      <w:r w:rsidRPr="007C1487">
        <w:rPr>
          <w:rStyle w:val="None"/>
          <w:rFonts w:ascii="Times New Roman" w:hAnsi="Times New Roman"/>
          <w:i/>
          <w:iCs/>
          <w:sz w:val="24"/>
          <w:szCs w:val="24"/>
          <w:lang w:val="fr-FR"/>
        </w:rPr>
        <w:t>Nullification</w:t>
      </w:r>
      <w:r w:rsidRPr="008C073E">
        <w:rPr>
          <w:rStyle w:val="None"/>
          <w:rFonts w:ascii="Times New Roman" w:hAnsi="Times New Roman"/>
          <w:sz w:val="24"/>
          <w:szCs w:val="24"/>
          <w:lang w:val="fr-FR"/>
        </w:rPr>
        <w:t xml:space="preserve"> </w:t>
      </w:r>
      <w:r w:rsidRPr="008C073E">
        <w:rPr>
          <w:rStyle w:val="None"/>
          <w:rFonts w:ascii="Times New Roman" w:hAnsi="Times New Roman"/>
          <w:sz w:val="24"/>
          <w:szCs w:val="24"/>
        </w:rPr>
        <w:t xml:space="preserve">when he describes how local and state officials in Massachusetts reacted to the Mashpee Tribe’s 1833 proclamation of legal autonomy. The notice, written collectively by Mashpee leaders assembled in council and signed by </w:t>
      </w:r>
      <w:proofErr w:type="gramStart"/>
      <w:r w:rsidRPr="008C073E">
        <w:rPr>
          <w:rStyle w:val="None"/>
          <w:rFonts w:ascii="Times New Roman" w:hAnsi="Times New Roman"/>
          <w:sz w:val="24"/>
          <w:szCs w:val="24"/>
        </w:rPr>
        <w:t>newly-elected</w:t>
      </w:r>
      <w:proofErr w:type="gramEnd"/>
      <w:r w:rsidRPr="008C073E">
        <w:rPr>
          <w:rStyle w:val="None"/>
          <w:rFonts w:ascii="Times New Roman" w:hAnsi="Times New Roman"/>
          <w:sz w:val="24"/>
          <w:szCs w:val="24"/>
        </w:rPr>
        <w:t xml:space="preserve"> President Daniel Amos and Secretary Israel Amos, declared that “[h]</w:t>
      </w:r>
      <w:proofErr w:type="spellStart"/>
      <w:r w:rsidRPr="008C073E">
        <w:rPr>
          <w:rStyle w:val="None"/>
          <w:rFonts w:ascii="Times New Roman" w:hAnsi="Times New Roman"/>
          <w:sz w:val="24"/>
          <w:szCs w:val="24"/>
        </w:rPr>
        <w:t>aving</w:t>
      </w:r>
      <w:proofErr w:type="spellEnd"/>
      <w:r w:rsidRPr="008C073E">
        <w:rPr>
          <w:rStyle w:val="None"/>
          <w:rFonts w:ascii="Times New Roman" w:hAnsi="Times New Roman"/>
          <w:sz w:val="24"/>
          <w:szCs w:val="24"/>
        </w:rPr>
        <w:t xml:space="preserve"> heretofore been distressed, and degraded, and robbed daily, we have taken measures to put a stop to these things” by establishing a new form of government for the community and electing tribal leaders to represent them (179). The new Mashpee government also issued a clear and straightforward resolution nullifying the existing state laws pertaining to them, which Apess quotes in full: “Resolved, </w:t>
      </w:r>
      <w:proofErr w:type="gramStart"/>
      <w:r w:rsidRPr="008C073E">
        <w:rPr>
          <w:rStyle w:val="None"/>
          <w:rFonts w:ascii="Times New Roman" w:hAnsi="Times New Roman"/>
          <w:sz w:val="24"/>
          <w:szCs w:val="24"/>
        </w:rPr>
        <w:t>That</w:t>
      </w:r>
      <w:proofErr w:type="gramEnd"/>
      <w:r w:rsidRPr="008C073E">
        <w:rPr>
          <w:rStyle w:val="None"/>
          <w:rFonts w:ascii="Times New Roman" w:hAnsi="Times New Roman"/>
          <w:sz w:val="24"/>
          <w:szCs w:val="24"/>
        </w:rPr>
        <w:t xml:space="preserve"> we will no longer accede to your terms after the first day of July next, 1833. Done by the authority of the Mashpee Tribe” (180). Apess depicts with great irony the immediate reaction this produced in the overseers: “Those who had, as we think unlawfully, ruled us hitherto now awoke in astonishment and bestirred themselves in defense of their temporal interests (180).  He goes on to detail the way overseer Gideon Hawley represented the Mashpees’ peaceful resolutions to the governor: “He stated that the Indians were in open rebellion and that blood was likely to be shed,” that “we had armed ourselves and were prepared to carry all before us with tomahawk and scalping knife; the death and destruction, and all the horrors of savage war, were impending; that of the white inhabitants some were already dead and the rest dreadfully alarmed!” (180-1). He finishes, wryly: “An awful picture indeed” (181).</w:t>
      </w:r>
    </w:p>
    <w:p w14:paraId="7AA8E25A" w14:textId="77777777" w:rsidR="00274B3F" w:rsidRPr="008C073E" w:rsidRDefault="00274B3F" w:rsidP="00274B3F">
      <w:pPr>
        <w:pStyle w:val="Body"/>
        <w:spacing w:line="480" w:lineRule="auto"/>
        <w:rPr>
          <w:rStyle w:val="None"/>
          <w:rFonts w:ascii="Times New Roman" w:eastAsia="Times New Roman" w:hAnsi="Times New Roman" w:cs="Times New Roman"/>
          <w:sz w:val="24"/>
          <w:szCs w:val="24"/>
          <w:shd w:val="clear" w:color="auto" w:fill="FFFF00"/>
        </w:rPr>
      </w:pPr>
      <w:r w:rsidRPr="008C073E">
        <w:rPr>
          <w:rStyle w:val="None"/>
          <w:rFonts w:ascii="Times New Roman" w:eastAsia="Times New Roman" w:hAnsi="Times New Roman" w:cs="Times New Roman"/>
          <w:sz w:val="24"/>
          <w:szCs w:val="24"/>
        </w:rPr>
        <w:lastRenderedPageBreak/>
        <w:tab/>
        <w:t>The sarcasm with which Apess infuses this scene, dwelling on Hawley</w:t>
      </w:r>
      <w:r w:rsidRPr="008C073E">
        <w:rPr>
          <w:rStyle w:val="None"/>
          <w:rFonts w:ascii="Times New Roman" w:hAnsi="Times New Roman"/>
          <w:sz w:val="24"/>
          <w:szCs w:val="24"/>
        </w:rPr>
        <w:t>’s pop-eyed, gibbering fear, does more than make the overseer look ridiculous. Sarcasm here enables Apess to “tell all the truth but tell it slant,” in Emily Dickinson’s words: to more or less faithfully relate the circumstances following from the Mashpees’ declaration of sovereignty for the edification of his readers, but to do so in a way that makes it clear that the whole “pretended riot” was a figment of the diseased colonial imagination. Furthermore, Apess’s rhetorical choices here emphasize the rhetorical sovereignty of the Mashpee Tribe’s collective voice. Sarcasm, as I have mentioned, is a form of indirect, oblique communication, requiring a complex negotiation of what is stated versus what is implied.</w:t>
      </w:r>
      <w:r w:rsidRPr="008C073E">
        <w:rPr>
          <w:rStyle w:val="FootnoteReference"/>
          <w:rFonts w:ascii="Times New Roman" w:hAnsi="Times New Roman"/>
          <w:sz w:val="24"/>
          <w:szCs w:val="24"/>
        </w:rPr>
        <w:footnoteReference w:id="9"/>
      </w:r>
      <w:r w:rsidRPr="008C073E">
        <w:rPr>
          <w:rStyle w:val="None"/>
          <w:rFonts w:ascii="Times New Roman" w:hAnsi="Times New Roman"/>
          <w:sz w:val="24"/>
          <w:szCs w:val="24"/>
        </w:rPr>
        <w:t xml:space="preserve"> Here and elsewhere, Apess’s critique of the settler state and its discontents is kept at this lower level of implication so that he less frequently explicitly states the Mashpees’ specific grievances. His indirect rhetoric thus both registers his contempt for colonizers’ myths and steps aside to allow the Mashpees to speak for themselves. Doing so clarifies Apess’s mediatory–rather than representative–</w:t>
      </w:r>
      <w:r w:rsidRPr="008C073E">
        <w:rPr>
          <w:rStyle w:val="None"/>
          <w:rFonts w:ascii="Times New Roman" w:hAnsi="Times New Roman"/>
          <w:sz w:val="24"/>
          <w:szCs w:val="24"/>
          <w:lang w:val="it-IT"/>
        </w:rPr>
        <w:t xml:space="preserve">role in </w:t>
      </w:r>
      <w:r w:rsidRPr="007C1487">
        <w:rPr>
          <w:rStyle w:val="None"/>
          <w:rFonts w:ascii="Times New Roman" w:hAnsi="Times New Roman"/>
          <w:i/>
          <w:iCs/>
          <w:sz w:val="24"/>
          <w:szCs w:val="24"/>
          <w:lang w:val="fr-FR"/>
        </w:rPr>
        <w:t>Nullification</w:t>
      </w:r>
      <w:r w:rsidRPr="008C073E">
        <w:rPr>
          <w:rStyle w:val="None"/>
          <w:rFonts w:ascii="Times New Roman" w:hAnsi="Times New Roman"/>
          <w:sz w:val="24"/>
          <w:szCs w:val="24"/>
        </w:rPr>
        <w:t>. He does not speak for the Mashpee but uses his knowledge of non-Native print networks to facilitate the Mashpee version of events. In this way, Apess’s humor amplifies Indigenous voices by ridiculing the colonizers’.</w:t>
      </w:r>
    </w:p>
    <w:p w14:paraId="3C008B22"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Sometimes these Indigenous voices come through in </w:t>
      </w:r>
      <w:r w:rsidRPr="007C1487">
        <w:rPr>
          <w:rStyle w:val="None"/>
          <w:rFonts w:ascii="Times New Roman" w:hAnsi="Times New Roman"/>
          <w:i/>
          <w:iCs/>
          <w:sz w:val="24"/>
          <w:szCs w:val="24"/>
        </w:rPr>
        <w:t>Nullification</w:t>
      </w:r>
      <w:r w:rsidRPr="008C073E">
        <w:rPr>
          <w:rStyle w:val="None"/>
          <w:rFonts w:ascii="Times New Roman" w:hAnsi="Times New Roman"/>
          <w:sz w:val="24"/>
          <w:szCs w:val="24"/>
        </w:rPr>
        <w:t xml:space="preserve"> in such a way as to show that Apess is not the only writer at Mashpee with a penchant for snark, as a letter from Mashpee President Daniel Amos makes clear. Following Hawley’s report to </w:t>
      </w:r>
      <w:r w:rsidRPr="008C073E">
        <w:rPr>
          <w:rStyle w:val="None"/>
          <w:rFonts w:ascii="Times New Roman" w:hAnsi="Times New Roman"/>
          <w:sz w:val="24"/>
          <w:szCs w:val="24"/>
        </w:rPr>
        <w:lastRenderedPageBreak/>
        <w:t>the governor, Apess writes that the Mashpee “soon learned that the governor had sent an envoy,” Josiah Fiske, “to deal with them” (182). The news of the envoy enables Apess to relate an exchange between the Mashpee and Massachusetts governments. He writes: “A verbal message was brought, desiring us to meet him. We replied by asking why the agent did not come to us, if the governor had sent him for that purpose, instead of going to a tavern and calling on us to come to him there” (182). One can almost hear Apess rolling his eyes. He continues: “we sent the agent an answer in writing, to the following effect” and quotes the entire message, dated July 4th, 1833:</w:t>
      </w:r>
    </w:p>
    <w:p w14:paraId="7BE67BAD" w14:textId="77777777" w:rsidR="00274B3F" w:rsidRPr="008C073E" w:rsidRDefault="00274B3F" w:rsidP="00274B3F">
      <w:pPr>
        <w:pStyle w:val="Body"/>
        <w:spacing w:line="480" w:lineRule="auto"/>
        <w:ind w:left="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Dear Sir, </w:t>
      </w:r>
      <w:proofErr w:type="gramStart"/>
      <w:r w:rsidRPr="008C073E">
        <w:rPr>
          <w:rStyle w:val="None"/>
          <w:rFonts w:ascii="Times New Roman" w:hAnsi="Times New Roman"/>
          <w:sz w:val="24"/>
          <w:szCs w:val="24"/>
        </w:rPr>
        <w:t>We</w:t>
      </w:r>
      <w:proofErr w:type="gramEnd"/>
      <w:r w:rsidRPr="008C073E">
        <w:rPr>
          <w:rStyle w:val="None"/>
          <w:rFonts w:ascii="Times New Roman" w:hAnsi="Times New Roman"/>
          <w:sz w:val="24"/>
          <w:szCs w:val="24"/>
        </w:rPr>
        <w:t xml:space="preserve"> are much gratified to see that the governor has </w:t>
      </w:r>
      <w:proofErr w:type="gramStart"/>
      <w:r w:rsidRPr="008C073E">
        <w:rPr>
          <w:rStyle w:val="None"/>
          <w:rFonts w:ascii="Times New Roman" w:hAnsi="Times New Roman"/>
          <w:sz w:val="24"/>
          <w:szCs w:val="24"/>
        </w:rPr>
        <w:t>noticed</w:t>
      </w:r>
      <w:proofErr w:type="gramEnd"/>
      <w:r w:rsidRPr="008C073E">
        <w:rPr>
          <w:rStyle w:val="None"/>
          <w:rFonts w:ascii="Times New Roman" w:hAnsi="Times New Roman"/>
          <w:sz w:val="24"/>
          <w:szCs w:val="24"/>
        </w:rPr>
        <w:t xml:space="preserve"> us so much as to inquire into our affairs. Your request could not be attended to yesterday; our people being very busy in the affairs of the day; but we will meet you with pleasure this morning at nine o’clock, at our meetinghouse, there being no other place where we should like to see you for an interview. </w:t>
      </w:r>
    </w:p>
    <w:p w14:paraId="5423A45E" w14:textId="77777777" w:rsidR="00274B3F" w:rsidRPr="008C073E" w:rsidRDefault="00274B3F" w:rsidP="00274B3F">
      <w:pPr>
        <w:pStyle w:val="Body"/>
        <w:spacing w:line="480" w:lineRule="auto"/>
        <w:rPr>
          <w:rStyle w:val="None"/>
          <w:rFonts w:ascii="Times New Roman" w:hAnsi="Times New Roman"/>
          <w:sz w:val="24"/>
          <w:szCs w:val="24"/>
        </w:rPr>
      </w:pPr>
      <w:r w:rsidRPr="008C073E">
        <w:rPr>
          <w:rStyle w:val="None"/>
          <w:rFonts w:ascii="Times New Roman" w:hAnsi="Times New Roman"/>
          <w:sz w:val="24"/>
          <w:szCs w:val="24"/>
        </w:rPr>
        <w:t>Here Amos mocks the government’s presumptuous attitude towards the Mashpee by adopting his own lofty tone. His vague allusions to Mashpee “</w:t>
      </w:r>
      <w:proofErr w:type="spellStart"/>
      <w:r w:rsidRPr="008C073E">
        <w:rPr>
          <w:rStyle w:val="None"/>
          <w:rFonts w:ascii="Times New Roman" w:hAnsi="Times New Roman"/>
          <w:sz w:val="24"/>
          <w:szCs w:val="24"/>
          <w:lang w:val="fr-FR"/>
        </w:rPr>
        <w:t>affairs</w:t>
      </w:r>
      <w:proofErr w:type="spellEnd"/>
      <w:r w:rsidRPr="008C073E">
        <w:rPr>
          <w:rStyle w:val="None"/>
          <w:rFonts w:ascii="Times New Roman" w:hAnsi="Times New Roman"/>
          <w:sz w:val="24"/>
          <w:szCs w:val="24"/>
        </w:rPr>
        <w:t xml:space="preserve">” not only deflate Fiske’s self-importance by relegating him to a rather low-priority item on the tribe’s very full agenda, but also enact Mashpee tribal sovereignty in a serious way. President Amos’s refusal to meet with Fiske on the state’s terms enacts “refusal” in Audra Simpson’s sense of the term in Mohawk Interruptus (2014). For Simpson, refusal is “a political and ethical stance” that rejects the settler state’s authority to “recognize” Indigenous nations’ sovereignty (11). Distinct from acts of resistance, acts of refusal decenter whiteness as </w:t>
      </w:r>
      <w:r w:rsidRPr="008C073E">
        <w:rPr>
          <w:rStyle w:val="None"/>
          <w:rFonts w:ascii="Times New Roman" w:hAnsi="Times New Roman"/>
          <w:sz w:val="24"/>
          <w:szCs w:val="24"/>
        </w:rPr>
        <w:lastRenderedPageBreak/>
        <w:t>the standard reference point for issues of Indigenous politics.</w:t>
      </w:r>
      <w:r w:rsidRPr="008C073E">
        <w:rPr>
          <w:rStyle w:val="FootnoteReference"/>
          <w:rFonts w:ascii="Times New Roman" w:hAnsi="Times New Roman"/>
          <w:sz w:val="24"/>
          <w:szCs w:val="24"/>
        </w:rPr>
        <w:footnoteReference w:id="10"/>
      </w:r>
      <w:r w:rsidRPr="008C073E">
        <w:rPr>
          <w:rStyle w:val="None"/>
          <w:rFonts w:ascii="Times New Roman" w:hAnsi="Times New Roman"/>
          <w:sz w:val="24"/>
          <w:szCs w:val="24"/>
        </w:rPr>
        <w:t xml:space="preserve"> More than a sardonic rebuke, Amos’s refusal radically reifies the resolutions of the Mashpee government by centering the Mashpees’ right to set the terms for their negotiations with a fellow sovereign government.</w:t>
      </w:r>
    </w:p>
    <w:p w14:paraId="76658230"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Furthermore, the narration of Apess’s and Amos’s reactions to Fiske’s summons in </w:t>
      </w:r>
      <w:r w:rsidRPr="007C1487">
        <w:rPr>
          <w:rStyle w:val="None"/>
          <w:rFonts w:ascii="Times New Roman" w:hAnsi="Times New Roman"/>
          <w:i/>
          <w:iCs/>
          <w:sz w:val="24"/>
          <w:szCs w:val="24"/>
          <w:lang w:val="fr-FR"/>
        </w:rPr>
        <w:t>Nullification</w:t>
      </w:r>
      <w:r w:rsidRPr="008C073E">
        <w:rPr>
          <w:rStyle w:val="None"/>
          <w:rFonts w:ascii="Times New Roman" w:hAnsi="Times New Roman"/>
          <w:sz w:val="24"/>
          <w:szCs w:val="24"/>
          <w:lang w:val="fr-FR"/>
        </w:rPr>
        <w:t xml:space="preserve"> </w:t>
      </w:r>
      <w:r w:rsidRPr="008C073E">
        <w:rPr>
          <w:rStyle w:val="None"/>
          <w:rFonts w:ascii="Times New Roman" w:hAnsi="Times New Roman"/>
          <w:sz w:val="24"/>
          <w:szCs w:val="24"/>
        </w:rPr>
        <w:t xml:space="preserve">represents Mashpee sovereignty by recalling formal Indigenous treaty protocols that had been observed by colonial governments under British administration prior to the Revolution. Protocol for eighteenth-century treaty councils developed </w:t>
      </w:r>
      <w:proofErr w:type="spellStart"/>
      <w:r w:rsidRPr="008C073E">
        <w:rPr>
          <w:rStyle w:val="None"/>
          <w:rFonts w:ascii="Times New Roman" w:hAnsi="Times New Roman"/>
          <w:sz w:val="24"/>
          <w:szCs w:val="24"/>
        </w:rPr>
        <w:t>syncretically</w:t>
      </w:r>
      <w:proofErr w:type="spellEnd"/>
      <w:r w:rsidRPr="008C073E">
        <w:rPr>
          <w:rStyle w:val="None"/>
          <w:rFonts w:ascii="Times New Roman" w:hAnsi="Times New Roman"/>
          <w:sz w:val="24"/>
          <w:szCs w:val="24"/>
        </w:rPr>
        <w:t xml:space="preserve"> from the British Crown’s recognition of the Six Nations and other tribes as “Indian nations” as well as Haudenosaunee diplomatic traditions such as the Condolence Ceremony (Wallace and Powell 252-3, 255). Unlike Fiske’s brusque summons of the Mashpee leaders to a “tavern,” treaty councils had been held at sites of administrative and cultural importance, such as </w:t>
      </w:r>
      <w:proofErr w:type="gramStart"/>
      <w:r w:rsidRPr="008C073E">
        <w:rPr>
          <w:rStyle w:val="None"/>
          <w:rFonts w:ascii="Times New Roman" w:hAnsi="Times New Roman"/>
          <w:sz w:val="24"/>
          <w:szCs w:val="24"/>
        </w:rPr>
        <w:t>an</w:t>
      </w:r>
      <w:proofErr w:type="gramEnd"/>
      <w:r w:rsidRPr="008C073E">
        <w:rPr>
          <w:rStyle w:val="None"/>
          <w:rFonts w:ascii="Times New Roman" w:hAnsi="Times New Roman"/>
          <w:sz w:val="24"/>
          <w:szCs w:val="24"/>
        </w:rPr>
        <w:t xml:space="preserve"> Haudenosaunee council fire or Lancaster court house, and the invited party, whether Native or non-Native, were considered guests and treated hospitably by the council hosts. Apess’</w:t>
      </w:r>
      <w:r w:rsidRPr="008C073E">
        <w:rPr>
          <w:rStyle w:val="None"/>
          <w:rFonts w:ascii="Times New Roman" w:hAnsi="Times New Roman"/>
          <w:sz w:val="24"/>
          <w:szCs w:val="24"/>
          <w:lang w:val="fr-FR"/>
        </w:rPr>
        <w:t>s re</w:t>
      </w:r>
      <w:r w:rsidRPr="008C073E">
        <w:rPr>
          <w:rStyle w:val="None"/>
          <w:rFonts w:ascii="Times New Roman" w:hAnsi="Times New Roman"/>
          <w:sz w:val="24"/>
          <w:szCs w:val="24"/>
        </w:rPr>
        <w:t>action to Fiske’s brusque summons is framed by something like resentment for this forgotten protocol of mutual diplomatic respect and good-faith negotiation.</w:t>
      </w:r>
      <w:r w:rsidRPr="008C073E">
        <w:rPr>
          <w:rStyle w:val="None"/>
          <w:rFonts w:ascii="Times New Roman" w:eastAsia="Times New Roman" w:hAnsi="Times New Roman" w:cs="Times New Roman"/>
          <w:sz w:val="24"/>
          <w:szCs w:val="24"/>
          <w:vertAlign w:val="superscript"/>
        </w:rPr>
        <w:footnoteReference w:id="11"/>
      </w:r>
      <w:r w:rsidRPr="008C073E">
        <w:rPr>
          <w:rStyle w:val="None"/>
          <w:rFonts w:ascii="Times New Roman" w:hAnsi="Times New Roman"/>
          <w:sz w:val="24"/>
          <w:szCs w:val="24"/>
        </w:rPr>
        <w:t xml:space="preserve"> Meanwhile, President Amos’s written reply to Fiske ironically reverses that history. His authoritative written reply to Fiske’s oral dispatch reverses the trope of Native orality/English textuality and his insistence on the Mashpee meetinghouse </w:t>
      </w:r>
      <w:r w:rsidRPr="008C073E">
        <w:rPr>
          <w:rStyle w:val="None"/>
          <w:rFonts w:ascii="Times New Roman" w:hAnsi="Times New Roman"/>
          <w:sz w:val="24"/>
          <w:szCs w:val="24"/>
        </w:rPr>
        <w:lastRenderedPageBreak/>
        <w:t>as the venue for the meeting reverses the familiar narrative of the treaties held and printed in the centers of colonial power and forces the envoy of the American government to enter Mashpee space by showing respect. Amos’s letter is one example of how Mashpee leaders beyond Apess used humor to negotiate power in their interactions with non-Native governments.</w:t>
      </w:r>
    </w:p>
    <w:p w14:paraId="2F4055B0" w14:textId="77777777" w:rsidR="00274B3F" w:rsidRPr="008C073E" w:rsidRDefault="00274B3F" w:rsidP="00274B3F">
      <w:pPr>
        <w:pStyle w:val="Body"/>
        <w:spacing w:line="480" w:lineRule="auto"/>
        <w:rPr>
          <w:rStyle w:val="None"/>
          <w:rFonts w:ascii="Times New Roman" w:eastAsia="Times New Roman" w:hAnsi="Times New Roman" w:cs="Times New Roman"/>
          <w:sz w:val="24"/>
          <w:szCs w:val="24"/>
        </w:rPr>
      </w:pPr>
      <w:r w:rsidRPr="008C073E">
        <w:rPr>
          <w:rStyle w:val="None"/>
          <w:rFonts w:ascii="Times New Roman" w:eastAsia="Times New Roman" w:hAnsi="Times New Roman" w:cs="Times New Roman"/>
          <w:sz w:val="24"/>
          <w:szCs w:val="24"/>
        </w:rPr>
        <w:tab/>
        <w:t xml:space="preserve">Indeed, it is possible to see </w:t>
      </w:r>
      <w:proofErr w:type="spellStart"/>
      <w:r w:rsidRPr="000D3488">
        <w:rPr>
          <w:rStyle w:val="None"/>
          <w:rFonts w:ascii="Times New Roman" w:hAnsi="Times New Roman"/>
          <w:i/>
          <w:iCs/>
          <w:sz w:val="24"/>
          <w:szCs w:val="24"/>
          <w:lang w:val="fr-FR"/>
        </w:rPr>
        <w:t>Indian</w:t>
      </w:r>
      <w:proofErr w:type="spellEnd"/>
      <w:r w:rsidRPr="000D3488">
        <w:rPr>
          <w:rStyle w:val="None"/>
          <w:rFonts w:ascii="Times New Roman" w:hAnsi="Times New Roman"/>
          <w:i/>
          <w:iCs/>
          <w:sz w:val="24"/>
          <w:szCs w:val="24"/>
          <w:lang w:val="fr-FR"/>
        </w:rPr>
        <w:t xml:space="preserve"> Nullification</w:t>
      </w:r>
      <w:r w:rsidRPr="008C073E">
        <w:rPr>
          <w:rStyle w:val="None"/>
          <w:rFonts w:ascii="Times New Roman" w:hAnsi="Times New Roman"/>
          <w:sz w:val="24"/>
          <w:szCs w:val="24"/>
          <w:lang w:val="fr-FR"/>
        </w:rPr>
        <w:t xml:space="preserve"> </w:t>
      </w:r>
      <w:r w:rsidRPr="008C073E">
        <w:rPr>
          <w:rStyle w:val="None"/>
          <w:rFonts w:ascii="Times New Roman" w:hAnsi="Times New Roman"/>
          <w:sz w:val="24"/>
          <w:szCs w:val="24"/>
        </w:rPr>
        <w:t>as a book as interrupting colonial narratives of domination represented in the body of treaties between the New England colonies (later, the U.S.) and the various Indigenous nations.</w:t>
      </w:r>
      <w:r w:rsidRPr="008C073E">
        <w:rPr>
          <w:rStyle w:val="None"/>
          <w:rFonts w:ascii="Times New Roman" w:eastAsia="Times New Roman" w:hAnsi="Times New Roman" w:cs="Times New Roman"/>
          <w:sz w:val="24"/>
          <w:szCs w:val="24"/>
          <w:vertAlign w:val="superscript"/>
        </w:rPr>
        <w:footnoteReference w:id="12"/>
      </w:r>
      <w:r w:rsidRPr="008C073E">
        <w:rPr>
          <w:rStyle w:val="None"/>
          <w:rFonts w:ascii="Times New Roman" w:hAnsi="Times New Roman"/>
          <w:sz w:val="24"/>
          <w:szCs w:val="24"/>
        </w:rPr>
        <w:t xml:space="preserve"> Following victory in the Revolutionary War, the tone and format of U.S. “</w:t>
      </w:r>
      <w:r w:rsidRPr="008C073E">
        <w:rPr>
          <w:rStyle w:val="None"/>
          <w:rFonts w:ascii="Times New Roman" w:hAnsi="Times New Roman"/>
          <w:sz w:val="24"/>
          <w:szCs w:val="24"/>
          <w:lang w:val="nl-NL"/>
        </w:rPr>
        <w:t>treaties</w:t>
      </w:r>
      <w:r w:rsidRPr="008C073E">
        <w:rPr>
          <w:rStyle w:val="None"/>
          <w:rFonts w:ascii="Times New Roman" w:hAnsi="Times New Roman"/>
          <w:sz w:val="24"/>
          <w:szCs w:val="24"/>
        </w:rPr>
        <w:t>” with Indigenous nations changed as “</w:t>
      </w:r>
      <w:r w:rsidRPr="008C073E">
        <w:rPr>
          <w:rStyle w:val="None"/>
          <w:rFonts w:ascii="Times New Roman" w:hAnsi="Times New Roman"/>
          <w:sz w:val="24"/>
          <w:szCs w:val="24"/>
          <w:shd w:val="clear" w:color="auto" w:fill="FFFFFF"/>
        </w:rPr>
        <w:t xml:space="preserve">American commissioners replaced elaborate speeches and wampum rituals with blunt talk and forceful demands. Treaties, they said, consisted of the United States granting peace to Indians and giving back to the tribes those lands it did not immediately require” (Calloway 100). Before independence, colonial governments had been obliged to view Indigenous nations as foreign sovereignties; now, the predominant view of the U.S. was that Indigenous peoples had no rights to their lands. Colin Calloway quotes New York legislator James Duane, who in 1784 </w:t>
      </w:r>
      <w:r w:rsidRPr="008C073E">
        <w:rPr>
          <w:rStyle w:val="None"/>
          <w:rFonts w:ascii="Times New Roman" w:hAnsi="Times New Roman"/>
          <w:sz w:val="24"/>
          <w:szCs w:val="24"/>
        </w:rPr>
        <w:t xml:space="preserve">urged his state to dispense with wampum and </w:t>
      </w:r>
      <w:r w:rsidRPr="008C073E">
        <w:rPr>
          <w:rStyle w:val="None"/>
          <w:rFonts w:ascii="Times New Roman" w:hAnsi="Times New Roman"/>
          <w:sz w:val="24"/>
          <w:szCs w:val="24"/>
        </w:rPr>
        <w:lastRenderedPageBreak/>
        <w:t>abandon “the disgraceful system of pensioning, courting and flattering them as great and mighty nations…They are used to be[</w:t>
      </w:r>
      <w:proofErr w:type="spellStart"/>
      <w:r w:rsidRPr="008C073E">
        <w:rPr>
          <w:rStyle w:val="None"/>
          <w:rFonts w:ascii="Times New Roman" w:hAnsi="Times New Roman"/>
          <w:sz w:val="24"/>
          <w:szCs w:val="24"/>
        </w:rPr>
        <w:t>ing</w:t>
      </w:r>
      <w:proofErr w:type="spellEnd"/>
      <w:r w:rsidRPr="008C073E">
        <w:rPr>
          <w:rStyle w:val="None"/>
          <w:rFonts w:ascii="Times New Roman" w:hAnsi="Times New Roman"/>
          <w:sz w:val="24"/>
          <w:szCs w:val="24"/>
        </w:rPr>
        <w:t xml:space="preserve">] called Brethren, Sachems and Warriors of the Six Nations. I hope it will never be repeated. It is sufficient to make them sensible that they are spoken to” (99). This imperious tone is very much on display in the Massachusetts government’s response to the Mashpees’ 1833 declaration of sovereignty, as evidenced by “a letter from the governor” to Fiske quoted by Apess in </w:t>
      </w:r>
      <w:r w:rsidRPr="007C1487">
        <w:rPr>
          <w:rStyle w:val="None"/>
          <w:rFonts w:ascii="Times New Roman" w:hAnsi="Times New Roman"/>
          <w:i/>
          <w:iCs/>
          <w:sz w:val="24"/>
          <w:szCs w:val="24"/>
          <w:lang w:val="fr-FR"/>
        </w:rPr>
        <w:t>Nullification</w:t>
      </w:r>
      <w:r w:rsidRPr="008C073E">
        <w:rPr>
          <w:rStyle w:val="None"/>
          <w:rFonts w:ascii="Times New Roman" w:hAnsi="Times New Roman"/>
          <w:sz w:val="24"/>
          <w:szCs w:val="24"/>
        </w:rPr>
        <w:t>, which instructed the American emissaries to “let [the Mashpees] be confined in their adoption to an application of civil power” and warned Fiske that “[</w:t>
      </w:r>
      <w:proofErr w:type="spellStart"/>
      <w:r w:rsidRPr="008C073E">
        <w:rPr>
          <w:rStyle w:val="None"/>
          <w:rFonts w:ascii="Times New Roman" w:hAnsi="Times New Roman"/>
          <w:sz w:val="24"/>
          <w:szCs w:val="24"/>
        </w:rPr>
        <w:t>i</w:t>
      </w:r>
      <w:proofErr w:type="spellEnd"/>
      <w:r w:rsidRPr="008C073E">
        <w:rPr>
          <w:rStyle w:val="None"/>
          <w:rFonts w:ascii="Times New Roman" w:hAnsi="Times New Roman"/>
          <w:sz w:val="24"/>
          <w:szCs w:val="24"/>
        </w:rPr>
        <w:t xml:space="preserve">]f there is resistance, the Sheriff will…call out the </w:t>
      </w:r>
      <w:r w:rsidRPr="008C073E">
        <w:rPr>
          <w:rStyle w:val="None"/>
          <w:rFonts w:ascii="Times New Roman" w:hAnsi="Times New Roman"/>
          <w:sz w:val="24"/>
          <w:szCs w:val="24"/>
          <w:lang w:val="it-IT"/>
        </w:rPr>
        <w:t>posse comitatus</w:t>
      </w:r>
      <w:r w:rsidRPr="008C073E">
        <w:rPr>
          <w:rStyle w:val="None"/>
          <w:rFonts w:ascii="Times New Roman" w:hAnsi="Times New Roman"/>
          <w:sz w:val="24"/>
          <w:szCs w:val="24"/>
        </w:rPr>
        <w:t xml:space="preserve">, and should there be reason to fear the inefficiency of this resort, I will be present personally, to direct any military requisitions” </w:t>
      </w:r>
      <w:r w:rsidRPr="008C073E">
        <w:rPr>
          <w:rStyle w:val="None"/>
          <w:rFonts w:ascii="Times New Roman" w:hAnsi="Times New Roman"/>
          <w:sz w:val="24"/>
          <w:szCs w:val="24"/>
          <w:lang w:val="pt-PT"/>
        </w:rPr>
        <w:t>(Apess 183).</w:t>
      </w:r>
    </w:p>
    <w:p w14:paraId="52240A4B" w14:textId="77777777" w:rsidR="00274B3F" w:rsidRPr="008C073E" w:rsidRDefault="00274B3F" w:rsidP="00274B3F">
      <w:pPr>
        <w:pStyle w:val="Body"/>
        <w:spacing w:line="480" w:lineRule="auto"/>
        <w:rPr>
          <w:rStyle w:val="None"/>
          <w:rFonts w:ascii="Times New Roman" w:eastAsia="Times New Roman" w:hAnsi="Times New Roman" w:cs="Times New Roman"/>
          <w:sz w:val="24"/>
          <w:szCs w:val="24"/>
        </w:rPr>
      </w:pPr>
      <w:r w:rsidRPr="008C073E">
        <w:rPr>
          <w:rStyle w:val="None"/>
          <w:rFonts w:ascii="Times New Roman" w:eastAsia="Times New Roman" w:hAnsi="Times New Roman" w:cs="Times New Roman"/>
          <w:sz w:val="24"/>
          <w:szCs w:val="24"/>
        </w:rPr>
        <w:tab/>
        <w:t xml:space="preserve">The jeering </w:t>
      </w:r>
      <w:r w:rsidRPr="008C073E">
        <w:rPr>
          <w:rStyle w:val="None"/>
          <w:rFonts w:ascii="Times New Roman" w:hAnsi="Times New Roman"/>
          <w:sz w:val="24"/>
          <w:szCs w:val="24"/>
          <w:lang w:val="de-DE"/>
        </w:rPr>
        <w:t xml:space="preserve">Ahanaeenun </w:t>
      </w:r>
      <w:r w:rsidRPr="008C073E">
        <w:rPr>
          <w:rStyle w:val="None"/>
          <w:rFonts w:ascii="Times New Roman" w:hAnsi="Times New Roman"/>
          <w:sz w:val="24"/>
          <w:szCs w:val="24"/>
        </w:rPr>
        <w:t xml:space="preserve">spirit dances through Apess’s response to the governor, mocking the solemn rituals of American “diplomacy.” “This letter,” Apess writes in </w:t>
      </w:r>
      <w:r w:rsidRPr="007C1487">
        <w:rPr>
          <w:rStyle w:val="None"/>
          <w:rFonts w:ascii="Times New Roman" w:hAnsi="Times New Roman"/>
          <w:i/>
          <w:iCs/>
          <w:sz w:val="24"/>
          <w:szCs w:val="24"/>
        </w:rPr>
        <w:t>Nullification</w:t>
      </w:r>
      <w:r w:rsidRPr="008C073E">
        <w:rPr>
          <w:rStyle w:val="None"/>
          <w:rFonts w:ascii="Times New Roman" w:hAnsi="Times New Roman"/>
          <w:sz w:val="24"/>
          <w:szCs w:val="24"/>
        </w:rPr>
        <w:t xml:space="preserve">, “was read to the people” who “thought it grievous that the governor should think they had put him in mind of his oath of office, to secure the Commonwealth from danger, and given him cause to call out perhaps fifty or sixty thousand militia” when the Mashpee “might, possibly, have opposed a hundred fighting men and fifteen or twenty rusty guns” </w:t>
      </w:r>
      <w:r w:rsidRPr="008C073E">
        <w:rPr>
          <w:rStyle w:val="None"/>
          <w:rFonts w:ascii="Times New Roman" w:hAnsi="Times New Roman"/>
          <w:sz w:val="24"/>
          <w:szCs w:val="24"/>
          <w:lang w:val="pt-PT"/>
        </w:rPr>
        <w:t>(183). Apess</w:t>
      </w:r>
      <w:r w:rsidRPr="008C073E">
        <w:rPr>
          <w:rStyle w:val="None"/>
          <w:rFonts w:ascii="Times New Roman" w:hAnsi="Times New Roman"/>
          <w:sz w:val="24"/>
          <w:szCs w:val="24"/>
        </w:rPr>
        <w:t xml:space="preserve">’s self-denigrating humor makes the Massachusetts government look ridiculous by emphasizing the huge imbalance of military power, which also has the effect of reasserting the Mashpees’ arguments for civil rights with greater force. Apess writes that John Reed, a Massachusetts Congressman from Yarmouth who was present at </w:t>
      </w:r>
      <w:r w:rsidRPr="008C073E">
        <w:rPr>
          <w:rStyle w:val="None"/>
          <w:rFonts w:ascii="Times New Roman" w:hAnsi="Times New Roman"/>
          <w:sz w:val="24"/>
          <w:szCs w:val="24"/>
        </w:rPr>
        <w:lastRenderedPageBreak/>
        <w:t xml:space="preserve">the meetinghouse, “told us that merely declaring a law to be? oppressive could not abrogate it; and that it would become us [the Mashpees], as good citizens…to wait for the session of the Legislature and then apply for relief” (183). Apess arranges his narrative so that Reed’s “advice” comes after the revelation of the governor’s letter threatening to levy the strength of the militia against the tribe. The order of these documents renders the idea that the Mashpee are “citizens whom the government was disposed to treat well” absurd (not to mention that among the first of the grievances Apess learns about at the beginning of </w:t>
      </w:r>
      <w:r w:rsidRPr="007C1487">
        <w:rPr>
          <w:rStyle w:val="None"/>
          <w:rFonts w:ascii="Times New Roman" w:hAnsi="Times New Roman"/>
          <w:i/>
          <w:iCs/>
          <w:sz w:val="24"/>
          <w:szCs w:val="24"/>
          <w:lang w:val="fr-FR"/>
        </w:rPr>
        <w:t>Nullification</w:t>
      </w:r>
      <w:r w:rsidRPr="008C073E">
        <w:rPr>
          <w:rStyle w:val="None"/>
          <w:rFonts w:ascii="Times New Roman" w:hAnsi="Times New Roman"/>
          <w:sz w:val="24"/>
          <w:szCs w:val="24"/>
          <w:lang w:val="fr-FR"/>
        </w:rPr>
        <w:t xml:space="preserve"> </w:t>
      </w:r>
      <w:r w:rsidRPr="008C073E">
        <w:rPr>
          <w:rStyle w:val="None"/>
          <w:rFonts w:ascii="Times New Roman" w:hAnsi="Times New Roman"/>
          <w:sz w:val="24"/>
          <w:szCs w:val="24"/>
        </w:rPr>
        <w:t>is the long history of tribal petitions and memorials to the legislature and other local governing bodies to which “they had never been able to obtain a hearing” [173]). Meanwhile, Apess also brings to the forefront the irony of their oppressors’ revolutionary history. By fully quoting President Amos’s letter (dated, as we will recall, July 4, 1833) and juxtaposing it with the governor’s eagerness to resort to military power, his neglect of the wellbeing of his “good citizens,” and the deafness of the legislature to Mashpee petitions for redress, Apess coordinates the events leading up to the Mashpees’ “pretended revolt” with the American colonies’ grievances on the eve of Revolution.</w:t>
      </w:r>
      <w:r w:rsidRPr="008C073E">
        <w:rPr>
          <w:rStyle w:val="None"/>
          <w:rFonts w:ascii="Times New Roman" w:eastAsia="Times New Roman" w:hAnsi="Times New Roman" w:cs="Times New Roman"/>
          <w:sz w:val="24"/>
          <w:szCs w:val="24"/>
          <w:vertAlign w:val="superscript"/>
        </w:rPr>
        <w:footnoteReference w:id="13"/>
      </w:r>
      <w:r w:rsidRPr="008C073E">
        <w:rPr>
          <w:rStyle w:val="None"/>
          <w:rFonts w:ascii="Times New Roman" w:hAnsi="Times New Roman"/>
          <w:sz w:val="24"/>
          <w:szCs w:val="24"/>
        </w:rPr>
        <w:t xml:space="preserve"> To hammer this point home, Apess refers several times ironically to Massachusetts as “the birthplace of American freedom” (183).  </w:t>
      </w:r>
    </w:p>
    <w:p w14:paraId="4BABB26B" w14:textId="453379C0" w:rsidR="00274B3F" w:rsidRPr="008C073E" w:rsidRDefault="00274B3F" w:rsidP="00274B3F">
      <w:pPr>
        <w:pStyle w:val="Body"/>
        <w:spacing w:line="480" w:lineRule="auto"/>
        <w:rPr>
          <w:rStyle w:val="None"/>
          <w:rFonts w:ascii="Times New Roman" w:eastAsia="Times New Roman" w:hAnsi="Times New Roman" w:cs="Times New Roman"/>
          <w:sz w:val="24"/>
          <w:szCs w:val="24"/>
        </w:rPr>
      </w:pPr>
      <w:r w:rsidRPr="008C073E">
        <w:rPr>
          <w:rStyle w:val="None"/>
          <w:rFonts w:ascii="Times New Roman" w:eastAsia="Times New Roman" w:hAnsi="Times New Roman" w:cs="Times New Roman"/>
          <w:sz w:val="24"/>
          <w:szCs w:val="24"/>
        </w:rPr>
        <w:lastRenderedPageBreak/>
        <w:tab/>
        <w:t>T</w:t>
      </w:r>
      <w:r w:rsidRPr="008C073E">
        <w:rPr>
          <w:rStyle w:val="None"/>
          <w:rFonts w:ascii="Times New Roman" w:hAnsi="Times New Roman"/>
          <w:sz w:val="24"/>
          <w:szCs w:val="24"/>
        </w:rPr>
        <w:t xml:space="preserve">he second half of </w:t>
      </w:r>
      <w:r w:rsidRPr="007C1487">
        <w:rPr>
          <w:rStyle w:val="None"/>
          <w:rFonts w:ascii="Times New Roman" w:hAnsi="Times New Roman"/>
          <w:i/>
          <w:iCs/>
          <w:sz w:val="24"/>
          <w:szCs w:val="24"/>
          <w:lang w:val="fr-FR"/>
        </w:rPr>
        <w:t>Nullification</w:t>
      </w:r>
      <w:r w:rsidRPr="008C073E">
        <w:rPr>
          <w:rStyle w:val="None"/>
          <w:rFonts w:ascii="Times New Roman" w:hAnsi="Times New Roman"/>
          <w:sz w:val="24"/>
          <w:szCs w:val="24"/>
        </w:rPr>
        <w:t xml:space="preserve">, in which Apess editorializes on the documentary history of the Mashpee’s resistance to colonial oppression, is full of similarly sardonic takes on non-Native hypocrisy. At a time when other figures of Native resistance such as the Sac chief Black Hawk, the Cherokee editor Elias Boudinot, the Senecan orator Red Jacket, or the Shawnee brothers Tecumseh and Tenskwatawa used the discourses of sentiment, outrage, Christian and Indigenous religious imagery, the language of prophecy, knowledge of European and Indigenous history, non-Native law and custom, ethics, philosophy, and literature to remonstrate and reason with non-Native audiences on behalf of Indigenous nations, Apess added to all of these his wit and sarcasm, through which he held up to his readers a fun-house mirror in which they saw themselves rendered ridiculously real. </w:t>
      </w:r>
    </w:p>
    <w:p w14:paraId="14E87E2D"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shd w:val="clear" w:color="auto" w:fill="FFFFFF"/>
        </w:rPr>
      </w:pPr>
      <w:r w:rsidRPr="008C073E">
        <w:rPr>
          <w:rStyle w:val="None"/>
          <w:rFonts w:ascii="Times New Roman" w:hAnsi="Times New Roman"/>
          <w:sz w:val="24"/>
          <w:szCs w:val="24"/>
        </w:rPr>
        <w:t xml:space="preserve">The contemporary reaction of the Barnstable Patriot tells us just how effective Apess’s strategy was. </w:t>
      </w:r>
      <w:r w:rsidRPr="008C073E">
        <w:rPr>
          <w:rStyle w:val="None"/>
          <w:rFonts w:ascii="Times New Roman" w:hAnsi="Times New Roman"/>
          <w:sz w:val="24"/>
          <w:szCs w:val="24"/>
          <w:shd w:val="clear" w:color="auto" w:fill="FFFFFF"/>
        </w:rPr>
        <w:t>Editorializing on a speech he delivered at Boston’s Representative Hall in 1834 on the subject of the Mashpees’ oppression, the newspaper accused Apess of “vilifying and abusing the irreproachable Pastor…Mr. Fish,” “stigmatizing and calumniating the Court and Jury who tried and convicted him, and flinging his sarcasms and sneers upon the Attorney and Jury who indicted him”</w:t>
      </w:r>
      <w:r w:rsidRPr="008C073E">
        <w:rPr>
          <w:rStyle w:val="None"/>
          <w:rFonts w:ascii="Times New Roman" w:hAnsi="Times New Roman"/>
          <w:sz w:val="24"/>
          <w:szCs w:val="24"/>
        </w:rPr>
        <w:t xml:space="preserve"> (Patriot Feb. 5, 1834). </w:t>
      </w:r>
      <w:r w:rsidRPr="008C073E">
        <w:rPr>
          <w:rStyle w:val="None"/>
          <w:rFonts w:ascii="Times New Roman" w:hAnsi="Times New Roman"/>
          <w:sz w:val="24"/>
          <w:szCs w:val="24"/>
          <w:shd w:val="clear" w:color="auto" w:fill="FFFFFF"/>
        </w:rPr>
        <w:t>The Patriot writer is far more concerned with Rev. Fish’s reputation than he is with Apess’s claims about the Reverend’s role in the oppression of the Mashpee</w:t>
      </w:r>
      <w:r w:rsidRPr="008C073E">
        <w:rPr>
          <w:rStyle w:val="None"/>
          <w:rFonts w:ascii="Times New Roman" w:hAnsi="Times New Roman"/>
          <w:sz w:val="24"/>
          <w:szCs w:val="24"/>
        </w:rPr>
        <w:t xml:space="preserve">. Their retort reflects a moral indignation similar to that described by Joseph Addison in The Spectator, where he decries underhanded and ill-natured “Lampoon[s]” and “Satyr[s]” that “produce…a </w:t>
      </w:r>
      <w:r w:rsidRPr="008C073E">
        <w:rPr>
          <w:rStyle w:val="None"/>
          <w:rFonts w:ascii="Times New Roman" w:hAnsi="Times New Roman"/>
          <w:sz w:val="24"/>
          <w:szCs w:val="24"/>
        </w:rPr>
        <w:lastRenderedPageBreak/>
        <w:t>secret Shame or Sorrow in the mind of a suffering Person” by “set[ting them] up as a Mark of Infamy and Derision”</w:t>
      </w:r>
      <w:r w:rsidRPr="008C073E">
        <w:rPr>
          <w:rStyle w:val="None"/>
          <w:rFonts w:ascii="Times New Roman" w:hAnsi="Times New Roman"/>
          <w:sz w:val="24"/>
          <w:szCs w:val="24"/>
          <w:shd w:val="clear" w:color="auto" w:fill="FFFFFF"/>
        </w:rPr>
        <w:t xml:space="preserve"> (Spectator March 27, 1711). The Spectator envisioned satire offensively, as a weapon, and employed the tropes of “savage Indian warfare” to describe attacks on public reputations as “Arrows that fly in the dark” (March 27, 1711). However, Apess turns on this trope, too, turning sarcasm to the defense of his adoptive tribe. </w:t>
      </w:r>
      <w:r w:rsidRPr="008C073E">
        <w:rPr>
          <w:rStyle w:val="None"/>
          <w:rFonts w:ascii="Times New Roman" w:hAnsi="Times New Roman"/>
          <w:sz w:val="24"/>
          <w:szCs w:val="24"/>
        </w:rPr>
        <w:t xml:space="preserve">In his “concluding observations” to </w:t>
      </w:r>
      <w:r w:rsidRPr="007C1487">
        <w:rPr>
          <w:rStyle w:val="None"/>
          <w:rFonts w:ascii="Times New Roman" w:hAnsi="Times New Roman"/>
          <w:i/>
          <w:iCs/>
          <w:sz w:val="24"/>
          <w:szCs w:val="24"/>
          <w:lang w:val="fr-FR"/>
        </w:rPr>
        <w:t>Nullification</w:t>
      </w:r>
      <w:r w:rsidRPr="008C073E">
        <w:rPr>
          <w:rStyle w:val="None"/>
          <w:rFonts w:ascii="Times New Roman" w:hAnsi="Times New Roman"/>
          <w:sz w:val="24"/>
          <w:szCs w:val="24"/>
        </w:rPr>
        <w:t>, Apess writes, “If, in the course of this little volume, I have been obliged to use language that seems harsh, I beg my readers to remember that it was in defense of the character of the people under my spiritual charge and of my own” (273). What their non-Native audiences considered a mark of ill-nature or bad breeding, Apess and other Mashpee leaders turned to the ends of rhetorical and political sovereignty.</w:t>
      </w:r>
    </w:p>
    <w:p w14:paraId="363D4CE1" w14:textId="70056BFA" w:rsidR="00274B3F" w:rsidRPr="008752E7" w:rsidRDefault="008752E7" w:rsidP="00A729F1">
      <w:pPr>
        <w:pStyle w:val="Heading2"/>
        <w:jc w:val="center"/>
        <w:rPr>
          <w:rStyle w:val="None"/>
          <w:rFonts w:ascii="Times New Roman" w:hAnsi="Times New Roman" w:cs="Times New Roman"/>
          <w:b/>
          <w:bCs/>
          <w:i/>
          <w:iCs/>
          <w:color w:val="auto"/>
          <w:sz w:val="24"/>
          <w:szCs w:val="24"/>
        </w:rPr>
      </w:pPr>
      <w:bookmarkStart w:id="8" w:name="_s20c91ogavj7"/>
      <w:bookmarkStart w:id="9" w:name="_Toc169279167"/>
      <w:bookmarkEnd w:id="8"/>
      <w:r>
        <w:rPr>
          <w:rStyle w:val="None"/>
          <w:rFonts w:ascii="Times New Roman" w:hAnsi="Times New Roman"/>
          <w:b/>
          <w:bCs/>
          <w:i/>
          <w:iCs/>
          <w:color w:val="auto"/>
          <w:sz w:val="24"/>
          <w:szCs w:val="24"/>
        </w:rPr>
        <w:t>A Tour on the Prairies</w:t>
      </w:r>
      <w:bookmarkEnd w:id="9"/>
    </w:p>
    <w:p w14:paraId="68BB26FB" w14:textId="77777777" w:rsidR="00274B3F" w:rsidRPr="008C073E" w:rsidRDefault="00274B3F" w:rsidP="00274B3F">
      <w:pPr>
        <w:pStyle w:val="Body"/>
        <w:rPr>
          <w:rStyle w:val="None"/>
          <w:rFonts w:ascii="Times New Roman" w:eastAsia="Times New Roman" w:hAnsi="Times New Roman" w:cs="Times New Roman"/>
          <w:sz w:val="24"/>
          <w:szCs w:val="24"/>
        </w:rPr>
      </w:pPr>
    </w:p>
    <w:p w14:paraId="6ED363D1"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Washington Irving’s career as one of the early fathers of American comedy hit its early zenith in 1809 with the publication of A History of New York. Once he retired the satirical Diedrich Knickerbocker for the more genial Geoffrey Crayon, his humor mellowed significantly, only rising to its former heights again briefly in “</w:t>
      </w:r>
      <w:r w:rsidRPr="008C073E">
        <w:rPr>
          <w:rStyle w:val="None"/>
          <w:rFonts w:ascii="Times New Roman" w:hAnsi="Times New Roman"/>
          <w:sz w:val="24"/>
          <w:szCs w:val="24"/>
          <w:lang w:val="nl-NL"/>
        </w:rPr>
        <w:t>Rip Van Winkle</w:t>
      </w:r>
      <w:r w:rsidRPr="008C073E">
        <w:rPr>
          <w:rStyle w:val="None"/>
          <w:rFonts w:ascii="Times New Roman" w:hAnsi="Times New Roman"/>
          <w:sz w:val="24"/>
          <w:szCs w:val="24"/>
        </w:rPr>
        <w:t xml:space="preserve">” and “The Legend of Sleepy Hollow,” the most famous sketches in Crayon’s Sketch Book, both attributed to Knickerbocker. Where Knickerbocker had lampooned colonial enterprise and provincial braggadocio in a way that shed a harsh light on contemporary Jeffersonian democracy, Crayon channeled the “artless benevolence” and gentle wit of Irving’s favorite literary role model, Oliver Goldsmith (Leary 199). This </w:t>
      </w:r>
      <w:r w:rsidRPr="008C073E">
        <w:rPr>
          <w:rStyle w:val="None"/>
          <w:rFonts w:ascii="Times New Roman" w:hAnsi="Times New Roman"/>
          <w:sz w:val="24"/>
          <w:szCs w:val="24"/>
        </w:rPr>
        <w:lastRenderedPageBreak/>
        <w:t xml:space="preserve">trend continued, defining the humor of Irving’s writings from the publication of The Sketch Book in 1819 to his return to the United States in 1832. A gentler, more amiable humor is one facet of Irving’s Anglified voice, which American critics lamented, after 1819, “had lost…many of her home qualities” (Leary 199).  </w:t>
      </w:r>
      <w:r w:rsidRPr="007C1487">
        <w:rPr>
          <w:rStyle w:val="None"/>
          <w:rFonts w:ascii="Times New Roman" w:hAnsi="Times New Roman"/>
          <w:i/>
          <w:iCs/>
          <w:sz w:val="24"/>
          <w:szCs w:val="24"/>
        </w:rPr>
        <w:t>A Tour on the Prairie</w:t>
      </w:r>
      <w:r w:rsidRPr="008C073E">
        <w:rPr>
          <w:rStyle w:val="None"/>
          <w:rFonts w:ascii="Times New Roman" w:hAnsi="Times New Roman"/>
          <w:sz w:val="24"/>
          <w:szCs w:val="24"/>
        </w:rPr>
        <w:t xml:space="preserve"> is Irving’s attempt to address those critics who accused him of a lack of patriotism. He returns in that work to American themes and environments and engages with American types that he had delineated at the height of his career, admittedly with greater effect. </w:t>
      </w:r>
    </w:p>
    <w:p w14:paraId="3EA933B3"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As Guy Reynolds has pointed out, literary historians have disagreed on what to make of Irving’s impression of his western tour of American expansionism generally. Reynolds echoes Dana Hagensick’s contention that, though his party allegiances wavered throughout his life, in his writing Irving consistently demonstrated the “simple biases” of “nationalism-patriotism and conservatism” (Reynolds 89). From this point of view,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participates in the project of westward expansion by performing what Andrew Hebard calls “styling territory,” the national appropriation of land as territory via the process of literary “</w:t>
      </w:r>
      <w:r w:rsidRPr="008C073E">
        <w:rPr>
          <w:rStyle w:val="None"/>
          <w:rFonts w:ascii="Times New Roman" w:hAnsi="Times New Roman"/>
          <w:sz w:val="24"/>
          <w:szCs w:val="24"/>
          <w:lang w:val="it-IT"/>
        </w:rPr>
        <w:t>enunciation</w:t>
      </w:r>
      <w:r w:rsidRPr="008C073E">
        <w:rPr>
          <w:rStyle w:val="None"/>
          <w:rFonts w:ascii="Times New Roman" w:hAnsi="Times New Roman"/>
          <w:sz w:val="24"/>
          <w:szCs w:val="24"/>
        </w:rPr>
        <w:t xml:space="preserve">” </w:t>
      </w:r>
      <w:r w:rsidRPr="008C073E">
        <w:rPr>
          <w:rStyle w:val="None"/>
          <w:rFonts w:ascii="Times New Roman" w:hAnsi="Times New Roman"/>
          <w:sz w:val="24"/>
          <w:szCs w:val="24"/>
          <w:lang w:val="nl-NL"/>
        </w:rPr>
        <w:t>(Hebard 51). Irving</w:t>
      </w:r>
      <w:r w:rsidRPr="008C073E">
        <w:rPr>
          <w:rStyle w:val="None"/>
          <w:rFonts w:ascii="Times New Roman" w:hAnsi="Times New Roman"/>
          <w:sz w:val="24"/>
          <w:szCs w:val="24"/>
        </w:rPr>
        <w:t xml:space="preserve">’s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presents the west as already cultivated and civilized, its Indigenous inhabitants continually retreating and disappearing from the “</w:t>
      </w:r>
      <w:r w:rsidRPr="008C073E">
        <w:rPr>
          <w:rStyle w:val="None"/>
          <w:rFonts w:ascii="Times New Roman" w:hAnsi="Times New Roman"/>
          <w:sz w:val="24"/>
          <w:szCs w:val="24"/>
          <w:lang w:val="fr-FR"/>
        </w:rPr>
        <w:t>action</w:t>
      </w:r>
      <w:r w:rsidRPr="008C073E">
        <w:rPr>
          <w:rStyle w:val="None"/>
          <w:rFonts w:ascii="Times New Roman" w:hAnsi="Times New Roman"/>
          <w:sz w:val="24"/>
          <w:szCs w:val="24"/>
        </w:rPr>
        <w:t>” of the text (Reynolds 95-7).</w:t>
      </w:r>
      <w:r w:rsidRPr="008C073E">
        <w:rPr>
          <w:rStyle w:val="None"/>
          <w:rFonts w:ascii="Times New Roman" w:eastAsia="Times New Roman" w:hAnsi="Times New Roman" w:cs="Times New Roman"/>
          <w:sz w:val="24"/>
          <w:szCs w:val="24"/>
          <w:vertAlign w:val="superscript"/>
        </w:rPr>
        <w:footnoteReference w:id="14"/>
      </w:r>
      <w:r w:rsidRPr="008C073E">
        <w:rPr>
          <w:rStyle w:val="None"/>
          <w:rFonts w:ascii="Times New Roman" w:hAnsi="Times New Roman"/>
          <w:sz w:val="24"/>
          <w:szCs w:val="24"/>
        </w:rPr>
        <w:t xml:space="preserve"> Reynolds calls the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 xml:space="preserve">an “extended, Jacksonian act of wish-fulfillment” (96). But Irving, as usual, is slippery, and other critics have sensed in </w:t>
      </w:r>
      <w:r w:rsidRPr="007C1487">
        <w:rPr>
          <w:rStyle w:val="None"/>
          <w:rFonts w:ascii="Times New Roman" w:hAnsi="Times New Roman"/>
          <w:i/>
          <w:iCs/>
          <w:sz w:val="24"/>
          <w:szCs w:val="24"/>
          <w:lang w:val="fr-FR"/>
        </w:rPr>
        <w:t>Tour</w:t>
      </w:r>
      <w:r w:rsidRPr="008C073E">
        <w:rPr>
          <w:rStyle w:val="None"/>
          <w:rFonts w:ascii="Times New Roman" w:hAnsi="Times New Roman"/>
          <w:sz w:val="24"/>
          <w:szCs w:val="24"/>
        </w:rPr>
        <w:t>’</w:t>
      </w:r>
      <w:r w:rsidRPr="008C073E">
        <w:rPr>
          <w:rStyle w:val="None"/>
          <w:rFonts w:ascii="Times New Roman" w:hAnsi="Times New Roman"/>
          <w:sz w:val="24"/>
          <w:szCs w:val="24"/>
          <w:lang w:val="it-IT"/>
        </w:rPr>
        <w:t>s layers of irony concealed skepticism of his contemporaries</w:t>
      </w:r>
      <w:r w:rsidRPr="008C073E">
        <w:rPr>
          <w:rStyle w:val="None"/>
          <w:rFonts w:ascii="Times New Roman" w:hAnsi="Times New Roman"/>
          <w:sz w:val="24"/>
          <w:szCs w:val="24"/>
        </w:rPr>
        <w:t xml:space="preserve">’ nationalistic fervor [or simply nationalism, or jingoism]. Most recently, J. Woodrow McCree has </w:t>
      </w:r>
      <w:r w:rsidRPr="008C073E">
        <w:rPr>
          <w:rStyle w:val="None"/>
          <w:rFonts w:ascii="Times New Roman" w:hAnsi="Times New Roman"/>
          <w:sz w:val="24"/>
          <w:szCs w:val="24"/>
        </w:rPr>
        <w:lastRenderedPageBreak/>
        <w:t xml:space="preserve">argued that Irving’s professional imaginative writing consistently advocated a genial doctrine of “world citizenship,” criticizing cultural chauvinism wherever he sensed it (149). Where McCree portrays Irving’s criticism as gentle rebuke, William Bedford Clark see it as more confrontational. Clark calls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 xml:space="preserve">“a mock-heroic quest that quietly subverts the perennial American myth of westering, a myth that presupposes that civilization must inevitably conquer the wilderness,” and asserts “in </w:t>
      </w:r>
      <w:r w:rsidRPr="007C1487">
        <w:rPr>
          <w:rStyle w:val="None"/>
          <w:rFonts w:ascii="Times New Roman" w:hAnsi="Times New Roman"/>
          <w:i/>
          <w:iCs/>
          <w:sz w:val="24"/>
          <w:szCs w:val="24"/>
        </w:rPr>
        <w:t>A Tour on the Prairies</w:t>
      </w:r>
      <w:r w:rsidRPr="008C073E">
        <w:rPr>
          <w:rStyle w:val="None"/>
          <w:rFonts w:ascii="Times New Roman" w:hAnsi="Times New Roman"/>
          <w:sz w:val="24"/>
          <w:szCs w:val="24"/>
        </w:rPr>
        <w:t xml:space="preserve"> it is the West itself that wins in the end and sends the would-be torchbearers of law and order</w:t>
      </w:r>
      <w:r w:rsidRPr="008C073E">
        <w:rPr>
          <w:rStyle w:val="None"/>
          <w:rFonts w:ascii="Times New Roman" w:hAnsi="Times New Roman"/>
          <w:sz w:val="24"/>
          <w:szCs w:val="24"/>
        </w:rPr>
        <w:softHyphen/>
      </w:r>
      <w:r w:rsidRPr="008C073E">
        <w:rPr>
          <w:rStyle w:val="None"/>
          <w:rFonts w:ascii="Times New Roman" w:hAnsi="Times New Roman"/>
          <w:sz w:val="24"/>
          <w:szCs w:val="24"/>
        </w:rPr>
        <w:softHyphen/>
        <w:t xml:space="preserve">—peace, progress, and prosperity—scurrying back to Fort Gibson” (336). </w:t>
      </w:r>
    </w:p>
    <w:p w14:paraId="7C312DB8" w14:textId="542D1686"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The social criticism that marked the younger Irving’s humor is not absent from </w:t>
      </w:r>
      <w:r w:rsidRPr="007C1487">
        <w:rPr>
          <w:rStyle w:val="None"/>
          <w:rFonts w:ascii="Times New Roman" w:hAnsi="Times New Roman"/>
          <w:i/>
          <w:iCs/>
          <w:sz w:val="24"/>
          <w:szCs w:val="24"/>
        </w:rPr>
        <w:t>A Tour on the Prairie</w:t>
      </w:r>
      <w:r w:rsidR="007C1487">
        <w:rPr>
          <w:rStyle w:val="None"/>
          <w:rFonts w:ascii="Times New Roman" w:hAnsi="Times New Roman"/>
          <w:i/>
          <w:iCs/>
          <w:sz w:val="24"/>
          <w:szCs w:val="24"/>
        </w:rPr>
        <w:t>s</w:t>
      </w:r>
      <w:r w:rsidRPr="008C073E">
        <w:rPr>
          <w:rStyle w:val="None"/>
          <w:rFonts w:ascii="Times New Roman" w:hAnsi="Times New Roman"/>
          <w:sz w:val="24"/>
          <w:szCs w:val="24"/>
        </w:rPr>
        <w:t xml:space="preserve">, though it is muted by more amiable sensibilities. Removal provides both the method and target of his subtle critique, allowing his humorous scenes and characters to comment on the injustices of colonization, insofar as Irving assessed them. His admiration for Ellsworth aside, the humor of Irving’s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 xml:space="preserve">often makes the white rangers and traders of the frontier the butt of the joke, inexperienced strangers in the land of the Osages and Pawnees. While the result is certainly not a scathing critique of Removal, the humor of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 xml:space="preserve">suggests Irving’s skepticism of nationalistic and expansionist </w:t>
      </w:r>
      <w:proofErr w:type="spellStart"/>
      <w:r w:rsidRPr="008C073E">
        <w:rPr>
          <w:rStyle w:val="None"/>
          <w:rFonts w:ascii="Times New Roman" w:hAnsi="Times New Roman"/>
          <w:sz w:val="24"/>
          <w:szCs w:val="24"/>
        </w:rPr>
        <w:t>rhetorics</w:t>
      </w:r>
      <w:proofErr w:type="spellEnd"/>
      <w:r w:rsidRPr="008C073E">
        <w:rPr>
          <w:rStyle w:val="None"/>
          <w:rFonts w:ascii="Times New Roman" w:hAnsi="Times New Roman"/>
          <w:sz w:val="24"/>
          <w:szCs w:val="24"/>
        </w:rPr>
        <w:t xml:space="preserve">. Reading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 xml:space="preserve">with an attention to the way Irving’s humor pushes back against these frames allows us to see the ways that white authors such as Irving with investments in the nation-state project both contributed to and undermined the rhetorical basis for settler-colonialism in the 1830s. </w:t>
      </w:r>
    </w:p>
    <w:p w14:paraId="05B3E7EE"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lastRenderedPageBreak/>
        <w:t xml:space="preserve">More importantly, insofar as the humor of the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 xml:space="preserve">also records Indigenous perspectives on these issues through the characters of </w:t>
      </w:r>
      <w:proofErr w:type="spellStart"/>
      <w:r w:rsidRPr="008C073E">
        <w:rPr>
          <w:rStyle w:val="None"/>
          <w:rFonts w:ascii="Times New Roman" w:hAnsi="Times New Roman"/>
          <w:sz w:val="24"/>
          <w:szCs w:val="24"/>
        </w:rPr>
        <w:t>Beatte</w:t>
      </w:r>
      <w:proofErr w:type="spellEnd"/>
      <w:r w:rsidRPr="008C073E">
        <w:rPr>
          <w:rStyle w:val="None"/>
          <w:rFonts w:ascii="Times New Roman" w:hAnsi="Times New Roman"/>
          <w:sz w:val="24"/>
          <w:szCs w:val="24"/>
        </w:rPr>
        <w:t xml:space="preserve"> and Tonish as well as the numerous unnamed Osages encountered by the Irving party, </w:t>
      </w:r>
      <w:r w:rsidRPr="007C1487">
        <w:rPr>
          <w:rStyle w:val="None"/>
          <w:rFonts w:ascii="Times New Roman" w:hAnsi="Times New Roman"/>
          <w:i/>
          <w:iCs/>
          <w:sz w:val="24"/>
          <w:szCs w:val="24"/>
        </w:rPr>
        <w:t>Tour</w:t>
      </w:r>
      <w:r w:rsidRPr="008C073E">
        <w:rPr>
          <w:rStyle w:val="None"/>
          <w:rFonts w:ascii="Times New Roman" w:hAnsi="Times New Roman"/>
          <w:sz w:val="24"/>
          <w:szCs w:val="24"/>
        </w:rPr>
        <w:t xml:space="preserve"> can contribute to our understanding of humor as an important dimension of Indigenous culture and mode of resistance. </w:t>
      </w:r>
      <w:proofErr w:type="spellStart"/>
      <w:r w:rsidRPr="008C073E">
        <w:rPr>
          <w:rStyle w:val="None"/>
          <w:rFonts w:ascii="Times New Roman" w:hAnsi="Times New Roman"/>
          <w:sz w:val="24"/>
          <w:szCs w:val="24"/>
        </w:rPr>
        <w:t>Beatte’s</w:t>
      </w:r>
      <w:proofErr w:type="spellEnd"/>
      <w:r w:rsidRPr="008C073E">
        <w:rPr>
          <w:rStyle w:val="None"/>
          <w:rFonts w:ascii="Times New Roman" w:hAnsi="Times New Roman"/>
          <w:sz w:val="24"/>
          <w:szCs w:val="24"/>
        </w:rPr>
        <w:t xml:space="preserve"> sarcastic contempt for the white rangers’ inexperience and </w:t>
      </w:r>
      <w:proofErr w:type="spellStart"/>
      <w:r w:rsidRPr="008C073E">
        <w:rPr>
          <w:rStyle w:val="None"/>
          <w:rFonts w:ascii="Times New Roman" w:hAnsi="Times New Roman"/>
          <w:sz w:val="24"/>
          <w:szCs w:val="24"/>
        </w:rPr>
        <w:t>inexpertise</w:t>
      </w:r>
      <w:proofErr w:type="spellEnd"/>
      <w:r w:rsidRPr="008C073E">
        <w:rPr>
          <w:rStyle w:val="None"/>
          <w:rFonts w:ascii="Times New Roman" w:hAnsi="Times New Roman"/>
          <w:sz w:val="24"/>
          <w:szCs w:val="24"/>
        </w:rPr>
        <w:t xml:space="preserve"> in hunting and survival, which Irving endorses [ironically], is a quiet condemnation of the entire notion of Manifest Destiny. Likewise, the humor of the Osages, which Irving records but perhaps does not fully understand, marks critical lacunae not only in the narrative of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 xml:space="preserve">but also in the national narrative Ellsworth and the “Irving Party” embody. The Osages’ reactions and responses to the Irving Party, often in the form of jokes at their expense, escape translation, stymying Irving’s authorial control over his own text. Given that </w:t>
      </w:r>
      <w:r w:rsidRPr="007C1487">
        <w:rPr>
          <w:rStyle w:val="None"/>
          <w:rFonts w:ascii="Times New Roman" w:hAnsi="Times New Roman"/>
          <w:i/>
          <w:iCs/>
          <w:sz w:val="24"/>
          <w:szCs w:val="24"/>
        </w:rPr>
        <w:t>A Tour on the Prairies</w:t>
      </w:r>
      <w:r w:rsidRPr="008C073E">
        <w:rPr>
          <w:rStyle w:val="None"/>
          <w:rFonts w:ascii="Times New Roman" w:hAnsi="Times New Roman"/>
          <w:sz w:val="24"/>
          <w:szCs w:val="24"/>
        </w:rPr>
        <w:t xml:space="preserve"> is partly a tacit, if uneven, endorsement of Removal, the Indigenous humor that interrupts Irving’s text voices a critique of Removal and of settler-colonialism. </w:t>
      </w:r>
    </w:p>
    <w:p w14:paraId="61D54124" w14:textId="60C5EB8B"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7C1487">
        <w:rPr>
          <w:rStyle w:val="None"/>
          <w:rFonts w:ascii="Times New Roman" w:hAnsi="Times New Roman"/>
          <w:i/>
          <w:iCs/>
          <w:sz w:val="24"/>
          <w:szCs w:val="24"/>
          <w:lang w:val="fr-FR"/>
        </w:rPr>
        <w:t>Tour</w:t>
      </w:r>
      <w:r w:rsidRPr="008C073E">
        <w:rPr>
          <w:rStyle w:val="None"/>
          <w:rFonts w:ascii="Times New Roman" w:hAnsi="Times New Roman"/>
          <w:sz w:val="24"/>
          <w:szCs w:val="24"/>
        </w:rPr>
        <w:t>’s competing themes–its simultaneously pro- and anti-nationalistic tones; its admiration for and ironic deflation of the American rangers, the agents of national expansion; and its ambivalently sympathetic portrayal of Indigenous peoples–can be partly understood as an effect of Irving’s choice to return to the mediatory lens of his Geoffrey Crayon persona.</w:t>
      </w:r>
      <w:r w:rsidRPr="008C073E">
        <w:rPr>
          <w:rStyle w:val="None"/>
          <w:rFonts w:ascii="Times New Roman" w:eastAsia="Times New Roman" w:hAnsi="Times New Roman" w:cs="Times New Roman"/>
          <w:sz w:val="24"/>
          <w:szCs w:val="24"/>
          <w:vertAlign w:val="superscript"/>
        </w:rPr>
        <w:footnoteReference w:id="15"/>
      </w:r>
      <w:r w:rsidRPr="008C073E">
        <w:rPr>
          <w:rStyle w:val="None"/>
          <w:rFonts w:ascii="Times New Roman" w:hAnsi="Times New Roman"/>
          <w:sz w:val="24"/>
          <w:szCs w:val="24"/>
        </w:rPr>
        <w:t xml:space="preserve"> </w:t>
      </w:r>
      <w:r w:rsidRPr="007C1487">
        <w:rPr>
          <w:rStyle w:val="None"/>
          <w:rFonts w:ascii="Times New Roman" w:hAnsi="Times New Roman"/>
          <w:i/>
          <w:iCs/>
          <w:sz w:val="24"/>
          <w:szCs w:val="24"/>
        </w:rPr>
        <w:t>A Tour on the Prairies</w:t>
      </w:r>
      <w:r w:rsidRPr="008C073E">
        <w:rPr>
          <w:rStyle w:val="None"/>
          <w:rFonts w:ascii="Times New Roman" w:hAnsi="Times New Roman"/>
          <w:sz w:val="24"/>
          <w:szCs w:val="24"/>
        </w:rPr>
        <w:t xml:space="preserve"> was issued as the first of a series </w:t>
      </w:r>
      <w:r w:rsidRPr="008C073E">
        <w:rPr>
          <w:rStyle w:val="None"/>
          <w:rFonts w:ascii="Times New Roman" w:hAnsi="Times New Roman"/>
          <w:sz w:val="24"/>
          <w:szCs w:val="24"/>
        </w:rPr>
        <w:lastRenderedPageBreak/>
        <w:t xml:space="preserve">Irving called </w:t>
      </w:r>
      <w:r w:rsidRPr="008C073E">
        <w:rPr>
          <w:rStyle w:val="None"/>
          <w:rFonts w:ascii="Times New Roman" w:hAnsi="Times New Roman"/>
          <w:sz w:val="24"/>
          <w:szCs w:val="24"/>
          <w:lang w:val="it-IT"/>
        </w:rPr>
        <w:t>The Crayon Miscellany</w:t>
      </w:r>
      <w:r w:rsidRPr="008C073E">
        <w:rPr>
          <w:rStyle w:val="None"/>
          <w:rFonts w:ascii="Times New Roman" w:hAnsi="Times New Roman"/>
          <w:sz w:val="24"/>
          <w:szCs w:val="24"/>
        </w:rPr>
        <w:t>, which allowed Irving to publish content from his Crayon notebooks that could not, by itself, exist as standalone volumes (Irving</w:t>
      </w:r>
      <w:r w:rsidR="007C1487">
        <w:rPr>
          <w:rStyle w:val="None"/>
          <w:rFonts w:ascii="Times New Roman" w:hAnsi="Times New Roman"/>
          <w:sz w:val="24"/>
          <w:szCs w:val="24"/>
        </w:rPr>
        <w:t>,</w:t>
      </w:r>
      <w:r w:rsidRPr="008C073E">
        <w:rPr>
          <w:rStyle w:val="None"/>
          <w:rFonts w:ascii="Times New Roman" w:hAnsi="Times New Roman"/>
          <w:sz w:val="24"/>
          <w:szCs w:val="24"/>
        </w:rPr>
        <w:t xml:space="preserve"> </w:t>
      </w:r>
      <w:r w:rsidRPr="007C1487">
        <w:rPr>
          <w:rStyle w:val="None"/>
          <w:rFonts w:ascii="Times New Roman" w:hAnsi="Times New Roman"/>
          <w:i/>
          <w:iCs/>
          <w:sz w:val="24"/>
          <w:szCs w:val="24"/>
          <w:lang w:val="fr-FR"/>
        </w:rPr>
        <w:t>Tour</w:t>
      </w:r>
      <w:r w:rsidRPr="008C073E">
        <w:rPr>
          <w:rStyle w:val="None"/>
          <w:rFonts w:ascii="Times New Roman" w:hAnsi="Times New Roman"/>
          <w:sz w:val="24"/>
          <w:szCs w:val="24"/>
        </w:rPr>
        <w:t xml:space="preserve"> xvii-xviii). Crayon’s persona, advertised in the title of the work, not only capitalized on the critical success of The Sketch Book and the other foregoing Crayon volumes but also signaled to readers that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would continue Crayon’s recognizable tone and style. From the perspective of an “alienated observer” of a foreign culture, Crayon furnished his readers with picturesque scenic descriptions and character sketches that achieved a balance of journalistic description and amiable, ironic detachment (Killick 46). Just as it had successfully crossed the barrier of postcolonial cultural hostility between Britain and the U.S., Crayon's style was well-suited to make the relatively raw “</w:t>
      </w:r>
      <w:r w:rsidRPr="008C073E">
        <w:rPr>
          <w:rStyle w:val="None"/>
          <w:rFonts w:ascii="Times New Roman" w:hAnsi="Times New Roman"/>
          <w:sz w:val="24"/>
          <w:szCs w:val="24"/>
          <w:lang w:val="it-IT"/>
        </w:rPr>
        <w:t>frontier</w:t>
      </w:r>
      <w:r w:rsidRPr="008C073E">
        <w:rPr>
          <w:rStyle w:val="None"/>
          <w:rFonts w:ascii="Times New Roman" w:hAnsi="Times New Roman"/>
          <w:sz w:val="24"/>
          <w:szCs w:val="24"/>
        </w:rPr>
        <w:t>” scenes and characters palatable for Eastern readers.</w:t>
      </w:r>
      <w:r w:rsidRPr="008C073E">
        <w:rPr>
          <w:rStyle w:val="None"/>
          <w:rFonts w:ascii="Times New Roman" w:eastAsia="Times New Roman" w:hAnsi="Times New Roman" w:cs="Times New Roman"/>
          <w:sz w:val="24"/>
          <w:szCs w:val="24"/>
          <w:vertAlign w:val="superscript"/>
        </w:rPr>
        <w:footnoteReference w:id="16"/>
      </w:r>
      <w:r w:rsidRPr="008C073E">
        <w:rPr>
          <w:rStyle w:val="None"/>
          <w:rFonts w:ascii="Times New Roman" w:hAnsi="Times New Roman"/>
          <w:sz w:val="24"/>
          <w:szCs w:val="24"/>
        </w:rPr>
        <w:t xml:space="preserve"> Through Crayon, Irving is able to hold his criticism of westward expansion in ironic suspension, granting him the plausible deniability of the foreign traveler. </w:t>
      </w:r>
    </w:p>
    <w:p w14:paraId="4D30FE4F"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Like The Sketch Book, </w:t>
      </w:r>
      <w:proofErr w:type="spellStart"/>
      <w:r w:rsidRPr="008C073E">
        <w:rPr>
          <w:rStyle w:val="None"/>
          <w:rFonts w:ascii="Times New Roman" w:hAnsi="Times New Roman"/>
          <w:sz w:val="24"/>
          <w:szCs w:val="24"/>
        </w:rPr>
        <w:t>Bracebridge</w:t>
      </w:r>
      <w:proofErr w:type="spellEnd"/>
      <w:r w:rsidRPr="008C073E">
        <w:rPr>
          <w:rStyle w:val="None"/>
          <w:rFonts w:ascii="Times New Roman" w:hAnsi="Times New Roman"/>
          <w:sz w:val="24"/>
          <w:szCs w:val="24"/>
        </w:rPr>
        <w:t xml:space="preserve"> Hall, and Tales of a Traveler, </w:t>
      </w:r>
      <w:r w:rsidRPr="007C1487">
        <w:rPr>
          <w:rStyle w:val="None"/>
          <w:rFonts w:ascii="Times New Roman" w:hAnsi="Times New Roman"/>
          <w:i/>
          <w:iCs/>
          <w:sz w:val="24"/>
          <w:szCs w:val="24"/>
        </w:rPr>
        <w:t>A Tour of the Prairies</w:t>
      </w:r>
      <w:r w:rsidRPr="008C073E">
        <w:rPr>
          <w:rStyle w:val="None"/>
          <w:rFonts w:ascii="Times New Roman" w:hAnsi="Times New Roman"/>
          <w:sz w:val="24"/>
          <w:szCs w:val="24"/>
        </w:rPr>
        <w:t xml:space="preserve"> is told as a quasi-travelogue consisting of a series of literary sketches. When they are funny, the sketches’ humor comes from the ironic deflation of Irving’s romanticized ideal of adventure on the frontier.  </w:t>
      </w:r>
      <w:r w:rsidRPr="008C073E">
        <w:rPr>
          <w:rStyle w:val="None"/>
          <w:rFonts w:ascii="Times New Roman" w:eastAsia="Times New Roman" w:hAnsi="Times New Roman" w:cs="Times New Roman"/>
          <w:sz w:val="24"/>
          <w:szCs w:val="24"/>
          <w:vertAlign w:val="superscript"/>
        </w:rPr>
        <w:footnoteReference w:id="17"/>
      </w:r>
      <w:r w:rsidRPr="008C073E">
        <w:rPr>
          <w:rStyle w:val="None"/>
          <w:rFonts w:ascii="Times New Roman" w:hAnsi="Times New Roman"/>
          <w:sz w:val="24"/>
          <w:szCs w:val="24"/>
        </w:rPr>
        <w:t xml:space="preserve"> For example, Irving romanticizes </w:t>
      </w:r>
      <w:r w:rsidRPr="008C073E">
        <w:rPr>
          <w:rStyle w:val="None"/>
          <w:rFonts w:ascii="Times New Roman" w:hAnsi="Times New Roman"/>
          <w:sz w:val="24"/>
          <w:szCs w:val="24"/>
        </w:rPr>
        <w:lastRenderedPageBreak/>
        <w:t>Tonish as a “Gil Blas on the frontier,” and invests him with many of the qualities that would come to be associated with the likes of Sut Lovingood and the other “ring-tailed roarers” who populate the stories of the Old Southwestern humorists.</w:t>
      </w:r>
      <w:r w:rsidRPr="008C073E">
        <w:rPr>
          <w:rStyle w:val="None"/>
          <w:rFonts w:ascii="Times New Roman" w:eastAsia="Times New Roman" w:hAnsi="Times New Roman" w:cs="Times New Roman"/>
          <w:sz w:val="24"/>
          <w:szCs w:val="24"/>
          <w:vertAlign w:val="superscript"/>
        </w:rPr>
        <w:footnoteReference w:id="18"/>
      </w:r>
      <w:r w:rsidRPr="008C073E">
        <w:rPr>
          <w:rStyle w:val="None"/>
          <w:rFonts w:ascii="Times New Roman" w:hAnsi="Times New Roman"/>
          <w:sz w:val="24"/>
          <w:szCs w:val="24"/>
        </w:rPr>
        <w:t xml:space="preserve"> Throughout the text, Tonish rants and raves, frequently leaving his place of watch over the party’s train of pack horses to join the rangers’ mad dash after game. Even when he comes back empty handed, he careens forth into a big-fish story of the time he single-handedly brought down the largest buck or fought the meanest Pawnee. In one instance, Irving relates an anecdote in which, while hunting, their group hears what they believe to be one of their hunters taking down a bear. When Irving and the men investigate, “to my infinite, though whimsical chagrin, I found it to be our two worthies </w:t>
      </w:r>
      <w:proofErr w:type="spellStart"/>
      <w:r w:rsidRPr="008C073E">
        <w:rPr>
          <w:rStyle w:val="None"/>
          <w:rFonts w:ascii="Times New Roman" w:hAnsi="Times New Roman"/>
          <w:sz w:val="24"/>
          <w:szCs w:val="24"/>
        </w:rPr>
        <w:t>Beatte</w:t>
      </w:r>
      <w:proofErr w:type="spellEnd"/>
      <w:r w:rsidRPr="008C073E">
        <w:rPr>
          <w:rStyle w:val="None"/>
          <w:rFonts w:ascii="Times New Roman" w:hAnsi="Times New Roman"/>
          <w:sz w:val="24"/>
          <w:szCs w:val="24"/>
        </w:rPr>
        <w:t xml:space="preserve"> and Tonish, perpetrating a foul murder on a pole cat, or skunk!”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 xml:space="preserve">39) Irving’s humor here cuts both ways as he stacks incongruities. Firstly, he deflates the great bear hunt, an </w:t>
      </w:r>
      <w:proofErr w:type="spellStart"/>
      <w:r w:rsidRPr="008C073E">
        <w:rPr>
          <w:rStyle w:val="None"/>
          <w:rFonts w:ascii="Times New Roman" w:hAnsi="Times New Roman"/>
          <w:sz w:val="24"/>
          <w:szCs w:val="24"/>
        </w:rPr>
        <w:t>ur</w:t>
      </w:r>
      <w:proofErr w:type="spellEnd"/>
      <w:r w:rsidRPr="008C073E">
        <w:rPr>
          <w:rStyle w:val="None"/>
          <w:rFonts w:ascii="Times New Roman" w:hAnsi="Times New Roman"/>
          <w:sz w:val="24"/>
          <w:szCs w:val="24"/>
        </w:rPr>
        <w:t xml:space="preserve">-myth in many cultures and a stock subject in American tall tales, by reducing the mighty bear to an ignominious polecat. Hunting becomes murder here and Tonish and </w:t>
      </w:r>
      <w:proofErr w:type="spellStart"/>
      <w:r w:rsidRPr="008C073E">
        <w:rPr>
          <w:rStyle w:val="None"/>
          <w:rFonts w:ascii="Times New Roman" w:hAnsi="Times New Roman"/>
          <w:sz w:val="24"/>
          <w:szCs w:val="24"/>
        </w:rPr>
        <w:t>Beatte</w:t>
      </w:r>
      <w:proofErr w:type="spellEnd"/>
      <w:r w:rsidRPr="008C073E">
        <w:rPr>
          <w:rStyle w:val="None"/>
          <w:rFonts w:ascii="Times New Roman" w:hAnsi="Times New Roman"/>
          <w:sz w:val="24"/>
          <w:szCs w:val="24"/>
        </w:rPr>
        <w:t xml:space="preserve">, Irving’s </w:t>
      </w:r>
      <w:r w:rsidRPr="008C073E">
        <w:rPr>
          <w:rStyle w:val="None"/>
          <w:rFonts w:ascii="Times New Roman" w:hAnsi="Times New Roman"/>
          <w:sz w:val="24"/>
          <w:szCs w:val="24"/>
        </w:rPr>
        <w:lastRenderedPageBreak/>
        <w:t>guide and hunter whom we shall discuss shortly, appear ridiculous next to the cadre of rangers who represent, at least in this instance, the nobility of the hunt as a test of one’s strength and masculinity. Their ridiculousness reflects upon Irving himself, who, with self-deprecating humor, grimacingly admonishes his two valets. Undeterred and “with his usual buoyancy,” Tonish “consoled himself by vociferous eulogies on the richness and delicacy of a roasted pole cat, which he swore was considered the daintiest of dishes by all experienced Indian gourmands”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 xml:space="preserve">39). </w:t>
      </w:r>
    </w:p>
    <w:p w14:paraId="6B98FCAE"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lang w:val="da-DK"/>
        </w:rPr>
        <w:t>Irving</w:t>
      </w:r>
      <w:r w:rsidRPr="008C073E">
        <w:rPr>
          <w:rStyle w:val="None"/>
          <w:rFonts w:ascii="Times New Roman" w:hAnsi="Times New Roman"/>
          <w:sz w:val="24"/>
          <w:szCs w:val="24"/>
        </w:rPr>
        <w:t xml:space="preserve">’s representation of Tonish resembles his sketches of the </w:t>
      </w:r>
      <w:proofErr w:type="spellStart"/>
      <w:r w:rsidRPr="008C073E">
        <w:rPr>
          <w:rStyle w:val="None"/>
          <w:rFonts w:ascii="Times New Roman" w:hAnsi="Times New Roman"/>
          <w:sz w:val="24"/>
          <w:szCs w:val="24"/>
        </w:rPr>
        <w:t>Bracebridges</w:t>
      </w:r>
      <w:proofErr w:type="spellEnd"/>
      <w:r w:rsidRPr="008C073E">
        <w:rPr>
          <w:rStyle w:val="None"/>
          <w:rFonts w:ascii="Times New Roman" w:hAnsi="Times New Roman"/>
          <w:sz w:val="24"/>
          <w:szCs w:val="24"/>
        </w:rPr>
        <w:t xml:space="preserve"> and other English “humorists,” who are remarkable for their “bigoted devotion to old English manners and customs” (8). In </w:t>
      </w:r>
      <w:proofErr w:type="spellStart"/>
      <w:r w:rsidRPr="008C073E">
        <w:rPr>
          <w:rStyle w:val="None"/>
          <w:rFonts w:ascii="Times New Roman" w:hAnsi="Times New Roman"/>
          <w:sz w:val="24"/>
          <w:szCs w:val="24"/>
        </w:rPr>
        <w:t>Bracebridge</w:t>
      </w:r>
      <w:proofErr w:type="spellEnd"/>
      <w:r w:rsidRPr="008C073E">
        <w:rPr>
          <w:rStyle w:val="None"/>
          <w:rFonts w:ascii="Times New Roman" w:hAnsi="Times New Roman"/>
          <w:sz w:val="24"/>
          <w:szCs w:val="24"/>
        </w:rPr>
        <w:t xml:space="preserve"> Hall, Irving writes that Squire </w:t>
      </w:r>
      <w:proofErr w:type="spellStart"/>
      <w:r w:rsidRPr="008C073E">
        <w:rPr>
          <w:rStyle w:val="None"/>
          <w:rFonts w:ascii="Times New Roman" w:hAnsi="Times New Roman"/>
          <w:sz w:val="24"/>
          <w:szCs w:val="24"/>
        </w:rPr>
        <w:t>Bracebridge</w:t>
      </w:r>
      <w:proofErr w:type="spellEnd"/>
      <w:r w:rsidRPr="008C073E">
        <w:rPr>
          <w:rStyle w:val="None"/>
          <w:rFonts w:ascii="Times New Roman" w:hAnsi="Times New Roman"/>
          <w:sz w:val="24"/>
          <w:szCs w:val="24"/>
        </w:rPr>
        <w:t>’</w:t>
      </w:r>
      <w:r w:rsidRPr="008C073E">
        <w:rPr>
          <w:rStyle w:val="None"/>
          <w:rFonts w:ascii="Times New Roman" w:hAnsi="Times New Roman"/>
          <w:sz w:val="24"/>
          <w:szCs w:val="24"/>
          <w:lang w:val="fr-FR"/>
        </w:rPr>
        <w:t>s humour</w:t>
      </w:r>
      <w:r w:rsidRPr="008C073E">
        <w:rPr>
          <w:rStyle w:val="None"/>
          <w:rFonts w:ascii="Times New Roman" w:hAnsi="Times New Roman"/>
          <w:sz w:val="24"/>
          <w:szCs w:val="24"/>
        </w:rPr>
        <w:t xml:space="preserve"> ‘jumps a little with my own…having as yet a lively and unsated curiosity about the ancient and genuine characteristics of my “fatherland”’ (8).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 xml:space="preserve">is motivated by a similar curiosity for “genuine characteristics” and Tonish becomes something like a case study of the characteristics of the true denizen of the prairie settlements. In anecdotes like the one above, Irving seems to align himself with the rangers’ more “civilized” values against </w:t>
      </w:r>
      <w:proofErr w:type="spellStart"/>
      <w:r w:rsidRPr="008C073E">
        <w:rPr>
          <w:rStyle w:val="None"/>
          <w:rFonts w:ascii="Times New Roman" w:hAnsi="Times New Roman"/>
          <w:sz w:val="24"/>
          <w:szCs w:val="24"/>
        </w:rPr>
        <w:t>Tonish’s</w:t>
      </w:r>
      <w:proofErr w:type="spellEnd"/>
      <w:r w:rsidRPr="008C073E">
        <w:rPr>
          <w:rStyle w:val="None"/>
          <w:rFonts w:ascii="Times New Roman" w:hAnsi="Times New Roman"/>
          <w:sz w:val="24"/>
          <w:szCs w:val="24"/>
        </w:rPr>
        <w:t xml:space="preserve"> rougher sensibilities. Doubtless, </w:t>
      </w:r>
      <w:proofErr w:type="spellStart"/>
      <w:r w:rsidRPr="008C073E">
        <w:rPr>
          <w:rStyle w:val="None"/>
          <w:rFonts w:ascii="Times New Roman" w:hAnsi="Times New Roman"/>
          <w:sz w:val="24"/>
          <w:szCs w:val="24"/>
        </w:rPr>
        <w:t>Tonish’s</w:t>
      </w:r>
      <w:proofErr w:type="spellEnd"/>
      <w:r w:rsidRPr="008C073E">
        <w:rPr>
          <w:rStyle w:val="None"/>
          <w:rFonts w:ascii="Times New Roman" w:hAnsi="Times New Roman"/>
          <w:sz w:val="24"/>
          <w:szCs w:val="24"/>
        </w:rPr>
        <w:t xml:space="preserve"> antics both amused Irving’s eastern readers and galvanized their sense of metropolitan superiority.</w:t>
      </w:r>
      <w:r w:rsidRPr="008C073E">
        <w:rPr>
          <w:rStyle w:val="None"/>
          <w:rFonts w:ascii="Times New Roman" w:eastAsia="Times New Roman" w:hAnsi="Times New Roman" w:cs="Times New Roman"/>
          <w:sz w:val="24"/>
          <w:szCs w:val="24"/>
          <w:vertAlign w:val="superscript"/>
        </w:rPr>
        <w:footnoteReference w:id="19"/>
      </w:r>
      <w:r w:rsidRPr="008C073E">
        <w:rPr>
          <w:rStyle w:val="None"/>
          <w:rFonts w:ascii="Times New Roman" w:hAnsi="Times New Roman"/>
          <w:sz w:val="24"/>
          <w:szCs w:val="24"/>
        </w:rPr>
        <w:t xml:space="preserve">  </w:t>
      </w:r>
    </w:p>
    <w:p w14:paraId="67229333" w14:textId="0C5E6F3B"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However, in other instances, the rangers come in for their share of mockery. In one chapter, “The Alarm Camp,” Irving demonstrates what Angela Calcaterra calls </w:t>
      </w:r>
      <w:r w:rsidRPr="007C1487">
        <w:rPr>
          <w:rStyle w:val="None"/>
          <w:rFonts w:ascii="Times New Roman" w:hAnsi="Times New Roman"/>
          <w:i/>
          <w:iCs/>
          <w:sz w:val="24"/>
          <w:szCs w:val="24"/>
        </w:rPr>
        <w:t>A Tour on the Prairie</w:t>
      </w:r>
      <w:r w:rsidR="007C1487">
        <w:rPr>
          <w:rStyle w:val="None"/>
          <w:rFonts w:ascii="Times New Roman" w:hAnsi="Times New Roman"/>
          <w:sz w:val="24"/>
          <w:szCs w:val="24"/>
        </w:rPr>
        <w:t>’s</w:t>
      </w:r>
      <w:r w:rsidRPr="008C073E">
        <w:rPr>
          <w:rStyle w:val="None"/>
          <w:rFonts w:ascii="Times New Roman" w:hAnsi="Times New Roman"/>
          <w:sz w:val="24"/>
          <w:szCs w:val="24"/>
        </w:rPr>
        <w:t xml:space="preserve"> “</w:t>
      </w:r>
      <w:r w:rsidRPr="008C073E">
        <w:rPr>
          <w:rStyle w:val="None"/>
          <w:rFonts w:ascii="Times New Roman" w:hAnsi="Times New Roman"/>
          <w:sz w:val="24"/>
          <w:szCs w:val="24"/>
          <w:lang w:val="it-IT"/>
        </w:rPr>
        <w:t>disorientation.</w:t>
      </w:r>
      <w:r w:rsidRPr="008C073E">
        <w:rPr>
          <w:rStyle w:val="None"/>
          <w:rFonts w:ascii="Times New Roman" w:hAnsi="Times New Roman"/>
          <w:sz w:val="24"/>
          <w:szCs w:val="24"/>
        </w:rPr>
        <w:t xml:space="preserve">” Reorienting her reading of Irving to the Osage and </w:t>
      </w:r>
      <w:r w:rsidRPr="008C073E">
        <w:rPr>
          <w:rStyle w:val="None"/>
          <w:rFonts w:ascii="Times New Roman" w:hAnsi="Times New Roman"/>
          <w:sz w:val="24"/>
          <w:szCs w:val="24"/>
        </w:rPr>
        <w:lastRenderedPageBreak/>
        <w:t xml:space="preserve">Pawnee storytelling aesthetic of the trail, </w:t>
      </w:r>
      <w:r w:rsidRPr="007C1487">
        <w:rPr>
          <w:rStyle w:val="None"/>
          <w:rFonts w:ascii="Times New Roman" w:hAnsi="Times New Roman"/>
          <w:i/>
          <w:iCs/>
          <w:sz w:val="24"/>
          <w:szCs w:val="24"/>
          <w:lang w:val="fr-FR"/>
        </w:rPr>
        <w:t>Tour</w:t>
      </w:r>
      <w:r w:rsidRPr="008C073E">
        <w:rPr>
          <w:rStyle w:val="None"/>
          <w:rFonts w:ascii="Times New Roman" w:hAnsi="Times New Roman"/>
          <w:sz w:val="24"/>
          <w:szCs w:val="24"/>
        </w:rPr>
        <w:t xml:space="preserve">, Calcaterra writes, “fails to go anywhere…for Irving can only go so far along the trails that are occluded by his lack of knowledge and his willingness only to go so far” (129). “Occlusion and disorientation characterize almost all of Irving’s party’s attempts to read and comprehend—to follow the trail of, so to speak— </w:t>
      </w:r>
      <w:proofErr w:type="spellStart"/>
      <w:r w:rsidRPr="008C073E">
        <w:rPr>
          <w:rStyle w:val="None"/>
          <w:rFonts w:ascii="Times New Roman" w:hAnsi="Times New Roman"/>
          <w:sz w:val="24"/>
          <w:szCs w:val="24"/>
          <w:lang w:val="fr-FR"/>
        </w:rPr>
        <w:t>Indigenous</w:t>
      </w:r>
      <w:proofErr w:type="spellEnd"/>
      <w:r w:rsidRPr="008C073E">
        <w:rPr>
          <w:rStyle w:val="None"/>
          <w:rFonts w:ascii="Times New Roman" w:hAnsi="Times New Roman"/>
          <w:sz w:val="24"/>
          <w:szCs w:val="24"/>
          <w:lang w:val="fr-FR"/>
        </w:rPr>
        <w:t xml:space="preserve"> practice</w:t>
      </w:r>
      <w:r w:rsidRPr="008C073E">
        <w:rPr>
          <w:rStyle w:val="None"/>
          <w:rFonts w:ascii="Times New Roman" w:hAnsi="Times New Roman"/>
          <w:sz w:val="24"/>
          <w:szCs w:val="24"/>
        </w:rPr>
        <w:t>” (130).</w:t>
      </w:r>
      <w:r w:rsidRPr="008C073E">
        <w:rPr>
          <w:rStyle w:val="None"/>
          <w:rFonts w:ascii="Times New Roman" w:hAnsi="Times New Roman"/>
        </w:rPr>
        <w:t xml:space="preserve"> </w:t>
      </w:r>
      <w:r w:rsidRPr="008C073E">
        <w:rPr>
          <w:rStyle w:val="None"/>
          <w:rFonts w:ascii="Times New Roman" w:hAnsi="Times New Roman"/>
          <w:sz w:val="24"/>
          <w:szCs w:val="24"/>
        </w:rPr>
        <w:t xml:space="preserve">The chapter begins with </w:t>
      </w:r>
      <w:proofErr w:type="spellStart"/>
      <w:r w:rsidRPr="008C073E">
        <w:rPr>
          <w:rStyle w:val="None"/>
          <w:rFonts w:ascii="Times New Roman" w:hAnsi="Times New Roman"/>
          <w:sz w:val="24"/>
          <w:szCs w:val="24"/>
        </w:rPr>
        <w:t>Tonish’s</w:t>
      </w:r>
      <w:proofErr w:type="spellEnd"/>
      <w:r w:rsidRPr="008C073E">
        <w:rPr>
          <w:rStyle w:val="None"/>
          <w:rFonts w:ascii="Times New Roman" w:hAnsi="Times New Roman"/>
          <w:sz w:val="24"/>
          <w:szCs w:val="24"/>
        </w:rPr>
        <w:t xml:space="preserve"> arrival to camp “all glorious from his hunting match, his white horse hung all round with buffalo meat” and “boasting” how he had single handedly “laid low two mighty bulls”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73). Irving reports that he and the other men automatically “deducted one half from his boastings,” but nevertheless grow uneasy when Tonish also reports signs of a “roving band of Pawnees” in the area. As anxiety spreads, the rangers also grow worried about the extended absence of Old Ryan, a “</w:t>
      </w:r>
      <w:r w:rsidRPr="008C073E">
        <w:rPr>
          <w:rStyle w:val="None"/>
          <w:rFonts w:ascii="Times New Roman" w:hAnsi="Times New Roman"/>
          <w:sz w:val="24"/>
          <w:szCs w:val="24"/>
          <w:lang w:val="de-DE"/>
        </w:rPr>
        <w:t>veteran hunter</w:t>
      </w:r>
      <w:r w:rsidRPr="008C073E">
        <w:rPr>
          <w:rStyle w:val="None"/>
          <w:rFonts w:ascii="Times New Roman" w:hAnsi="Times New Roman"/>
          <w:sz w:val="24"/>
          <w:szCs w:val="24"/>
        </w:rPr>
        <w:t xml:space="preserve">” in the mold of Cooper’s Leatherstocking, whom Irving romanticizes throughout. Amidst these fearful rumors, Irving reports </w:t>
      </w:r>
      <w:proofErr w:type="spellStart"/>
      <w:r w:rsidRPr="008C073E">
        <w:rPr>
          <w:rStyle w:val="None"/>
          <w:rFonts w:ascii="Times New Roman" w:hAnsi="Times New Roman"/>
          <w:sz w:val="24"/>
          <w:szCs w:val="24"/>
        </w:rPr>
        <w:t>Beatte</w:t>
      </w:r>
      <w:proofErr w:type="spellEnd"/>
      <w:r w:rsidRPr="008C073E">
        <w:rPr>
          <w:rStyle w:val="None"/>
          <w:rFonts w:ascii="Times New Roman" w:hAnsi="Times New Roman"/>
          <w:sz w:val="24"/>
          <w:szCs w:val="24"/>
        </w:rPr>
        <w:t xml:space="preserve"> as saying: “Dat old man [Ryan] will have his brains knocked out by de Pawnees yet…He </w:t>
      </w:r>
      <w:proofErr w:type="spellStart"/>
      <w:r w:rsidRPr="008C073E">
        <w:rPr>
          <w:rStyle w:val="None"/>
          <w:rFonts w:ascii="Times New Roman" w:hAnsi="Times New Roman"/>
          <w:sz w:val="24"/>
          <w:szCs w:val="24"/>
        </w:rPr>
        <w:t>tink</w:t>
      </w:r>
      <w:proofErr w:type="spellEnd"/>
      <w:r w:rsidRPr="008C073E">
        <w:rPr>
          <w:rStyle w:val="None"/>
          <w:rFonts w:ascii="Times New Roman" w:hAnsi="Times New Roman"/>
          <w:sz w:val="24"/>
          <w:szCs w:val="24"/>
        </w:rPr>
        <w:t xml:space="preserve"> he </w:t>
      </w:r>
      <w:proofErr w:type="gramStart"/>
      <w:r w:rsidRPr="008C073E">
        <w:rPr>
          <w:rStyle w:val="None"/>
          <w:rFonts w:ascii="Times New Roman" w:hAnsi="Times New Roman"/>
          <w:sz w:val="24"/>
          <w:szCs w:val="24"/>
        </w:rPr>
        <w:t>know</w:t>
      </w:r>
      <w:proofErr w:type="gramEnd"/>
      <w:r w:rsidRPr="008C073E">
        <w:rPr>
          <w:rStyle w:val="None"/>
          <w:rFonts w:ascii="Times New Roman" w:hAnsi="Times New Roman"/>
          <w:sz w:val="24"/>
          <w:szCs w:val="24"/>
        </w:rPr>
        <w:t xml:space="preserve"> every ting, but he don’t know Pawnees—any how” (73). Tonish’</w:t>
      </w:r>
      <w:r w:rsidRPr="008C073E">
        <w:rPr>
          <w:rStyle w:val="None"/>
          <w:rFonts w:ascii="Times New Roman" w:hAnsi="Times New Roman"/>
          <w:sz w:val="24"/>
          <w:szCs w:val="24"/>
          <w:lang w:val="it-IT"/>
        </w:rPr>
        <w:t>s braggadocio and Beatte</w:t>
      </w:r>
      <w:r w:rsidRPr="008C073E">
        <w:rPr>
          <w:rStyle w:val="None"/>
          <w:rFonts w:ascii="Times New Roman" w:hAnsi="Times New Roman"/>
          <w:sz w:val="24"/>
          <w:szCs w:val="24"/>
        </w:rPr>
        <w:t xml:space="preserve">’s contempt of Old Ryan’s purported expertise set the stage for the rest of the chapter, framing the chaos of “the alarm camp” as the result of American hubris. The remainder of the chapter is divided into a series of </w:t>
      </w:r>
      <w:proofErr w:type="spellStart"/>
      <w:r w:rsidRPr="008C073E">
        <w:rPr>
          <w:rStyle w:val="None"/>
          <w:rFonts w:ascii="Times New Roman" w:hAnsi="Times New Roman"/>
          <w:sz w:val="24"/>
          <w:szCs w:val="24"/>
        </w:rPr>
        <w:t>crescendoing</w:t>
      </w:r>
      <w:proofErr w:type="spellEnd"/>
      <w:r w:rsidRPr="008C073E">
        <w:rPr>
          <w:rStyle w:val="None"/>
          <w:rFonts w:ascii="Times New Roman" w:hAnsi="Times New Roman"/>
          <w:sz w:val="24"/>
          <w:szCs w:val="24"/>
        </w:rPr>
        <w:t xml:space="preserve"> crises. The first is a fire, caused by an errant flame from an unattended campfire. Irving shows the rangers racing around to protect their horses and powder stores, wryly noting that “mean time no one thought of quelling the fire, nor indeed know how to quell it,” </w:t>
      </w:r>
      <w:r w:rsidRPr="008C073E">
        <w:rPr>
          <w:rStyle w:val="None"/>
          <w:rFonts w:ascii="Times New Roman" w:hAnsi="Times New Roman"/>
          <w:sz w:val="24"/>
          <w:szCs w:val="24"/>
        </w:rPr>
        <w:lastRenderedPageBreak/>
        <w:t xml:space="preserve">except </w:t>
      </w:r>
      <w:proofErr w:type="spellStart"/>
      <w:r w:rsidRPr="008C073E">
        <w:rPr>
          <w:rStyle w:val="None"/>
          <w:rFonts w:ascii="Times New Roman" w:hAnsi="Times New Roman"/>
          <w:sz w:val="24"/>
          <w:szCs w:val="24"/>
        </w:rPr>
        <w:t>Beatte</w:t>
      </w:r>
      <w:proofErr w:type="spellEnd"/>
      <w:r w:rsidRPr="008C073E">
        <w:rPr>
          <w:rStyle w:val="None"/>
          <w:rFonts w:ascii="Times New Roman" w:hAnsi="Times New Roman"/>
          <w:sz w:val="24"/>
          <w:szCs w:val="24"/>
        </w:rPr>
        <w:t xml:space="preserve"> “and his comrades” who “attacked it in Indian mode, beating down the edges of the fire, with blankets and horse cloths” quickly putting out the fire (73-4). </w:t>
      </w:r>
    </w:p>
    <w:p w14:paraId="3475EC43"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More calamities follow closely on the heels of the fire. After </w:t>
      </w:r>
      <w:proofErr w:type="spellStart"/>
      <w:r w:rsidRPr="008C073E">
        <w:rPr>
          <w:rStyle w:val="None"/>
          <w:rFonts w:ascii="Times New Roman" w:hAnsi="Times New Roman"/>
          <w:sz w:val="24"/>
          <w:szCs w:val="24"/>
        </w:rPr>
        <w:t>Beatte</w:t>
      </w:r>
      <w:proofErr w:type="spellEnd"/>
      <w:r w:rsidRPr="008C073E">
        <w:rPr>
          <w:rStyle w:val="None"/>
          <w:rFonts w:ascii="Times New Roman" w:hAnsi="Times New Roman"/>
          <w:sz w:val="24"/>
          <w:szCs w:val="24"/>
        </w:rPr>
        <w:t xml:space="preserve"> smothers the fire with blankets, someone begins to shout to gather in the horses. Immediately a cacophony arises; no one can tell whether “the </w:t>
      </w:r>
      <w:proofErr w:type="gramStart"/>
      <w:r w:rsidRPr="008C073E">
        <w:rPr>
          <w:rStyle w:val="None"/>
          <w:rFonts w:ascii="Times New Roman" w:hAnsi="Times New Roman"/>
          <w:sz w:val="24"/>
          <w:szCs w:val="24"/>
        </w:rPr>
        <w:t>Captain</w:t>
      </w:r>
      <w:proofErr w:type="gramEnd"/>
      <w:r w:rsidRPr="008C073E">
        <w:rPr>
          <w:rStyle w:val="None"/>
          <w:rFonts w:ascii="Times New Roman" w:hAnsi="Times New Roman"/>
          <w:sz w:val="24"/>
          <w:szCs w:val="24"/>
        </w:rPr>
        <w:t xml:space="preserve"> has started buffaloes” and is calling a sudden hunt; or whether “the prairie is on fire beyond the hill,” requiring that they should take the horses to safety behind water; or, indeed, if the rumored Pawnees are ambushing the camp. Irving paints a scene of total </w:t>
      </w:r>
      <w:commentRangeStart w:id="10"/>
      <w:r w:rsidRPr="008C073E">
        <w:rPr>
          <w:rStyle w:val="None"/>
          <w:rFonts w:ascii="Times New Roman" w:hAnsi="Times New Roman"/>
          <w:sz w:val="24"/>
          <w:szCs w:val="24"/>
        </w:rPr>
        <w:t>chaos</w:t>
      </w:r>
      <w:commentRangeEnd w:id="10"/>
      <w:r w:rsidRPr="008C073E">
        <w:rPr>
          <w:rStyle w:val="CommentReference"/>
          <w:rFonts w:ascii="Times New Roman" w:eastAsia="PMingLiU" w:hAnsi="Times New Roman" w:cs="Times New Roman"/>
          <w:color w:val="auto"/>
          <w14:textOutline w14:w="0" w14:cap="rnd" w14:cmpd="sng" w14:algn="ctr">
            <w14:noFill/>
            <w14:prstDash w14:val="solid"/>
            <w14:bevel/>
          </w14:textOutline>
        </w:rPr>
        <w:commentReference w:id="10"/>
      </w:r>
      <w:r w:rsidRPr="008C073E">
        <w:rPr>
          <w:rStyle w:val="None"/>
          <w:rFonts w:ascii="Times New Roman" w:hAnsi="Times New Roman"/>
          <w:sz w:val="24"/>
          <w:szCs w:val="24"/>
        </w:rPr>
        <w:t xml:space="preserve">: </w:t>
      </w:r>
    </w:p>
    <w:p w14:paraId="2AF58CED" w14:textId="77777777" w:rsidR="00274B3F" w:rsidRPr="008C073E" w:rsidRDefault="00274B3F" w:rsidP="00274B3F">
      <w:pPr>
        <w:pStyle w:val="Body"/>
        <w:spacing w:line="360" w:lineRule="auto"/>
        <w:ind w:left="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During the late alarm of fire, the saddles, bridles, rifles, powder horns and other </w:t>
      </w:r>
      <w:proofErr w:type="spellStart"/>
      <w:r w:rsidRPr="008C073E">
        <w:rPr>
          <w:rStyle w:val="None"/>
          <w:rFonts w:ascii="Times New Roman" w:hAnsi="Times New Roman"/>
          <w:sz w:val="24"/>
          <w:szCs w:val="24"/>
        </w:rPr>
        <w:t>equipments</w:t>
      </w:r>
      <w:proofErr w:type="spellEnd"/>
      <w:r w:rsidRPr="008C073E">
        <w:rPr>
          <w:rStyle w:val="None"/>
          <w:rFonts w:ascii="Times New Roman" w:hAnsi="Times New Roman"/>
          <w:sz w:val="24"/>
          <w:szCs w:val="24"/>
        </w:rPr>
        <w:t xml:space="preserve"> had been snatched out of their places and thrown </w:t>
      </w:r>
      <w:proofErr w:type="spellStart"/>
      <w:r w:rsidRPr="008C073E">
        <w:rPr>
          <w:rStyle w:val="None"/>
          <w:rFonts w:ascii="Times New Roman" w:hAnsi="Times New Roman"/>
          <w:sz w:val="24"/>
          <w:szCs w:val="24"/>
        </w:rPr>
        <w:t>helter</w:t>
      </w:r>
      <w:proofErr w:type="spellEnd"/>
      <w:r w:rsidRPr="008C073E">
        <w:rPr>
          <w:rStyle w:val="None"/>
          <w:rFonts w:ascii="Times New Roman" w:hAnsi="Times New Roman"/>
          <w:sz w:val="24"/>
          <w:szCs w:val="24"/>
        </w:rPr>
        <w:t xml:space="preserve"> </w:t>
      </w:r>
      <w:proofErr w:type="spellStart"/>
      <w:r w:rsidRPr="008C073E">
        <w:rPr>
          <w:rStyle w:val="None"/>
          <w:rFonts w:ascii="Times New Roman" w:hAnsi="Times New Roman"/>
          <w:sz w:val="24"/>
          <w:szCs w:val="24"/>
        </w:rPr>
        <w:t>skelter</w:t>
      </w:r>
      <w:proofErr w:type="spellEnd"/>
      <w:r w:rsidRPr="008C073E">
        <w:rPr>
          <w:rStyle w:val="None"/>
          <w:rFonts w:ascii="Times New Roman" w:hAnsi="Times New Roman"/>
          <w:sz w:val="24"/>
          <w:szCs w:val="24"/>
        </w:rPr>
        <w:t xml:space="preserve"> among the trees.</w:t>
      </w:r>
    </w:p>
    <w:p w14:paraId="292C179F" w14:textId="77777777" w:rsidR="00274B3F" w:rsidRPr="008C073E" w:rsidRDefault="00274B3F" w:rsidP="00274B3F">
      <w:pPr>
        <w:pStyle w:val="Body"/>
        <w:spacing w:line="360" w:lineRule="auto"/>
        <w:ind w:left="720"/>
        <w:rPr>
          <w:rStyle w:val="None"/>
          <w:rFonts w:ascii="Times New Roman" w:eastAsia="Times New Roman" w:hAnsi="Times New Roman" w:cs="Times New Roman"/>
          <w:sz w:val="24"/>
          <w:szCs w:val="24"/>
        </w:rPr>
      </w:pPr>
      <w:r w:rsidRPr="008C073E">
        <w:rPr>
          <w:rStyle w:val="None"/>
          <w:rFonts w:ascii="Times New Roman" w:eastAsia="Times New Roman" w:hAnsi="Times New Roman" w:cs="Times New Roman"/>
          <w:sz w:val="24"/>
          <w:szCs w:val="24"/>
        </w:rPr>
        <w:tab/>
      </w:r>
      <w:r w:rsidRPr="008C073E">
        <w:rPr>
          <w:rStyle w:val="None"/>
          <w:rFonts w:ascii="Times New Roman" w:hAnsi="Times New Roman"/>
          <w:sz w:val="24"/>
          <w:szCs w:val="24"/>
        </w:rPr>
        <w:t xml:space="preserve">“Where is my saddle?” cried one. “Has </w:t>
      </w:r>
      <w:proofErr w:type="spellStart"/>
      <w:proofErr w:type="gramStart"/>
      <w:r w:rsidRPr="008C073E">
        <w:rPr>
          <w:rStyle w:val="None"/>
          <w:rFonts w:ascii="Times New Roman" w:hAnsi="Times New Roman"/>
          <w:sz w:val="24"/>
          <w:szCs w:val="24"/>
        </w:rPr>
        <w:t>any one</w:t>
      </w:r>
      <w:proofErr w:type="spellEnd"/>
      <w:proofErr w:type="gramEnd"/>
      <w:r w:rsidRPr="008C073E">
        <w:rPr>
          <w:rStyle w:val="None"/>
          <w:rFonts w:ascii="Times New Roman" w:hAnsi="Times New Roman"/>
          <w:sz w:val="24"/>
          <w:szCs w:val="24"/>
        </w:rPr>
        <w:t xml:space="preserve"> seen my rifle?” cried another.</w:t>
      </w:r>
    </w:p>
    <w:p w14:paraId="1B92F918" w14:textId="77777777" w:rsidR="00274B3F" w:rsidRPr="008C073E" w:rsidRDefault="00274B3F" w:rsidP="00274B3F">
      <w:pPr>
        <w:pStyle w:val="Body"/>
        <w:spacing w:line="360" w:lineRule="auto"/>
        <w:ind w:left="720"/>
        <w:rPr>
          <w:rStyle w:val="None"/>
          <w:rFonts w:ascii="Times New Roman" w:eastAsia="Times New Roman" w:hAnsi="Times New Roman" w:cs="Times New Roman"/>
          <w:sz w:val="24"/>
          <w:szCs w:val="24"/>
        </w:rPr>
      </w:pPr>
      <w:r w:rsidRPr="008C073E">
        <w:rPr>
          <w:rStyle w:val="None"/>
          <w:rFonts w:ascii="Times New Roman" w:eastAsia="Times New Roman" w:hAnsi="Times New Roman" w:cs="Times New Roman"/>
          <w:sz w:val="24"/>
          <w:szCs w:val="24"/>
        </w:rPr>
        <w:tab/>
      </w:r>
      <w:r w:rsidRPr="008C073E">
        <w:rPr>
          <w:rStyle w:val="None"/>
          <w:rFonts w:ascii="Times New Roman" w:hAnsi="Times New Roman"/>
          <w:sz w:val="24"/>
          <w:szCs w:val="24"/>
        </w:rPr>
        <w:t>“Who will lend me a ball?” cried a third who was loading his piece. “I have lost my bullet pouch.”</w:t>
      </w:r>
    </w:p>
    <w:p w14:paraId="706AC863" w14:textId="77777777" w:rsidR="00274B3F" w:rsidRPr="008C073E" w:rsidRDefault="00274B3F" w:rsidP="00274B3F">
      <w:pPr>
        <w:pStyle w:val="Body"/>
        <w:spacing w:line="360" w:lineRule="auto"/>
        <w:ind w:left="720"/>
        <w:rPr>
          <w:rStyle w:val="None"/>
          <w:rFonts w:ascii="Times New Roman" w:eastAsia="Times New Roman" w:hAnsi="Times New Roman" w:cs="Times New Roman"/>
          <w:sz w:val="24"/>
          <w:szCs w:val="24"/>
        </w:rPr>
      </w:pPr>
      <w:r w:rsidRPr="008C073E">
        <w:rPr>
          <w:rStyle w:val="None"/>
          <w:rFonts w:ascii="Times New Roman" w:eastAsia="Times New Roman" w:hAnsi="Times New Roman" w:cs="Times New Roman"/>
          <w:sz w:val="24"/>
          <w:szCs w:val="24"/>
        </w:rPr>
        <w:tab/>
      </w:r>
      <w:r w:rsidRPr="008C073E">
        <w:rPr>
          <w:rStyle w:val="None"/>
          <w:rFonts w:ascii="Times New Roman" w:hAnsi="Times New Roman"/>
          <w:sz w:val="24"/>
          <w:szCs w:val="24"/>
        </w:rPr>
        <w:t>“For God’s sake help me to girth this horse!” cried another, “he’s so restive I can do nothing with him!”—In his hurry and worry he had put on the saddle the hind part before! (74-5)</w:t>
      </w:r>
      <w:r w:rsidRPr="008C073E">
        <w:rPr>
          <w:rStyle w:val="None"/>
          <w:rFonts w:ascii="Times New Roman" w:eastAsia="Times New Roman" w:hAnsi="Times New Roman" w:cs="Times New Roman"/>
          <w:sz w:val="24"/>
          <w:szCs w:val="24"/>
          <w:vertAlign w:val="superscript"/>
        </w:rPr>
        <w:footnoteReference w:id="20"/>
      </w:r>
    </w:p>
    <w:p w14:paraId="4B96606C" w14:textId="77777777" w:rsidR="00274B3F" w:rsidRPr="008C073E" w:rsidRDefault="00274B3F" w:rsidP="00274B3F">
      <w:pPr>
        <w:pStyle w:val="Body"/>
        <w:spacing w:line="360" w:lineRule="auto"/>
        <w:ind w:left="720"/>
        <w:rPr>
          <w:rStyle w:val="None"/>
          <w:rFonts w:ascii="Times New Roman" w:eastAsia="Times New Roman" w:hAnsi="Times New Roman" w:cs="Times New Roman"/>
          <w:sz w:val="24"/>
          <w:szCs w:val="24"/>
        </w:rPr>
      </w:pPr>
    </w:p>
    <w:p w14:paraId="62FDDCC9" w14:textId="77777777" w:rsidR="00274B3F" w:rsidRPr="008C073E" w:rsidRDefault="00274B3F" w:rsidP="00274B3F">
      <w:pPr>
        <w:pStyle w:val="Body"/>
        <w:spacing w:line="480" w:lineRule="auto"/>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Irving grants himself the role of strangely disembodied observer, removed from the chaos. For Calcaterra, this is another instance of Irving’s disoriented aesthetic as “[h]is body becomes a site to express his inability to find familiarity in the scene” (133). That it </w:t>
      </w:r>
      <w:r w:rsidRPr="008C073E">
        <w:rPr>
          <w:rStyle w:val="None"/>
          <w:rFonts w:ascii="Times New Roman" w:hAnsi="Times New Roman"/>
          <w:sz w:val="24"/>
          <w:szCs w:val="24"/>
        </w:rPr>
        <w:lastRenderedPageBreak/>
        <w:t xml:space="preserve">is Irving’s aesthetic choice is further suggested by Ellsworth’s version of this event, where he remembers Irving “calling through the camp loud, and louder still, for his odd </w:t>
      </w:r>
      <w:proofErr w:type="spellStart"/>
      <w:r w:rsidRPr="008C073E">
        <w:rPr>
          <w:rStyle w:val="None"/>
          <w:rFonts w:ascii="Times New Roman" w:hAnsi="Times New Roman"/>
          <w:sz w:val="24"/>
          <w:szCs w:val="24"/>
        </w:rPr>
        <w:t>leggin</w:t>
      </w:r>
      <w:proofErr w:type="spellEnd"/>
      <w:r w:rsidRPr="008C073E">
        <w:rPr>
          <w:rStyle w:val="None"/>
          <w:rFonts w:ascii="Times New Roman" w:hAnsi="Times New Roman"/>
          <w:sz w:val="24"/>
          <w:szCs w:val="24"/>
        </w:rPr>
        <w:t xml:space="preserve">, of mighty little consequence in a battle–He was as pale as could be, and much terrified” (Williams 2: 42). As the men struggle to fortify themselves against the </w:t>
      </w:r>
      <w:proofErr w:type="gramStart"/>
      <w:r w:rsidRPr="008C073E">
        <w:rPr>
          <w:rStyle w:val="None"/>
          <w:rFonts w:ascii="Times New Roman" w:hAnsi="Times New Roman"/>
          <w:sz w:val="24"/>
          <w:szCs w:val="24"/>
        </w:rPr>
        <w:t>enemy</w:t>
      </w:r>
      <w:proofErr w:type="gramEnd"/>
      <w:r w:rsidRPr="008C073E">
        <w:rPr>
          <w:rStyle w:val="None"/>
          <w:rFonts w:ascii="Times New Roman" w:hAnsi="Times New Roman"/>
          <w:sz w:val="24"/>
          <w:szCs w:val="24"/>
        </w:rPr>
        <w:t xml:space="preserve"> they have convinced themselves will descend upon them at any moment, the Captain returns, unable to establish whether or not the Pawnee threat exists. Eventually, it is all discovered to have been miscommunication, when a small band of rangers who had gone out hunting buffalo alone returns to camp and are immediately interrogated by the camp:</w:t>
      </w:r>
    </w:p>
    <w:p w14:paraId="400BE4C9" w14:textId="77777777" w:rsidR="00274B3F" w:rsidRPr="008C073E" w:rsidRDefault="00274B3F" w:rsidP="00274B3F">
      <w:pPr>
        <w:pStyle w:val="Body"/>
        <w:spacing w:line="360" w:lineRule="auto"/>
        <w:ind w:left="720"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“Well, but the Pawnees–the Pawnees–where are the Pawnees?”</w:t>
      </w:r>
    </w:p>
    <w:p w14:paraId="2354BDBA" w14:textId="77777777" w:rsidR="00274B3F" w:rsidRPr="008C073E" w:rsidRDefault="00274B3F" w:rsidP="00274B3F">
      <w:pPr>
        <w:pStyle w:val="Body"/>
        <w:spacing w:line="360" w:lineRule="auto"/>
        <w:ind w:left="720"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“What Pawnees–</w:t>
      </w:r>
      <w:r w:rsidRPr="008C073E">
        <w:rPr>
          <w:rStyle w:val="None"/>
          <w:rFonts w:ascii="Times New Roman" w:hAnsi="Times New Roman"/>
          <w:sz w:val="24"/>
          <w:szCs w:val="24"/>
          <w:lang w:val="zh-TW" w:eastAsia="zh-TW"/>
        </w:rPr>
        <w:t>?</w:t>
      </w:r>
      <w:r w:rsidRPr="008C073E">
        <w:rPr>
          <w:rStyle w:val="None"/>
          <w:rFonts w:ascii="Times New Roman" w:hAnsi="Times New Roman"/>
          <w:sz w:val="24"/>
          <w:szCs w:val="24"/>
        </w:rPr>
        <w:t>”</w:t>
      </w:r>
    </w:p>
    <w:p w14:paraId="04FF3FB9" w14:textId="77777777" w:rsidR="00274B3F" w:rsidRPr="008C073E" w:rsidRDefault="00274B3F" w:rsidP="00274B3F">
      <w:pPr>
        <w:pStyle w:val="Body"/>
        <w:spacing w:line="360" w:lineRule="auto"/>
        <w:ind w:left="1440"/>
        <w:rPr>
          <w:rStyle w:val="None"/>
          <w:rFonts w:ascii="Times New Roman" w:eastAsia="Times New Roman" w:hAnsi="Times New Roman" w:cs="Times New Roman"/>
          <w:sz w:val="24"/>
          <w:szCs w:val="24"/>
        </w:rPr>
      </w:pPr>
      <w:r w:rsidRPr="008C073E">
        <w:rPr>
          <w:rStyle w:val="None"/>
          <w:rFonts w:ascii="Times New Roman" w:hAnsi="Times New Roman"/>
          <w:sz w:val="24"/>
          <w:szCs w:val="24"/>
        </w:rPr>
        <w:t>“The Pawnees that attacked you–</w:t>
      </w:r>
      <w:r w:rsidRPr="008C073E">
        <w:rPr>
          <w:rStyle w:val="None"/>
          <w:rFonts w:ascii="Times New Roman" w:hAnsi="Times New Roman"/>
          <w:sz w:val="24"/>
          <w:szCs w:val="24"/>
          <w:lang w:val="zh-TW" w:eastAsia="zh-TW"/>
        </w:rPr>
        <w:t>?</w:t>
      </w:r>
      <w:r w:rsidRPr="008C073E">
        <w:rPr>
          <w:rStyle w:val="None"/>
          <w:rFonts w:ascii="Times New Roman" w:hAnsi="Times New Roman"/>
          <w:sz w:val="24"/>
          <w:szCs w:val="24"/>
        </w:rPr>
        <w:t>”</w:t>
      </w:r>
    </w:p>
    <w:p w14:paraId="4F3C43B2" w14:textId="77777777" w:rsidR="00274B3F" w:rsidRPr="008C073E" w:rsidRDefault="00274B3F" w:rsidP="00274B3F">
      <w:pPr>
        <w:pStyle w:val="Body"/>
        <w:spacing w:line="360" w:lineRule="auto"/>
        <w:ind w:left="720"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“No one attacked us.”</w:t>
      </w:r>
    </w:p>
    <w:p w14:paraId="55FDD2F0" w14:textId="77777777" w:rsidR="00274B3F" w:rsidRPr="008C073E" w:rsidRDefault="00274B3F" w:rsidP="00274B3F">
      <w:pPr>
        <w:pStyle w:val="Body"/>
        <w:spacing w:line="360" w:lineRule="auto"/>
        <w:ind w:left="720"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“But have you seen no Indians on your way?”</w:t>
      </w:r>
    </w:p>
    <w:p w14:paraId="059221C6" w14:textId="77777777" w:rsidR="00274B3F" w:rsidRPr="008C073E" w:rsidRDefault="00274B3F" w:rsidP="00274B3F">
      <w:pPr>
        <w:pStyle w:val="Body"/>
        <w:spacing w:line="360" w:lineRule="auto"/>
        <w:ind w:left="720"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“Oh yes, two of us got to the top of a hill to look out for the </w:t>
      </w:r>
      <w:proofErr w:type="gramStart"/>
      <w:r w:rsidRPr="008C073E">
        <w:rPr>
          <w:rStyle w:val="None"/>
          <w:rFonts w:ascii="Times New Roman" w:hAnsi="Times New Roman"/>
          <w:sz w:val="24"/>
          <w:szCs w:val="24"/>
        </w:rPr>
        <w:t>camp, and</w:t>
      </w:r>
      <w:proofErr w:type="gramEnd"/>
      <w:r w:rsidRPr="008C073E">
        <w:rPr>
          <w:rStyle w:val="None"/>
          <w:rFonts w:ascii="Times New Roman" w:hAnsi="Times New Roman"/>
          <w:sz w:val="24"/>
          <w:szCs w:val="24"/>
        </w:rPr>
        <w:t xml:space="preserve"> saw a fellow on an opposite hill cutting queer antics, who seemed to be an Indian.”</w:t>
      </w:r>
    </w:p>
    <w:p w14:paraId="52266193" w14:textId="77777777" w:rsidR="00274B3F" w:rsidRDefault="00274B3F" w:rsidP="00274B3F">
      <w:pPr>
        <w:pStyle w:val="Body"/>
        <w:spacing w:line="360" w:lineRule="auto"/>
        <w:ind w:left="720"/>
        <w:rPr>
          <w:rStyle w:val="None"/>
          <w:rFonts w:ascii="Times New Roman" w:hAnsi="Times New Roman"/>
          <w:sz w:val="24"/>
          <w:szCs w:val="24"/>
        </w:rPr>
      </w:pPr>
      <w:r w:rsidRPr="008C073E">
        <w:rPr>
          <w:rStyle w:val="None"/>
          <w:rFonts w:ascii="Times New Roman" w:hAnsi="Times New Roman"/>
          <w:sz w:val="24"/>
          <w:szCs w:val="24"/>
        </w:rPr>
        <w:t>“Pshaw! That was I!” cried the captain.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77)</w:t>
      </w:r>
    </w:p>
    <w:p w14:paraId="5ABE6CFC"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This comic dialogue forms the punchline to the whole farce. Irving, who is clearly not above editing the truth to save face, chose to present his fellow travelers in such a ridiculous light. After all, he could have framed the events in such a way as to illustrate the heightened tension and perilousness of the white man on the Great Plains, constantly beset by forces of nature and fearsome Pawnees. Instead, he worries “that, in case of being attacked by such a number of these well mounted and warlike savages as were said to be at hand, we should be exposed to considerable risk from the inexperience and want </w:t>
      </w:r>
      <w:r w:rsidRPr="008C073E">
        <w:rPr>
          <w:rStyle w:val="None"/>
          <w:rFonts w:ascii="Times New Roman" w:hAnsi="Times New Roman"/>
          <w:sz w:val="24"/>
          <w:szCs w:val="24"/>
        </w:rPr>
        <w:lastRenderedPageBreak/>
        <w:t xml:space="preserve">of discipline of our newly raised rangers, and from the very courage of many of the younger ones, who seemed bent on adventure and exploit” (75). </w:t>
      </w:r>
    </w:p>
    <w:p w14:paraId="5667E79F"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 In this episode, the drift of Irving’s humor is to scrutinize the inadequacy of the military arm of the state and to implicitly question the fitness of the United States for expansion into the west. Irving, whose writing after History of New York mostly avoided political criticism, never bluntly denounced colonialism or imperialism, at home or abroad. He shared with the transatlantic literati, especially those in the urban Northeast, an armchair radical’s sympathy for the plight for America’s Indigenous peoples but, like them, was prepared to consign Native peoples to history, as he did in the final lines of “Traits of Indian Character”: “They will vanish like a vapour from the face of the earth—their very history will be lost in forgetfulness—and ‘the places that now know them will know them no more forever.”’ His caricature of the rangers in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thus </w:t>
      </w:r>
      <w:r w:rsidRPr="008C073E">
        <w:rPr>
          <w:rStyle w:val="None"/>
          <w:rFonts w:ascii="Times New Roman" w:hAnsi="Times New Roman"/>
          <w:sz w:val="24"/>
          <w:szCs w:val="24"/>
        </w:rPr>
        <w:t xml:space="preserve">does not necessarily recognize contemporary Native agency, but attempts to reduce Native peoples to an ahistorical, static foil against which the ineptitude of the Americans can be seen more clearly.  </w:t>
      </w:r>
    </w:p>
    <w:p w14:paraId="6B2DA410"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eastAsia="Times New Roman" w:hAnsi="Times New Roman" w:cs="Times New Roman"/>
          <w:sz w:val="24"/>
          <w:szCs w:val="24"/>
          <w:lang w:val="da-DK"/>
        </w:rPr>
        <w:t xml:space="preserve">Despite these attempts at reduction, certain moments of Osage humor survive in the text of </w:t>
      </w:r>
      <w:r w:rsidRPr="007C1487">
        <w:rPr>
          <w:rStyle w:val="None"/>
          <w:rFonts w:ascii="Times New Roman" w:eastAsia="Times New Roman" w:hAnsi="Times New Roman" w:cs="Times New Roman"/>
          <w:i/>
          <w:iCs/>
          <w:sz w:val="24"/>
          <w:szCs w:val="24"/>
          <w:lang w:val="da-DK"/>
        </w:rPr>
        <w:t>Tour</w:t>
      </w:r>
      <w:r w:rsidRPr="008C073E">
        <w:rPr>
          <w:rStyle w:val="None"/>
          <w:rFonts w:ascii="Times New Roman" w:eastAsia="Times New Roman" w:hAnsi="Times New Roman" w:cs="Times New Roman"/>
          <w:sz w:val="24"/>
          <w:szCs w:val="24"/>
          <w:lang w:val="da-DK"/>
        </w:rPr>
        <w:t xml:space="preserve"> that make Irving and the Americans the butt of the Natives’ jokes.  </w:t>
      </w:r>
      <w:r w:rsidRPr="008C073E">
        <w:rPr>
          <w:rStyle w:val="None"/>
          <w:rFonts w:ascii="Times New Roman" w:hAnsi="Times New Roman"/>
          <w:sz w:val="24"/>
          <w:szCs w:val="24"/>
        </w:rPr>
        <w:t xml:space="preserve">Many </w:t>
      </w:r>
      <w:proofErr w:type="gramStart"/>
      <w:r w:rsidRPr="008C073E">
        <w:rPr>
          <w:rStyle w:val="None"/>
          <w:rFonts w:ascii="Times New Roman" w:hAnsi="Times New Roman"/>
          <w:sz w:val="24"/>
          <w:szCs w:val="24"/>
        </w:rPr>
        <w:t>times</w:t>
      </w:r>
      <w:proofErr w:type="gramEnd"/>
      <w:r w:rsidRPr="008C073E">
        <w:rPr>
          <w:rStyle w:val="None"/>
          <w:rFonts w:ascii="Times New Roman" w:hAnsi="Times New Roman"/>
          <w:sz w:val="24"/>
          <w:szCs w:val="24"/>
        </w:rPr>
        <w:t xml:space="preserve"> throughout his text, Irving records Indigenous individuals’ humorous responses to the party’s endeavors, each time with the apparent aim of highlighting again the absurdity and ignorance of the whites’ cultural chauvinism and their “inability to familiarize” in Native space (Calcaterra 131).  As we have seen, Irving often positioned the half-Osage </w:t>
      </w:r>
      <w:proofErr w:type="spellStart"/>
      <w:r w:rsidRPr="008C073E">
        <w:rPr>
          <w:rStyle w:val="None"/>
          <w:rFonts w:ascii="Times New Roman" w:hAnsi="Times New Roman"/>
          <w:sz w:val="24"/>
          <w:szCs w:val="24"/>
        </w:rPr>
        <w:lastRenderedPageBreak/>
        <w:t>Beatte</w:t>
      </w:r>
      <w:proofErr w:type="spellEnd"/>
      <w:r w:rsidRPr="008C073E">
        <w:rPr>
          <w:rStyle w:val="None"/>
          <w:rFonts w:ascii="Times New Roman" w:hAnsi="Times New Roman"/>
          <w:sz w:val="24"/>
          <w:szCs w:val="24"/>
        </w:rPr>
        <w:t xml:space="preserve"> as a foil to the rangers, playing up </w:t>
      </w:r>
      <w:proofErr w:type="spellStart"/>
      <w:r w:rsidRPr="008C073E">
        <w:rPr>
          <w:rStyle w:val="None"/>
          <w:rFonts w:ascii="Times New Roman" w:hAnsi="Times New Roman"/>
          <w:sz w:val="24"/>
          <w:szCs w:val="24"/>
        </w:rPr>
        <w:t>Beatte’s</w:t>
      </w:r>
      <w:proofErr w:type="spellEnd"/>
      <w:r w:rsidRPr="008C073E">
        <w:rPr>
          <w:rStyle w:val="None"/>
          <w:rFonts w:ascii="Times New Roman" w:hAnsi="Times New Roman"/>
          <w:sz w:val="24"/>
          <w:szCs w:val="24"/>
        </w:rPr>
        <w:t xml:space="preserve"> “sovereign contempt for the inexperience of the young rangers in all that he considered true knowledge”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 xml:space="preserve">54). As the party’s interpreter, </w:t>
      </w:r>
      <w:proofErr w:type="spellStart"/>
      <w:r w:rsidRPr="008C073E">
        <w:rPr>
          <w:rStyle w:val="None"/>
          <w:rFonts w:ascii="Times New Roman" w:hAnsi="Times New Roman"/>
          <w:sz w:val="24"/>
          <w:szCs w:val="24"/>
        </w:rPr>
        <w:t>Beatte</w:t>
      </w:r>
      <w:proofErr w:type="spellEnd"/>
      <w:r w:rsidRPr="008C073E">
        <w:rPr>
          <w:rStyle w:val="None"/>
          <w:rFonts w:ascii="Times New Roman" w:hAnsi="Times New Roman"/>
          <w:sz w:val="24"/>
          <w:szCs w:val="24"/>
        </w:rPr>
        <w:t xml:space="preserve"> also occasionally provided Irving access to nuggets of “real” Indigenous humor that the writer included in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for their realism and anthropological flavor, as well as for their wittiness. In one instance, Irving encounters an Osage “</w:t>
      </w:r>
      <w:r w:rsidRPr="008C073E">
        <w:rPr>
          <w:rStyle w:val="None"/>
          <w:rFonts w:ascii="Times New Roman" w:hAnsi="Times New Roman"/>
          <w:sz w:val="24"/>
          <w:szCs w:val="24"/>
          <w:lang w:val="de-DE"/>
        </w:rPr>
        <w:t>war party</w:t>
      </w:r>
      <w:r w:rsidRPr="008C073E">
        <w:rPr>
          <w:rStyle w:val="None"/>
          <w:rFonts w:ascii="Times New Roman" w:hAnsi="Times New Roman"/>
          <w:sz w:val="24"/>
          <w:szCs w:val="24"/>
        </w:rPr>
        <w:t xml:space="preserve">” on their way home from hunting who had broken from the main group “to waylay and hover about some Pawnee camp, in hopes of carrying off scalps or horses” (87). Through </w:t>
      </w:r>
      <w:proofErr w:type="spellStart"/>
      <w:r w:rsidRPr="008C073E">
        <w:rPr>
          <w:rStyle w:val="None"/>
          <w:rFonts w:ascii="Times New Roman" w:hAnsi="Times New Roman"/>
          <w:sz w:val="24"/>
          <w:szCs w:val="24"/>
        </w:rPr>
        <w:t>Beatte</w:t>
      </w:r>
      <w:proofErr w:type="spellEnd"/>
      <w:r w:rsidRPr="008C073E">
        <w:rPr>
          <w:rStyle w:val="None"/>
          <w:rFonts w:ascii="Times New Roman" w:hAnsi="Times New Roman"/>
          <w:sz w:val="24"/>
          <w:szCs w:val="24"/>
        </w:rPr>
        <w:t>, Ellsworth—whom Irving ironically here styles as “</w:t>
      </w:r>
      <w:r w:rsidRPr="008C073E">
        <w:rPr>
          <w:rStyle w:val="None"/>
          <w:rFonts w:ascii="Times New Roman" w:hAnsi="Times New Roman"/>
          <w:sz w:val="24"/>
          <w:szCs w:val="24"/>
          <w:lang w:val="it-IT"/>
        </w:rPr>
        <w:t>Pacificator</w:t>
      </w:r>
      <w:r w:rsidRPr="008C073E">
        <w:rPr>
          <w:rStyle w:val="None"/>
          <w:rFonts w:ascii="Times New Roman" w:hAnsi="Times New Roman"/>
          <w:sz w:val="24"/>
          <w:szCs w:val="24"/>
        </w:rPr>
        <w:t xml:space="preserve">”—“made a speech exhorting [the Osage] to abstain from all offensive acts against the Pawnee; informing them of the plan of their Father at Washington to put an end to all war among his Red children” (88). In reporting this exchange, Ellsworth asserts the Osages readily acceded to his message (Ellsworth 114). However, Irving writes that, according to </w:t>
      </w:r>
      <w:proofErr w:type="spellStart"/>
      <w:r w:rsidRPr="008C073E">
        <w:rPr>
          <w:rStyle w:val="None"/>
          <w:rFonts w:ascii="Times New Roman" w:hAnsi="Times New Roman"/>
          <w:sz w:val="24"/>
          <w:szCs w:val="24"/>
        </w:rPr>
        <w:t>Beatte</w:t>
      </w:r>
      <w:proofErr w:type="spellEnd"/>
      <w:r w:rsidRPr="008C073E">
        <w:rPr>
          <w:rStyle w:val="None"/>
          <w:rFonts w:ascii="Times New Roman" w:hAnsi="Times New Roman"/>
          <w:sz w:val="24"/>
          <w:szCs w:val="24"/>
        </w:rPr>
        <w:t xml:space="preserve">, “the [Osage] leader…had observed to his companions, that, as their great Father intended so soon to put an end to all warfare, it behooved them to make the most of the little time that was left them. </w:t>
      </w:r>
      <w:proofErr w:type="gramStart"/>
      <w:r w:rsidRPr="008C073E">
        <w:rPr>
          <w:rStyle w:val="None"/>
          <w:rFonts w:ascii="Times New Roman" w:hAnsi="Times New Roman"/>
          <w:sz w:val="24"/>
          <w:szCs w:val="24"/>
        </w:rPr>
        <w:t>So</w:t>
      </w:r>
      <w:proofErr w:type="gramEnd"/>
      <w:r w:rsidRPr="008C073E">
        <w:rPr>
          <w:rStyle w:val="None"/>
          <w:rFonts w:ascii="Times New Roman" w:hAnsi="Times New Roman"/>
          <w:sz w:val="24"/>
          <w:szCs w:val="24"/>
        </w:rPr>
        <w:t xml:space="preserve"> they had departed with redoubled zeal to pursue their project of horse stealing!”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 xml:space="preserve">88). Whether the Osages actually said this or not (Ellsworth claims that “Mr. Irving has added a little here to make a good story”) the effect of this joke is to cast doubt on the efficacy of Ellsworth’s mediatory role and, by extension, the policy of Removal in general. In History of the Osage People (2004), Louis F. Burns explains that Osage warring against invasive settlers from other Indigenous nations was one reason that Indigenous people [tribes?] east of the </w:t>
      </w:r>
      <w:r w:rsidRPr="008C073E">
        <w:rPr>
          <w:rStyle w:val="None"/>
          <w:rFonts w:ascii="Times New Roman" w:hAnsi="Times New Roman"/>
          <w:sz w:val="24"/>
          <w:szCs w:val="24"/>
        </w:rPr>
        <w:lastRenderedPageBreak/>
        <w:t>Mississippi were unwilling to resettle in the west under the Jeffersonian policy of voluntary removal (134-5). Hence the efforts, beginning under Jefferson, to mediate intertribal hostility and promote peace between western Indigenous nations, particularly among the Osage and the Lakota (</w:t>
      </w:r>
      <w:proofErr w:type="gramStart"/>
      <w:r w:rsidRPr="008C073E">
        <w:rPr>
          <w:rStyle w:val="None"/>
          <w:rFonts w:ascii="Times New Roman" w:hAnsi="Times New Roman"/>
          <w:sz w:val="24"/>
          <w:szCs w:val="24"/>
        </w:rPr>
        <w:t>whom</w:t>
      </w:r>
      <w:proofErr w:type="gramEnd"/>
      <w:r w:rsidRPr="008C073E">
        <w:rPr>
          <w:rStyle w:val="None"/>
          <w:rFonts w:ascii="Times New Roman" w:hAnsi="Times New Roman"/>
          <w:sz w:val="24"/>
          <w:szCs w:val="24"/>
        </w:rPr>
        <w:t xml:space="preserve"> Burns calls “the Sioux”), whom Jefferson considered the most powerful western nations (140-46). If the success of Removal depended on the establishment of firm borders and harmonious cohabitation between the various Indigenous nations of the west and within what the U.S. government now designated “Indian Territory,” then the Osage’s sarcastic response to Ellsworth’s entreaty suggests the ineptitude of that mission. Irving may have included the joke in his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 xml:space="preserve">simply for the sake of a good story. Indeed, he may have made it up entirely. Either way, the anecdote casts a </w:t>
      </w:r>
      <w:proofErr w:type="spellStart"/>
      <w:r w:rsidRPr="008C073E">
        <w:rPr>
          <w:rStyle w:val="None"/>
          <w:rFonts w:ascii="Times New Roman" w:hAnsi="Times New Roman"/>
          <w:sz w:val="24"/>
          <w:szCs w:val="24"/>
        </w:rPr>
        <w:t>wry</w:t>
      </w:r>
      <w:proofErr w:type="spellEnd"/>
      <w:r w:rsidRPr="008C073E">
        <w:rPr>
          <w:rStyle w:val="None"/>
          <w:rFonts w:ascii="Times New Roman" w:hAnsi="Times New Roman"/>
          <w:sz w:val="24"/>
          <w:szCs w:val="24"/>
        </w:rPr>
        <w:t xml:space="preserve"> eye on Ellsworth and the settler-colonial interests he represents. </w:t>
      </w:r>
    </w:p>
    <w:p w14:paraId="50FBE9D4"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A similar, more involved episode occurs when Ellsworth appeals to the residents of an Osage town to cease their warring against the Pawnees. Irving notes that the young men of the village having recently left to hunt and that Ellsworth’s audience consisted of “a number of old men…while the women and children huddled together in groups, staring at us wildly, chattering and laughing among themselves” (</w:t>
      </w:r>
      <w:r w:rsidRPr="007C1487">
        <w:rPr>
          <w:rStyle w:val="None"/>
          <w:rFonts w:ascii="Times New Roman" w:hAnsi="Times New Roman"/>
          <w:i/>
          <w:iCs/>
          <w:sz w:val="24"/>
          <w:szCs w:val="24"/>
          <w:lang w:val="nl-NL"/>
        </w:rPr>
        <w:t>Tour</w:t>
      </w:r>
      <w:r w:rsidRPr="008C073E">
        <w:rPr>
          <w:rStyle w:val="None"/>
          <w:rFonts w:ascii="Times New Roman" w:hAnsi="Times New Roman"/>
          <w:sz w:val="24"/>
          <w:szCs w:val="24"/>
          <w:lang w:val="nl-NL"/>
        </w:rPr>
        <w:t xml:space="preserve"> </w:t>
      </w:r>
      <w:r w:rsidRPr="008C073E">
        <w:rPr>
          <w:rStyle w:val="None"/>
          <w:rFonts w:ascii="Times New Roman" w:hAnsi="Times New Roman"/>
          <w:sz w:val="24"/>
          <w:szCs w:val="24"/>
        </w:rPr>
        <w:t xml:space="preserve">25). The passage reveals the limits of Irving’s romantic sympathies; even his view, so attentive to humanity and the particularities of character, was blinkered by animalizing  stereotypes about Indigenous people. His misconceptions about the Osages provide the punchline of the joke in this scene: </w:t>
      </w:r>
    </w:p>
    <w:p w14:paraId="6B465922" w14:textId="77777777" w:rsidR="00274B3F" w:rsidRPr="008C073E" w:rsidRDefault="00274B3F" w:rsidP="00274B3F">
      <w:pPr>
        <w:pStyle w:val="Body"/>
        <w:spacing w:line="480" w:lineRule="auto"/>
        <w:ind w:left="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lastRenderedPageBreak/>
        <w:t xml:space="preserve">Here the Commissioner made a speech from horseback; informing his hearers of the purport of his mission to promote a general peace among the tribes of the </w:t>
      </w:r>
      <w:proofErr w:type="gramStart"/>
      <w:r w:rsidRPr="008C073E">
        <w:rPr>
          <w:rStyle w:val="None"/>
          <w:rFonts w:ascii="Times New Roman" w:hAnsi="Times New Roman"/>
          <w:sz w:val="24"/>
          <w:szCs w:val="24"/>
        </w:rPr>
        <w:t>West, and</w:t>
      </w:r>
      <w:proofErr w:type="gramEnd"/>
      <w:r w:rsidRPr="008C073E">
        <w:rPr>
          <w:rStyle w:val="None"/>
          <w:rFonts w:ascii="Times New Roman" w:hAnsi="Times New Roman"/>
          <w:sz w:val="24"/>
          <w:szCs w:val="24"/>
        </w:rPr>
        <w:t xml:space="preserve"> urging them to lay aside all warlike and bloodthirsty notions and not to make any wanton attacks upon the Pawnees. This speech being interpreted by </w:t>
      </w:r>
      <w:proofErr w:type="spellStart"/>
      <w:r w:rsidRPr="008C073E">
        <w:rPr>
          <w:rStyle w:val="None"/>
          <w:rFonts w:ascii="Times New Roman" w:hAnsi="Times New Roman"/>
          <w:sz w:val="24"/>
          <w:szCs w:val="24"/>
        </w:rPr>
        <w:t>Beatte</w:t>
      </w:r>
      <w:proofErr w:type="spellEnd"/>
      <w:r w:rsidRPr="008C073E">
        <w:rPr>
          <w:rStyle w:val="None"/>
          <w:rFonts w:ascii="Times New Roman" w:hAnsi="Times New Roman"/>
          <w:sz w:val="24"/>
          <w:szCs w:val="24"/>
        </w:rPr>
        <w:t xml:space="preserve">, seemed to have a most pacifying effect upon the multitude who promised faithfully that as far as in them lay, the peace should not be disturbed; and </w:t>
      </w:r>
      <w:proofErr w:type="gramStart"/>
      <w:r w:rsidRPr="008C073E">
        <w:rPr>
          <w:rStyle w:val="None"/>
          <w:rFonts w:ascii="Times New Roman" w:hAnsi="Times New Roman"/>
          <w:sz w:val="24"/>
          <w:szCs w:val="24"/>
        </w:rPr>
        <w:t>indeed</w:t>
      </w:r>
      <w:proofErr w:type="gramEnd"/>
      <w:r w:rsidRPr="008C073E">
        <w:rPr>
          <w:rStyle w:val="None"/>
          <w:rFonts w:ascii="Times New Roman" w:hAnsi="Times New Roman"/>
          <w:sz w:val="24"/>
          <w:szCs w:val="24"/>
        </w:rPr>
        <w:t xml:space="preserve"> their age and sex gave some reason to hope that they would keep their word. (25-6, emphasis mine)</w:t>
      </w:r>
    </w:p>
    <w:p w14:paraId="04D65581" w14:textId="77777777" w:rsidR="00274B3F" w:rsidRPr="008C073E" w:rsidRDefault="00274B3F" w:rsidP="00274B3F">
      <w:pPr>
        <w:pStyle w:val="Body"/>
        <w:spacing w:line="480" w:lineRule="auto"/>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For Irving, the joke is that Ellsworth has mistaken his audience by exhorting the old men, women, and children to keep the peace when that is obviously the purview of the young, male warriors of the village. Read this way, this scene further participates in </w:t>
      </w:r>
      <w:r w:rsidRPr="007C1487">
        <w:rPr>
          <w:rStyle w:val="None"/>
          <w:rFonts w:ascii="Times New Roman" w:hAnsi="Times New Roman"/>
          <w:i/>
          <w:iCs/>
          <w:sz w:val="24"/>
          <w:szCs w:val="24"/>
          <w:lang w:val="fr-FR"/>
        </w:rPr>
        <w:t>Tour</w:t>
      </w:r>
      <w:r w:rsidRPr="008C073E">
        <w:rPr>
          <w:rStyle w:val="None"/>
          <w:rFonts w:ascii="Times New Roman" w:hAnsi="Times New Roman"/>
          <w:sz w:val="24"/>
          <w:szCs w:val="24"/>
        </w:rPr>
        <w:t xml:space="preserve">’s agenda of ridiculing the Indian Commission’s misguided mission to pacify the Osages. However, in setting up this joke, Irving misconstrues the complex organization of Osage gender and ritualistic roles, interpreting them through the Euro-American lens of patriarchal gender binary and hierarchy. </w:t>
      </w:r>
    </w:p>
    <w:p w14:paraId="2D9AFBEC"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Read through the lens of Osage culture, the scene takes on different valences and, the joke is on the members of the Irving Party. Firstly, the place that Irving characterized as a “</w:t>
      </w:r>
      <w:r w:rsidRPr="008C073E">
        <w:rPr>
          <w:rStyle w:val="None"/>
          <w:rFonts w:ascii="Times New Roman" w:hAnsi="Times New Roman"/>
          <w:sz w:val="24"/>
          <w:szCs w:val="24"/>
          <w:lang w:val="it-IT"/>
        </w:rPr>
        <w:t>straggling Osage village</w:t>
      </w:r>
      <w:r w:rsidRPr="008C073E">
        <w:rPr>
          <w:rStyle w:val="None"/>
          <w:rFonts w:ascii="Times New Roman" w:hAnsi="Times New Roman"/>
          <w:sz w:val="24"/>
          <w:szCs w:val="24"/>
        </w:rPr>
        <w:t xml:space="preserve">” is a hunting camp. Ellsworth’s mission into Osage territory happened to coincide with the fall buffalo hunt. Like many other Indigenous nations, the Osage observed alternating hunting and planting seasons. Crops were planted in the late spring and harvested in late summer. Between these planting cycles, the </w:t>
      </w:r>
      <w:r w:rsidRPr="008C073E">
        <w:rPr>
          <w:rStyle w:val="None"/>
          <w:rFonts w:ascii="Times New Roman" w:hAnsi="Times New Roman"/>
          <w:sz w:val="24"/>
          <w:szCs w:val="24"/>
        </w:rPr>
        <w:lastRenderedPageBreak/>
        <w:t>Osages organized large-scale [?] excursions into the plains to hunt buffalo in the summer and fall.</w:t>
      </w:r>
      <w:r w:rsidRPr="008C073E">
        <w:rPr>
          <w:rStyle w:val="None"/>
          <w:rFonts w:ascii="Times New Roman" w:eastAsia="Times New Roman" w:hAnsi="Times New Roman" w:cs="Times New Roman"/>
          <w:sz w:val="24"/>
          <w:szCs w:val="24"/>
          <w:vertAlign w:val="superscript"/>
        </w:rPr>
        <w:footnoteReference w:id="21"/>
      </w:r>
      <w:r w:rsidRPr="008C073E">
        <w:rPr>
          <w:rStyle w:val="None"/>
          <w:rFonts w:ascii="Times New Roman" w:hAnsi="Times New Roman"/>
          <w:sz w:val="24"/>
          <w:szCs w:val="24"/>
        </w:rPr>
        <w:t xml:space="preserve"> The entirety of Osage society was involved in these hunts. Women, children, and the elderly not only accompanied younger, male hunters on the hunt, they also played integral roles in the hunting process. The elderly plotted the course of the expedition and performed necessary rituals and ceremonies while the women worked back at the hunting villages to process the game the men brought back with them (Edwards 70-1). Meanwhile, children were learning from their adult counterparts the particulars of these community responsibilities. What the Irving Party encountered, then, was not a “</w:t>
      </w:r>
      <w:r w:rsidRPr="008C073E">
        <w:rPr>
          <w:rStyle w:val="None"/>
          <w:rFonts w:ascii="Times New Roman" w:hAnsi="Times New Roman"/>
          <w:sz w:val="24"/>
          <w:szCs w:val="24"/>
          <w:lang w:val="it-IT"/>
        </w:rPr>
        <w:t>straggling Osage village,</w:t>
      </w:r>
      <w:r w:rsidRPr="008C073E">
        <w:rPr>
          <w:rStyle w:val="None"/>
          <w:rFonts w:ascii="Times New Roman" w:hAnsi="Times New Roman"/>
          <w:sz w:val="24"/>
          <w:szCs w:val="24"/>
        </w:rPr>
        <w:t xml:space="preserve">” which conjures up colonial images of Indigenous remnants clinging to the edges of white villages or outposts, but a fully functioning, temporary hunting village. </w:t>
      </w:r>
    </w:p>
    <w:p w14:paraId="2DBF6035"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This context is important for the scene’s humor because it reveals that the women, the young, and the old that, Irving suggests, have nothing to do with war (thus mocking Ellsworth’s peace talk) actually play an integral role in those community functions. Organizationally and ceremonially, the Osage approached hunting and war similarly, since both were related to the typically masculine realm of taking life. An </w:t>
      </w:r>
      <w:proofErr w:type="gramStart"/>
      <w:r w:rsidRPr="008C073E">
        <w:rPr>
          <w:rStyle w:val="None"/>
          <w:rFonts w:ascii="Times New Roman" w:hAnsi="Times New Roman"/>
          <w:sz w:val="24"/>
          <w:szCs w:val="24"/>
        </w:rPr>
        <w:t>Osage war party’s social and ritual roles</w:t>
      </w:r>
      <w:proofErr w:type="gramEnd"/>
      <w:r w:rsidRPr="008C073E">
        <w:rPr>
          <w:rStyle w:val="None"/>
          <w:rFonts w:ascii="Times New Roman" w:hAnsi="Times New Roman"/>
          <w:sz w:val="24"/>
          <w:szCs w:val="24"/>
        </w:rPr>
        <w:t xml:space="preserve">, similar to those of a hunting party, contributed not only to </w:t>
      </w:r>
      <w:r w:rsidRPr="008C073E">
        <w:rPr>
          <w:rStyle w:val="None"/>
          <w:rFonts w:ascii="Times New Roman" w:hAnsi="Times New Roman"/>
          <w:sz w:val="24"/>
          <w:szCs w:val="24"/>
        </w:rPr>
        <w:lastRenderedPageBreak/>
        <w:t xml:space="preserve">the material success of a hunting or war party, but also to its cosmological or religious correctness. Thus, when Ellsworth’s audience of Osage women, children, and elders assured him that “as far as in them lay, the peace should not be disturbed,” they spoke from the perspective of those who, though they seldom physically rode with the men to carry out raids on Pawnee, Cherokee, Delaware, or white invaders, nevertheless wielded immense cultural authority. From this point of view, the joke is on Irving rather than Ellsworth, revealing his ignorance. As Burns attests, “Osages find pompous characters like Ellsworth” and here, Irving, “a good target for their humor. Such characters never grasp the fact that they are the butt of the </w:t>
      </w:r>
      <w:proofErr w:type="gramStart"/>
      <w:r w:rsidRPr="008C073E">
        <w:rPr>
          <w:rStyle w:val="None"/>
          <w:rFonts w:ascii="Times New Roman" w:hAnsi="Times New Roman"/>
          <w:sz w:val="24"/>
          <w:szCs w:val="24"/>
        </w:rPr>
        <w:t>joke</w:t>
      </w:r>
      <w:proofErr w:type="gramEnd"/>
      <w:r w:rsidRPr="008C073E">
        <w:rPr>
          <w:rStyle w:val="None"/>
          <w:rFonts w:ascii="Times New Roman" w:hAnsi="Times New Roman"/>
          <w:sz w:val="24"/>
          <w:szCs w:val="24"/>
        </w:rPr>
        <w:t xml:space="preserve"> and this pleases the Osage funny bone” (213).</w:t>
      </w:r>
    </w:p>
    <w:p w14:paraId="21DA9212" w14:textId="77777777" w:rsidR="00274B3F" w:rsidRPr="008C073E" w:rsidRDefault="00274B3F" w:rsidP="00274B3F">
      <w:pPr>
        <w:pStyle w:val="Body"/>
        <w:spacing w:line="480" w:lineRule="auto"/>
        <w:rPr>
          <w:rStyle w:val="None"/>
          <w:rFonts w:ascii="Times New Roman" w:eastAsia="Times New Roman" w:hAnsi="Times New Roman" w:cs="Times New Roman"/>
          <w:sz w:val="24"/>
          <w:szCs w:val="24"/>
        </w:rPr>
      </w:pPr>
      <w:r w:rsidRPr="008C073E">
        <w:rPr>
          <w:rStyle w:val="None"/>
          <w:rFonts w:ascii="Times New Roman" w:eastAsia="Times New Roman" w:hAnsi="Times New Roman" w:cs="Times New Roman"/>
          <w:sz w:val="24"/>
          <w:szCs w:val="24"/>
          <w:lang w:val="da-DK"/>
        </w:rPr>
        <w:tab/>
        <w:t>Irving</w:t>
      </w:r>
      <w:r w:rsidRPr="008C073E">
        <w:rPr>
          <w:rStyle w:val="None"/>
          <w:rFonts w:ascii="Times New Roman" w:hAnsi="Times New Roman"/>
          <w:sz w:val="24"/>
          <w:szCs w:val="24"/>
        </w:rPr>
        <w:t xml:space="preserve">’s ethnocentrism contributes to the irony of the United States preaching peace to an Indigenous nation. No doubt the Osages chuckled wryly amongst themselves at Ellsworth’s pleas for peace with the Pawnees and the Cherokees. Although the Osages had warred against the Pawnees, the Cherokees, and other Indigenous nations for centuries, oppressive treaties and extortionate land cessions to the United States were by 1830 the main threat to the Osage way of life. Indeed, the United States’ invasion of traditional Osage homelands in the southeast and Old Northwest exacerbated intertribal conflicts among the Osage neighboring Indigenous groups. Ellsworth’s tour occurred in the midst of a </w:t>
      </w:r>
      <w:proofErr w:type="gramStart"/>
      <w:r w:rsidRPr="008C073E">
        <w:rPr>
          <w:rStyle w:val="None"/>
          <w:rFonts w:ascii="Times New Roman" w:hAnsi="Times New Roman"/>
          <w:sz w:val="24"/>
          <w:szCs w:val="24"/>
        </w:rPr>
        <w:t>thirty year</w:t>
      </w:r>
      <w:proofErr w:type="gramEnd"/>
      <w:r w:rsidRPr="008C073E">
        <w:rPr>
          <w:rStyle w:val="None"/>
          <w:rFonts w:ascii="Times New Roman" w:hAnsi="Times New Roman"/>
          <w:sz w:val="24"/>
          <w:szCs w:val="24"/>
        </w:rPr>
        <w:t xml:space="preserve"> period of intense change for the Osage nation. Between 1804 and 1839, the Osage were forced to cede over 98 million acres of land to the United </w:t>
      </w:r>
      <w:r w:rsidRPr="008C073E">
        <w:rPr>
          <w:rStyle w:val="None"/>
          <w:rFonts w:ascii="Times New Roman" w:hAnsi="Times New Roman"/>
          <w:sz w:val="24"/>
          <w:szCs w:val="24"/>
        </w:rPr>
        <w:lastRenderedPageBreak/>
        <w:t>States, diminishing Osage territory by over 75%.</w:t>
      </w:r>
      <w:r w:rsidRPr="008C073E">
        <w:rPr>
          <w:rStyle w:val="None"/>
          <w:rFonts w:ascii="Times New Roman" w:eastAsia="Times New Roman" w:hAnsi="Times New Roman" w:cs="Times New Roman"/>
          <w:sz w:val="24"/>
          <w:szCs w:val="24"/>
          <w:vertAlign w:val="superscript"/>
        </w:rPr>
        <w:footnoteReference w:id="22"/>
      </w:r>
      <w:r w:rsidRPr="008C073E">
        <w:rPr>
          <w:rStyle w:val="None"/>
          <w:rFonts w:ascii="Times New Roman" w:hAnsi="Times New Roman"/>
          <w:sz w:val="24"/>
          <w:szCs w:val="24"/>
        </w:rPr>
        <w:t xml:space="preserve"> Not even a decade before Irving’s journey, the Osage Treaty of 1825 represented the largest cession of Osage land during that period. Indeed, the entire route taken by the Irving Party in 1833 lies in territory taken from the Osage in 1825. </w:t>
      </w:r>
    </w:p>
    <w:p w14:paraId="59227496" w14:textId="77777777" w:rsidR="00274B3F" w:rsidRDefault="00274B3F" w:rsidP="00274B3F">
      <w:pPr>
        <w:pStyle w:val="Body"/>
        <w:spacing w:line="480" w:lineRule="auto"/>
        <w:rPr>
          <w:rStyle w:val="None"/>
          <w:rFonts w:ascii="Times New Roman" w:hAnsi="Times New Roman"/>
          <w:sz w:val="24"/>
          <w:szCs w:val="24"/>
        </w:rPr>
      </w:pPr>
      <w:r w:rsidRPr="008C073E">
        <w:rPr>
          <w:rStyle w:val="None"/>
          <w:rFonts w:ascii="Times New Roman" w:eastAsia="Times New Roman" w:hAnsi="Times New Roman" w:cs="Times New Roman"/>
          <w:sz w:val="24"/>
          <w:szCs w:val="24"/>
        </w:rPr>
        <w:tab/>
        <w:t>These facts inflect the response from Ellsworth</w:t>
      </w:r>
      <w:r w:rsidRPr="008C073E">
        <w:rPr>
          <w:rStyle w:val="None"/>
          <w:rFonts w:ascii="Times New Roman" w:hAnsi="Times New Roman"/>
          <w:sz w:val="24"/>
          <w:szCs w:val="24"/>
        </w:rPr>
        <w:t>’s audience of Osage women and elders with a sarcastic rebuke that transcends Irving’s joke. Moreover, all the situational factors that build towards his punchline eclipse the ironies of the passage, pointing in fact to the persistence of Osage culture in the face of settler colonial invasion. The significance of this moment, then, lies not in Irving’s comedy but in the Osages’ ability to mix laughter and defiance and reflect upon a dire situation with irony and humor. For them, the real joke is the United States’ posturing as peacemaker while constructing calamities for Indigenous nations wherever their settlers go. The Osage women and elders speak back to Americans through Irving’s writing, reminding us of the irony of preaching coexistence out of one side of one’s mouths while endorsing genocide out of the other.</w:t>
      </w:r>
    </w:p>
    <w:p w14:paraId="1AF6527E" w14:textId="77777777" w:rsidR="00A86630" w:rsidRPr="008C073E" w:rsidRDefault="00A86630" w:rsidP="00274B3F">
      <w:pPr>
        <w:pStyle w:val="Body"/>
        <w:spacing w:line="480" w:lineRule="auto"/>
        <w:rPr>
          <w:rStyle w:val="None"/>
          <w:rFonts w:ascii="Times New Roman" w:eastAsia="Times New Roman" w:hAnsi="Times New Roman" w:cs="Times New Roman"/>
          <w:sz w:val="24"/>
          <w:szCs w:val="24"/>
        </w:rPr>
      </w:pPr>
    </w:p>
    <w:p w14:paraId="19DF733D" w14:textId="1F5E2D67" w:rsidR="00274B3F" w:rsidRPr="008752E7" w:rsidRDefault="008752E7" w:rsidP="00A729F1">
      <w:pPr>
        <w:pStyle w:val="Heading2"/>
        <w:jc w:val="center"/>
        <w:rPr>
          <w:rStyle w:val="None"/>
          <w:rFonts w:ascii="Times New Roman" w:hAnsi="Times New Roman" w:cs="Times New Roman"/>
          <w:b/>
          <w:bCs/>
          <w:color w:val="auto"/>
          <w:sz w:val="24"/>
          <w:szCs w:val="24"/>
        </w:rPr>
      </w:pPr>
      <w:bookmarkStart w:id="11" w:name="_h2lxp2h"/>
      <w:bookmarkStart w:id="12" w:name="_Toc169279168"/>
      <w:bookmarkEnd w:id="11"/>
      <w:r>
        <w:rPr>
          <w:rStyle w:val="None"/>
          <w:rFonts w:ascii="Times New Roman" w:hAnsi="Times New Roman"/>
          <w:b/>
          <w:bCs/>
          <w:color w:val="auto"/>
          <w:sz w:val="24"/>
          <w:szCs w:val="24"/>
        </w:rPr>
        <w:t>Talking Stuff</w:t>
      </w:r>
      <w:bookmarkEnd w:id="12"/>
    </w:p>
    <w:p w14:paraId="2C54AF59" w14:textId="77777777" w:rsidR="00274B3F" w:rsidRPr="008C073E" w:rsidRDefault="00274B3F" w:rsidP="00274B3F">
      <w:pPr>
        <w:pStyle w:val="Body"/>
      </w:pPr>
    </w:p>
    <w:p w14:paraId="47D7A80C" w14:textId="77777777" w:rsidR="00274B3F" w:rsidRPr="008C073E" w:rsidRDefault="00274B3F" w:rsidP="00274B3F">
      <w:pPr>
        <w:pStyle w:val="Body"/>
        <w:spacing w:line="480" w:lineRule="auto"/>
        <w:ind w:firstLine="720"/>
        <w:rPr>
          <w:rStyle w:val="None"/>
          <w:rFonts w:ascii="Times New Roman" w:hAnsi="Times New Roman"/>
          <w:sz w:val="24"/>
          <w:szCs w:val="24"/>
        </w:rPr>
      </w:pPr>
      <w:r w:rsidRPr="008C073E">
        <w:rPr>
          <w:rStyle w:val="None"/>
          <w:rFonts w:ascii="Times New Roman" w:hAnsi="Times New Roman"/>
          <w:sz w:val="24"/>
          <w:szCs w:val="24"/>
        </w:rPr>
        <w:lastRenderedPageBreak/>
        <w:t xml:space="preserve">In his stories “Turtle &amp; The Oak Tree” and “A Lizard Appeared,” contemporary Mashpee Wampanoag storyteller </w:t>
      </w:r>
      <w:proofErr w:type="spellStart"/>
      <w:r w:rsidRPr="008C073E">
        <w:rPr>
          <w:rStyle w:val="None"/>
          <w:rFonts w:ascii="Times New Roman" w:hAnsi="Times New Roman"/>
          <w:sz w:val="24"/>
          <w:szCs w:val="24"/>
        </w:rPr>
        <w:t>Mwalim</w:t>
      </w:r>
      <w:proofErr w:type="spellEnd"/>
      <w:r w:rsidRPr="008C073E">
        <w:rPr>
          <w:rStyle w:val="None"/>
          <w:rFonts w:ascii="Times New Roman" w:hAnsi="Times New Roman"/>
          <w:sz w:val="24"/>
          <w:szCs w:val="24"/>
        </w:rPr>
        <w:t xml:space="preserve"> Peters exemplifies the Mashpee tradition of using humor as resistance. </w:t>
      </w:r>
      <w:r w:rsidRPr="008C073E">
        <w:rPr>
          <w:rStyle w:val="None"/>
          <w:rFonts w:ascii="Times New Roman" w:hAnsi="Times New Roman"/>
        </w:rPr>
        <w:t>These</w:t>
      </w:r>
      <w:r w:rsidRPr="008C073E">
        <w:rPr>
          <w:rStyle w:val="None"/>
          <w:rFonts w:ascii="Times New Roman" w:hAnsi="Times New Roman"/>
          <w:sz w:val="24"/>
          <w:szCs w:val="24"/>
        </w:rPr>
        <w:t xml:space="preserve"> stories allegorize the Mashpees’ 1833-35 struggle for civil rights using the animal story genre common to both Wampanoag </w:t>
      </w:r>
      <w:proofErr w:type="spellStart"/>
      <w:r w:rsidRPr="008C073E">
        <w:rPr>
          <w:rFonts w:ascii="Times New Roman" w:hAnsi="Times New Roman"/>
          <w:i/>
          <w:iCs/>
          <w:sz w:val="24"/>
          <w:szCs w:val="24"/>
          <w:lang w:val="es-ES_tradnl"/>
        </w:rPr>
        <w:t>Ahanaeenun</w:t>
      </w:r>
      <w:proofErr w:type="spellEnd"/>
      <w:r w:rsidRPr="008C073E">
        <w:rPr>
          <w:rStyle w:val="None"/>
          <w:rFonts w:ascii="Times New Roman" w:hAnsi="Times New Roman"/>
          <w:sz w:val="24"/>
          <w:szCs w:val="24"/>
        </w:rPr>
        <w:t xml:space="preserve"> and West African griot traditions (Peters 5). The stories’ characters map onto real, historical individuals central to the events at Mashpee: Blind Turtle is “</w:t>
      </w:r>
      <w:r w:rsidRPr="008C073E">
        <w:rPr>
          <w:rStyle w:val="None"/>
          <w:rFonts w:ascii="Times New Roman" w:hAnsi="Times New Roman"/>
          <w:sz w:val="24"/>
          <w:szCs w:val="24"/>
          <w:lang w:val="nl-NL"/>
        </w:rPr>
        <w:t>Blind Joe</w:t>
      </w:r>
      <w:r w:rsidRPr="008C073E">
        <w:rPr>
          <w:rStyle w:val="None"/>
          <w:rFonts w:ascii="Times New Roman" w:hAnsi="Times New Roman"/>
          <w:sz w:val="24"/>
          <w:szCs w:val="24"/>
        </w:rPr>
        <w:t xml:space="preserve">” Amos, the Mashpee spiritual leader; Phineas the snake is Phineas Fish; the Snake Circle represents the settler governments and representatives such as Fiske, the Simpsons, and Governor Levi Lincoln who seek to surround and destroy the Mashpee; and Fire Lizard is, of course, Apess. In Peters’ allegories, as in </w:t>
      </w:r>
      <w:r w:rsidRPr="007C1487">
        <w:rPr>
          <w:rStyle w:val="None"/>
          <w:rFonts w:ascii="Times New Roman" w:hAnsi="Times New Roman"/>
          <w:i/>
          <w:iCs/>
          <w:sz w:val="24"/>
          <w:szCs w:val="24"/>
        </w:rPr>
        <w:t>Nullification</w:t>
      </w:r>
      <w:r w:rsidRPr="008C073E">
        <w:rPr>
          <w:rStyle w:val="None"/>
          <w:rFonts w:ascii="Times New Roman" w:hAnsi="Times New Roman"/>
          <w:sz w:val="24"/>
          <w:szCs w:val="24"/>
        </w:rPr>
        <w:t xml:space="preserve"> and </w:t>
      </w:r>
      <w:r w:rsidRPr="007C1487">
        <w:rPr>
          <w:rStyle w:val="None"/>
          <w:rFonts w:ascii="Times New Roman" w:hAnsi="Times New Roman"/>
          <w:i/>
          <w:iCs/>
          <w:sz w:val="24"/>
          <w:szCs w:val="24"/>
        </w:rPr>
        <w:t>Tour</w:t>
      </w:r>
      <w:r w:rsidRPr="008C073E">
        <w:rPr>
          <w:rStyle w:val="None"/>
          <w:rFonts w:ascii="Times New Roman" w:hAnsi="Times New Roman"/>
          <w:sz w:val="24"/>
          <w:szCs w:val="24"/>
        </w:rPr>
        <w:t xml:space="preserve">, Native humor undermines and mocks non-Natives’ pretentious declarations of authority. </w:t>
      </w:r>
    </w:p>
    <w:p w14:paraId="13968A01"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In </w:t>
      </w:r>
      <w:proofErr w:type="spellStart"/>
      <w:r w:rsidRPr="008C073E">
        <w:rPr>
          <w:rStyle w:val="None"/>
          <w:rFonts w:ascii="Times New Roman" w:hAnsi="Times New Roman"/>
          <w:sz w:val="24"/>
          <w:szCs w:val="24"/>
        </w:rPr>
        <w:t>Peters’s</w:t>
      </w:r>
      <w:proofErr w:type="spellEnd"/>
      <w:r w:rsidRPr="008C073E">
        <w:rPr>
          <w:rStyle w:val="None"/>
          <w:rFonts w:ascii="Times New Roman" w:hAnsi="Times New Roman"/>
          <w:sz w:val="24"/>
          <w:szCs w:val="24"/>
        </w:rPr>
        <w:t xml:space="preserve"> “Turtle &amp; The Oak Tree,” Blind Turtle has a spiritual practice of sitting under a great old oak tree in the swamp. Although “Blind Turtle couldn’t see the physical world, he was a turtle of great vision and insight” (37). He sits under his tree for hours listening to “the voices…on the wind” (40). Meanwhile, “a slimy, little water moccasin named Phineas,” is assigned to the meetinghouse by the Snake Circle (“which was really more of a coil”) to teach the turtles and other animals “the proper and civilized ways of snakes” (38). Phineas is jealous of Blind Turtle because, while his congregation grows thin, yet animals collect around Blind Turtle’s tree every day, waiting on him to deliver one of his visions. Phineas slithers down to the oak tree to spy on the gathering and learn Blind Turtle’s secrets. However, the voices on the wind have forewarned Blind </w:t>
      </w:r>
      <w:r w:rsidRPr="008C073E">
        <w:rPr>
          <w:rStyle w:val="None"/>
          <w:rFonts w:ascii="Times New Roman" w:hAnsi="Times New Roman"/>
          <w:sz w:val="24"/>
          <w:szCs w:val="24"/>
        </w:rPr>
        <w:lastRenderedPageBreak/>
        <w:t xml:space="preserve">Turtle about Phineas and he invites the snake to join them. “All the animals turned and saw Phineas </w:t>
      </w:r>
      <w:proofErr w:type="spellStart"/>
      <w:r w:rsidRPr="008C073E">
        <w:rPr>
          <w:rStyle w:val="None"/>
          <w:rFonts w:ascii="Times New Roman" w:hAnsi="Times New Roman"/>
          <w:sz w:val="24"/>
          <w:szCs w:val="24"/>
        </w:rPr>
        <w:t>laying</w:t>
      </w:r>
      <w:proofErr w:type="spellEnd"/>
      <w:r w:rsidRPr="008C073E">
        <w:rPr>
          <w:rStyle w:val="None"/>
          <w:rFonts w:ascii="Times New Roman" w:hAnsi="Times New Roman"/>
          <w:sz w:val="24"/>
          <w:szCs w:val="24"/>
        </w:rPr>
        <w:t xml:space="preserve"> flat along the creek, trying to look like a branch…until he sneezed” (39). This causes all of the animals to laugh uproariously at the spectacle of “Phineas eavesdropping on Blind Turtle” and “the snake slithered away in humiliation” (39). A little while later, Phineas returns to Blind Turtle’s oak tree to try to hear the voices as he does. At </w:t>
      </w:r>
      <w:proofErr w:type="gramStart"/>
      <w:r w:rsidRPr="008C073E">
        <w:rPr>
          <w:rStyle w:val="None"/>
          <w:rFonts w:ascii="Times New Roman" w:hAnsi="Times New Roman"/>
          <w:sz w:val="24"/>
          <w:szCs w:val="24"/>
        </w:rPr>
        <w:t>first</w:t>
      </w:r>
      <w:proofErr w:type="gramEnd"/>
      <w:r w:rsidRPr="008C073E">
        <w:rPr>
          <w:rStyle w:val="None"/>
          <w:rFonts w:ascii="Times New Roman" w:hAnsi="Times New Roman"/>
          <w:sz w:val="24"/>
          <w:szCs w:val="24"/>
        </w:rPr>
        <w:t xml:space="preserve"> he hears nothing, but after a while he began to hear the voices, though he “was too excited to really pay attention” (40). Phineas writes a report to the Snake Circle who conclude that “the turtle’s ability to hear voices” was not his but “was in the tree itself” and henceforth all meetinghouses would be torn down and rebuilt with supposedly powerful oak wood (41). Following the Snake Circle’</w:t>
      </w:r>
      <w:r w:rsidRPr="008C073E">
        <w:rPr>
          <w:rStyle w:val="None"/>
          <w:rFonts w:ascii="Times New Roman" w:hAnsi="Times New Roman"/>
          <w:sz w:val="24"/>
          <w:szCs w:val="24"/>
          <w:lang w:val="fr-FR"/>
        </w:rPr>
        <w:t xml:space="preserve">s proclamation, </w:t>
      </w:r>
      <w:r w:rsidRPr="008C073E">
        <w:rPr>
          <w:rStyle w:val="None"/>
          <w:rFonts w:ascii="Times New Roman" w:hAnsi="Times New Roman"/>
          <w:sz w:val="24"/>
          <w:szCs w:val="24"/>
        </w:rPr>
        <w:t>“the snakes and congregation would gather in the oak meetinghouses and sit silently waiting for the voices to manifest” (41). Meanwhile, “Blind Turtle and the other animals continued to gather under the oak tree” where Blind Turtle gave “thanks to the trees, bushes, and grass…and thanks to the crickets and small birds who sat in the tree and conversed on the days that Phineas…visited [the] oak tree” (42).</w:t>
      </w:r>
    </w:p>
    <w:p w14:paraId="11390210" w14:textId="77777777" w:rsidR="00274B3F" w:rsidRPr="008C073E" w:rsidRDefault="00274B3F" w:rsidP="00274B3F">
      <w:pPr>
        <w:pStyle w:val="Body"/>
        <w:spacing w:line="480" w:lineRule="auto"/>
        <w:rPr>
          <w:rStyle w:val="None"/>
          <w:rFonts w:ascii="Times New Roman" w:eastAsia="Times New Roman" w:hAnsi="Times New Roman" w:cs="Times New Roman"/>
          <w:sz w:val="24"/>
          <w:szCs w:val="24"/>
        </w:rPr>
      </w:pPr>
      <w:r w:rsidRPr="008C073E">
        <w:rPr>
          <w:rStyle w:val="None"/>
          <w:rFonts w:ascii="Times New Roman" w:eastAsia="Times New Roman" w:hAnsi="Times New Roman" w:cs="Times New Roman"/>
          <w:sz w:val="24"/>
          <w:szCs w:val="24"/>
        </w:rPr>
        <w:tab/>
      </w:r>
      <w:r w:rsidRPr="008C073E">
        <w:rPr>
          <w:rStyle w:val="None"/>
          <w:rFonts w:ascii="Times New Roman" w:hAnsi="Times New Roman"/>
          <w:sz w:val="24"/>
          <w:szCs w:val="24"/>
        </w:rPr>
        <w:t xml:space="preserve">“A Lizard Appeared” tells the story of the troublemaker Fire Lizard, who is guided by  a vision from his home in the cedar forest to the swamp where Blind Turtle continues to sit under his oak tree and the snakes sit quietly in their meetinghouse. Since the snakes had “learned” about the powers of the oak tree, the had started cutting down more and more trees in the swamp. The snakes “had come up with a rule that made the territory common property that snakes could take from whenever they pleased” and Blind </w:t>
      </w:r>
      <w:r w:rsidRPr="008C073E">
        <w:rPr>
          <w:rStyle w:val="None"/>
          <w:rFonts w:ascii="Times New Roman" w:hAnsi="Times New Roman"/>
          <w:sz w:val="24"/>
          <w:szCs w:val="24"/>
        </w:rPr>
        <w:lastRenderedPageBreak/>
        <w:t xml:space="preserve">Turtle worried “that his oak tree would soon be up for grabs unless the animals were able to do something” (57). Fire Lizard hatches a plan and when the snakes show up to cut down the oak tree, Stuff-Talking Chipmunk (an over-enthusiastic and irrepressible creature) confronts them and tells the snakes that the swamp animals don’t have to leave: </w:t>
      </w:r>
    </w:p>
    <w:p w14:paraId="5310CE0B" w14:textId="77777777" w:rsidR="00274B3F" w:rsidRPr="008C073E" w:rsidRDefault="00274B3F" w:rsidP="00274B3F">
      <w:pPr>
        <w:pStyle w:val="Body"/>
        <w:ind w:left="720"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“What?!?” hissed the fore-snake.</w:t>
      </w:r>
    </w:p>
    <w:p w14:paraId="46BD589B" w14:textId="77777777" w:rsidR="00274B3F" w:rsidRPr="008C073E" w:rsidRDefault="00274B3F" w:rsidP="00274B3F">
      <w:pPr>
        <w:pStyle w:val="Body"/>
        <w:ind w:left="720"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“Yeah! That’s right! That’s what I said! You heard me!” continued Stuff-Talking Chipmunk.</w:t>
      </w:r>
    </w:p>
    <w:p w14:paraId="68FD1FA0" w14:textId="77777777" w:rsidR="00274B3F" w:rsidRPr="008C073E" w:rsidRDefault="00274B3F" w:rsidP="00274B3F">
      <w:pPr>
        <w:pStyle w:val="Body"/>
        <w:ind w:left="720"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“How dare you! Do you know who you’re talking to?”</w:t>
      </w:r>
    </w:p>
    <w:p w14:paraId="51B33DDA" w14:textId="77777777" w:rsidR="00274B3F" w:rsidRPr="008C073E" w:rsidRDefault="00274B3F" w:rsidP="00274B3F">
      <w:pPr>
        <w:pStyle w:val="Body"/>
        <w:ind w:left="720"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“Some snake as far as I can see. What’s that supposed to mean to me?” (59)</w:t>
      </w:r>
    </w:p>
    <w:p w14:paraId="6458B048" w14:textId="77777777" w:rsidR="00274B3F" w:rsidRPr="008C073E" w:rsidRDefault="00274B3F" w:rsidP="00274B3F">
      <w:pPr>
        <w:pStyle w:val="Body"/>
        <w:ind w:left="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Stuff-Talking Chipmunk’s militant resistance catches the snakes off </w:t>
      </w:r>
      <w:proofErr w:type="gramStart"/>
      <w:r w:rsidRPr="008C073E">
        <w:rPr>
          <w:rStyle w:val="None"/>
          <w:rFonts w:ascii="Times New Roman" w:hAnsi="Times New Roman"/>
          <w:sz w:val="24"/>
          <w:szCs w:val="24"/>
        </w:rPr>
        <w:t>guard</w:t>
      </w:r>
      <w:proofErr w:type="gramEnd"/>
      <w:r w:rsidRPr="008C073E">
        <w:rPr>
          <w:rStyle w:val="None"/>
          <w:rFonts w:ascii="Times New Roman" w:hAnsi="Times New Roman"/>
          <w:sz w:val="24"/>
          <w:szCs w:val="24"/>
        </w:rPr>
        <w:t xml:space="preserve"> and they can only watch in stunned anger as the other animals “unpacked the snakes’ wagon full of lumber, took away their weapons, and sent them back to the snake community empty-handed and humiliated” (60). </w:t>
      </w:r>
    </w:p>
    <w:p w14:paraId="396F9D10" w14:textId="77777777" w:rsidR="00274B3F" w:rsidRPr="008C073E" w:rsidRDefault="00274B3F" w:rsidP="00274B3F">
      <w:pPr>
        <w:pStyle w:val="Body"/>
        <w:ind w:left="720"/>
        <w:rPr>
          <w:rStyle w:val="None"/>
          <w:rFonts w:ascii="Times New Roman" w:eastAsia="Times New Roman" w:hAnsi="Times New Roman" w:cs="Times New Roman"/>
          <w:sz w:val="24"/>
          <w:szCs w:val="24"/>
        </w:rPr>
      </w:pPr>
    </w:p>
    <w:p w14:paraId="09E93FAA"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Humiliation recurs as a motif in both “Turtle &amp; the Oak Tree” and “A Lizard Appeared” as political praxis and expression of Mashpee sovereignty. Stuff-Talking Chipmunk’s brazen announcement to the snakes that they “have three minutes to clear out of here yourselves” enacts the same boundary-setting as the official pronouncements documented in </w:t>
      </w:r>
      <w:r w:rsidRPr="000D3488">
        <w:rPr>
          <w:rStyle w:val="None"/>
          <w:rFonts w:ascii="Times New Roman" w:hAnsi="Times New Roman"/>
          <w:i/>
          <w:iCs/>
          <w:sz w:val="24"/>
          <w:szCs w:val="24"/>
          <w:lang w:val="it-IT"/>
        </w:rPr>
        <w:t>Indian Nullification</w:t>
      </w:r>
      <w:r w:rsidRPr="008C073E">
        <w:rPr>
          <w:rStyle w:val="None"/>
          <w:rFonts w:ascii="Times New Roman" w:hAnsi="Times New Roman"/>
          <w:sz w:val="24"/>
          <w:szCs w:val="24"/>
        </w:rPr>
        <w:t>. Indeed, if Stuff-Talking Chipmunk lacks a 1:1 historical referent, he stands in for the collective Mashpee spirit of resistance. Like Apess’s sarcasm, Chipmunk’s “stuff-talking” is theorized in these stories as a method of resistance.</w:t>
      </w:r>
    </w:p>
    <w:p w14:paraId="543C0FDC" w14:textId="77777777" w:rsidR="00274B3F" w:rsidRPr="008C073E" w:rsidRDefault="00274B3F" w:rsidP="00274B3F">
      <w:pPr>
        <w:pStyle w:val="Body"/>
        <w:spacing w:line="480" w:lineRule="auto"/>
        <w:ind w:firstLine="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Moreover, these stories’ “harsh” sense of humor (to use Apess’s description of his own sarcastic perspective) </w:t>
      </w:r>
      <w:proofErr w:type="gramStart"/>
      <w:r w:rsidRPr="008C073E">
        <w:rPr>
          <w:rStyle w:val="None"/>
          <w:rFonts w:ascii="Times New Roman" w:hAnsi="Times New Roman"/>
          <w:sz w:val="24"/>
          <w:szCs w:val="24"/>
        </w:rPr>
        <w:t>help</w:t>
      </w:r>
      <w:proofErr w:type="gramEnd"/>
      <w:r w:rsidRPr="008C073E">
        <w:rPr>
          <w:rStyle w:val="None"/>
          <w:rFonts w:ascii="Times New Roman" w:hAnsi="Times New Roman"/>
          <w:sz w:val="24"/>
          <w:szCs w:val="24"/>
        </w:rPr>
        <w:t xml:space="preserve"> us see more clearly the political and cultural work of Apess’s anatomy of colonizer character. At his nadir in “Turtle &amp; the Oak Tree,” Phineas </w:t>
      </w:r>
      <w:r w:rsidRPr="008C073E">
        <w:rPr>
          <w:rStyle w:val="None"/>
          <w:rFonts w:ascii="Times New Roman" w:hAnsi="Times New Roman"/>
          <w:sz w:val="24"/>
          <w:szCs w:val="24"/>
        </w:rPr>
        <w:lastRenderedPageBreak/>
        <w:t xml:space="preserve">is humiliated, “a </w:t>
      </w:r>
      <w:proofErr w:type="gramStart"/>
      <w:r w:rsidRPr="008C073E">
        <w:rPr>
          <w:rStyle w:val="None"/>
          <w:rFonts w:ascii="Times New Roman" w:hAnsi="Times New Roman"/>
          <w:sz w:val="24"/>
          <w:szCs w:val="24"/>
        </w:rPr>
        <w:t>laughing stock</w:t>
      </w:r>
      <w:proofErr w:type="gramEnd"/>
      <w:r w:rsidRPr="008C073E">
        <w:rPr>
          <w:rStyle w:val="None"/>
          <w:rFonts w:ascii="Times New Roman" w:hAnsi="Times New Roman"/>
          <w:sz w:val="24"/>
          <w:szCs w:val="24"/>
        </w:rPr>
        <w:t xml:space="preserve"> to all of the Snake Circle” and he is ridiculed by the swamp community and the Snake Circle alike for “sneaking to a turtle’s meeting!” </w:t>
      </w:r>
      <w:r w:rsidRPr="008C073E">
        <w:rPr>
          <w:rStyle w:val="None"/>
          <w:rFonts w:ascii="Times New Roman" w:hAnsi="Times New Roman"/>
          <w:sz w:val="24"/>
          <w:szCs w:val="24"/>
          <w:lang w:val="it-IT"/>
        </w:rPr>
        <w:t>(39-40). Phineas</w:t>
      </w:r>
      <w:r w:rsidRPr="008C073E">
        <w:rPr>
          <w:rStyle w:val="None"/>
          <w:rFonts w:ascii="Times New Roman" w:hAnsi="Times New Roman"/>
          <w:sz w:val="24"/>
          <w:szCs w:val="24"/>
        </w:rPr>
        <w:t xml:space="preserve">’s humiliation remixes the encounter between Fish, Apess, and the Mashpee community as presented in </w:t>
      </w:r>
      <w:r w:rsidRPr="000D3488">
        <w:rPr>
          <w:rStyle w:val="None"/>
          <w:rFonts w:ascii="Times New Roman" w:hAnsi="Times New Roman"/>
          <w:i/>
          <w:iCs/>
          <w:sz w:val="24"/>
          <w:szCs w:val="24"/>
          <w:lang w:val="fr-FR"/>
        </w:rPr>
        <w:t>Nullification</w:t>
      </w:r>
      <w:r w:rsidRPr="008C073E">
        <w:rPr>
          <w:rStyle w:val="None"/>
          <w:rFonts w:ascii="Times New Roman" w:hAnsi="Times New Roman"/>
          <w:sz w:val="24"/>
          <w:szCs w:val="24"/>
        </w:rPr>
        <w:t xml:space="preserve">. Apess ironically writes that in their staunch refusal to recognize the spiritual leadership of either Blind Joe or Apess, Fish and Harvard College fear that “William Apess wants to get what Mr. Fish has” (254). “Turtle &amp; the Oak Tree” allegorizes this pretended desire and transfers it to the snake Phineas, where it presents as his envy of Blind Turtle’s privileged sight. </w:t>
      </w:r>
      <w:proofErr w:type="spellStart"/>
      <w:r w:rsidRPr="008C073E">
        <w:rPr>
          <w:rStyle w:val="None"/>
          <w:rFonts w:ascii="Times New Roman" w:hAnsi="Times New Roman"/>
          <w:sz w:val="24"/>
          <w:szCs w:val="24"/>
        </w:rPr>
        <w:t>Phineas’s</w:t>
      </w:r>
      <w:proofErr w:type="spellEnd"/>
      <w:r w:rsidRPr="008C073E">
        <w:rPr>
          <w:rStyle w:val="None"/>
          <w:rFonts w:ascii="Times New Roman" w:hAnsi="Times New Roman"/>
          <w:sz w:val="24"/>
          <w:szCs w:val="24"/>
        </w:rPr>
        <w:t xml:space="preserve"> desire to hear the voices on the wind allegorizes Apess’s insight in </w:t>
      </w:r>
      <w:r w:rsidRPr="000D3488">
        <w:rPr>
          <w:rStyle w:val="None"/>
          <w:rFonts w:ascii="Times New Roman" w:hAnsi="Times New Roman"/>
          <w:i/>
          <w:iCs/>
          <w:sz w:val="24"/>
          <w:szCs w:val="24"/>
          <w:lang w:val="fr-FR"/>
        </w:rPr>
        <w:t>Nullification</w:t>
      </w:r>
      <w:r w:rsidRPr="008C073E">
        <w:rPr>
          <w:rStyle w:val="None"/>
          <w:rFonts w:ascii="Times New Roman" w:hAnsi="Times New Roman"/>
          <w:sz w:val="24"/>
          <w:szCs w:val="24"/>
          <w:lang w:val="fr-FR"/>
        </w:rPr>
        <w:t xml:space="preserve"> </w:t>
      </w:r>
      <w:r w:rsidRPr="008C073E">
        <w:rPr>
          <w:rStyle w:val="None"/>
          <w:rFonts w:ascii="Times New Roman" w:hAnsi="Times New Roman"/>
          <w:sz w:val="24"/>
          <w:szCs w:val="24"/>
        </w:rPr>
        <w:t xml:space="preserve">and that of the Osages and Pawnees in Irving’s </w:t>
      </w:r>
      <w:r w:rsidRPr="007C1487">
        <w:rPr>
          <w:rStyle w:val="None"/>
          <w:rFonts w:ascii="Times New Roman" w:hAnsi="Times New Roman"/>
          <w:i/>
          <w:iCs/>
          <w:sz w:val="24"/>
          <w:szCs w:val="24"/>
          <w:lang w:val="fr-FR"/>
        </w:rPr>
        <w:t>Tour</w:t>
      </w:r>
      <w:r w:rsidRPr="008C073E">
        <w:rPr>
          <w:rStyle w:val="None"/>
          <w:rFonts w:ascii="Times New Roman" w:hAnsi="Times New Roman"/>
          <w:sz w:val="24"/>
          <w:szCs w:val="24"/>
        </w:rPr>
        <w:t xml:space="preserve">, that though non-Natives claim to know much and proclaim mastery </w:t>
      </w:r>
      <w:proofErr w:type="gramStart"/>
      <w:r w:rsidRPr="008C073E">
        <w:rPr>
          <w:rStyle w:val="None"/>
          <w:rFonts w:ascii="Times New Roman" w:hAnsi="Times New Roman"/>
          <w:sz w:val="24"/>
          <w:szCs w:val="24"/>
        </w:rPr>
        <w:t>over all</w:t>
      </w:r>
      <w:proofErr w:type="gramEnd"/>
      <w:r w:rsidRPr="008C073E">
        <w:rPr>
          <w:rStyle w:val="None"/>
          <w:rFonts w:ascii="Times New Roman" w:hAnsi="Times New Roman"/>
          <w:sz w:val="24"/>
          <w:szCs w:val="24"/>
        </w:rPr>
        <w:t>, their perception of the Indigenous world is tragically limited. Once this central irony is realized, humiliation of Eurocentric objective “knowledge” through jokes, pranks, and sarcasm becomes a fearsome tool of Indigenous resistance.</w:t>
      </w:r>
      <w:r w:rsidRPr="008C073E">
        <w:rPr>
          <w:rStyle w:val="CommentReference"/>
          <w:rFonts w:ascii="Times New Roman" w:eastAsia="PMingLiU" w:hAnsi="Times New Roman" w:cs="Times New Roman"/>
          <w:color w:val="auto"/>
          <w14:textOutline w14:w="0" w14:cap="rnd" w14:cmpd="sng" w14:algn="ctr">
            <w14:noFill/>
            <w14:prstDash w14:val="solid"/>
            <w14:bevel/>
          </w14:textOutline>
        </w:rPr>
        <w:t xml:space="preserve"> </w:t>
      </w:r>
    </w:p>
    <w:p w14:paraId="5758A2B4" w14:textId="77777777" w:rsidR="00A86630" w:rsidRDefault="00A86630" w:rsidP="00A86630">
      <w:pPr>
        <w:rPr>
          <w:rStyle w:val="None"/>
          <w:rFonts w:ascii="Times New Roman" w:eastAsiaTheme="majorEastAsia" w:hAnsi="Times New Roman"/>
          <w:lang w:val="de-DE"/>
        </w:rPr>
      </w:pPr>
      <w:bookmarkStart w:id="13" w:name="_ty352hy5w6ax"/>
      <w:bookmarkEnd w:id="13"/>
    </w:p>
    <w:p w14:paraId="4604AB9A" w14:textId="77777777" w:rsidR="00A86630" w:rsidRDefault="00A86630" w:rsidP="00A86630">
      <w:pPr>
        <w:rPr>
          <w:rStyle w:val="None"/>
          <w:rFonts w:ascii="Times New Roman" w:eastAsiaTheme="majorEastAsia" w:hAnsi="Times New Roman"/>
          <w:lang w:val="de-DE"/>
        </w:rPr>
      </w:pPr>
    </w:p>
    <w:p w14:paraId="4F043909" w14:textId="77777777" w:rsidR="00A86630" w:rsidRDefault="00A86630" w:rsidP="00A86630">
      <w:pPr>
        <w:rPr>
          <w:rStyle w:val="None"/>
          <w:rFonts w:ascii="Times New Roman" w:eastAsiaTheme="majorEastAsia" w:hAnsi="Times New Roman"/>
          <w:lang w:val="de-DE"/>
        </w:rPr>
      </w:pPr>
    </w:p>
    <w:p w14:paraId="1B7B7A9C" w14:textId="77777777" w:rsidR="00F70CD9" w:rsidRDefault="00F70CD9" w:rsidP="00F70CD9">
      <w:pPr>
        <w:spacing w:after="160" w:line="259" w:lineRule="auto"/>
        <w:rPr>
          <w:rStyle w:val="None"/>
          <w:rFonts w:ascii="Times New Roman" w:eastAsiaTheme="majorEastAsia" w:hAnsi="Times New Roman"/>
          <w:lang w:val="de-DE"/>
        </w:rPr>
      </w:pPr>
    </w:p>
    <w:p w14:paraId="629FCB8F" w14:textId="77777777" w:rsidR="00F70CD9" w:rsidRDefault="00F70CD9">
      <w:pPr>
        <w:spacing w:after="160" w:line="259" w:lineRule="auto"/>
        <w:rPr>
          <w:rStyle w:val="None"/>
          <w:rFonts w:ascii="Times New Roman" w:eastAsiaTheme="majorEastAsia" w:hAnsi="Times New Roman"/>
          <w:lang w:val="de-DE"/>
        </w:rPr>
      </w:pPr>
      <w:r>
        <w:rPr>
          <w:rStyle w:val="None"/>
          <w:rFonts w:ascii="Times New Roman" w:eastAsiaTheme="majorEastAsia" w:hAnsi="Times New Roman"/>
          <w:lang w:val="de-DE"/>
        </w:rPr>
        <w:br w:type="page"/>
      </w:r>
    </w:p>
    <w:p w14:paraId="039229B8" w14:textId="63DB945C" w:rsidR="00AC7D90" w:rsidRPr="008752E7" w:rsidRDefault="00CB11FC" w:rsidP="008752E7">
      <w:pPr>
        <w:pStyle w:val="Heading1"/>
        <w:spacing w:line="480" w:lineRule="auto"/>
        <w:jc w:val="center"/>
        <w:rPr>
          <w:rStyle w:val="None"/>
          <w:rFonts w:cs="Arial"/>
          <w:color w:val="auto"/>
          <w:sz w:val="24"/>
          <w:szCs w:val="24"/>
          <w:lang w:val="de-DE"/>
        </w:rPr>
      </w:pPr>
      <w:bookmarkStart w:id="14" w:name="_Toc169279169"/>
      <w:r w:rsidRPr="008752E7">
        <w:rPr>
          <w:rStyle w:val="None"/>
          <w:rFonts w:ascii="Times New Roman" w:hAnsi="Times New Roman" w:cs="Times New Roman"/>
          <w:b/>
          <w:bCs/>
          <w:color w:val="auto"/>
          <w:sz w:val="24"/>
          <w:szCs w:val="24"/>
        </w:rPr>
        <w:lastRenderedPageBreak/>
        <w:t xml:space="preserve">CHAPTER </w:t>
      </w:r>
      <w:r w:rsidR="00287C65">
        <w:rPr>
          <w:rStyle w:val="None"/>
          <w:rFonts w:ascii="Times New Roman" w:hAnsi="Times New Roman" w:cs="Times New Roman"/>
          <w:b/>
          <w:bCs/>
          <w:color w:val="auto"/>
          <w:sz w:val="24"/>
          <w:szCs w:val="24"/>
        </w:rPr>
        <w:t>2</w:t>
      </w:r>
      <w:r w:rsidR="008752E7">
        <w:rPr>
          <w:rStyle w:val="None"/>
          <w:rFonts w:ascii="Times New Roman" w:hAnsi="Times New Roman" w:cs="Times New Roman"/>
          <w:b/>
          <w:bCs/>
          <w:color w:val="auto"/>
          <w:sz w:val="24"/>
          <w:szCs w:val="24"/>
        </w:rPr>
        <w:br/>
      </w:r>
      <w:r w:rsidR="00F25CEF" w:rsidRPr="008752E7">
        <w:rPr>
          <w:rStyle w:val="None"/>
          <w:rFonts w:ascii="Times New Roman" w:hAnsi="Times New Roman" w:cs="Times New Roman"/>
          <w:b/>
          <w:bCs/>
          <w:color w:val="auto"/>
          <w:sz w:val="24"/>
          <w:szCs w:val="24"/>
        </w:rPr>
        <w:t>VIOLENCE AND LAUGHTER:</w:t>
      </w:r>
      <w:r w:rsidR="008752E7">
        <w:rPr>
          <w:rStyle w:val="None"/>
          <w:rFonts w:ascii="Times New Roman" w:hAnsi="Times New Roman" w:cs="Times New Roman"/>
          <w:b/>
          <w:bCs/>
          <w:color w:val="auto"/>
          <w:sz w:val="24"/>
          <w:szCs w:val="24"/>
        </w:rPr>
        <w:br/>
      </w:r>
      <w:r w:rsidRPr="008752E7">
        <w:rPr>
          <w:rStyle w:val="None"/>
          <w:rFonts w:ascii="Times New Roman" w:hAnsi="Times New Roman" w:cs="Times New Roman"/>
          <w:b/>
          <w:bCs/>
          <w:color w:val="auto"/>
          <w:sz w:val="24"/>
          <w:szCs w:val="24"/>
        </w:rPr>
        <w:t>JOHN ROLLIN RIDGE AND OLD SOUTHWEST HUMOR</w:t>
      </w:r>
      <w:bookmarkEnd w:id="14"/>
    </w:p>
    <w:p w14:paraId="6919F3E4" w14:textId="167A9066" w:rsidR="00AC7D90" w:rsidRDefault="00AC7D90" w:rsidP="00AC7D90">
      <w:pPr>
        <w:pStyle w:val="Body"/>
        <w:spacing w:line="480" w:lineRule="auto"/>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The</w:t>
      </w:r>
      <w:proofErr w:type="gramEnd"/>
      <w:r>
        <w:rPr>
          <w:rFonts w:ascii="Times New Roman" w:hAnsi="Times New Roman"/>
          <w:sz w:val="24"/>
          <w:szCs w:val="24"/>
        </w:rPr>
        <w:t xml:space="preserve"> fact has hardly been recognized, but Cherokee writer John Rollin Ridge’s 1854 novel </w:t>
      </w:r>
      <w:r>
        <w:rPr>
          <w:rFonts w:ascii="Times New Roman" w:hAnsi="Times New Roman"/>
          <w:i/>
          <w:iCs/>
          <w:sz w:val="24"/>
          <w:szCs w:val="24"/>
        </w:rPr>
        <w:t xml:space="preserve">The Life and Adventures of Joaquin Murieta, The Celebrated California Bandit </w:t>
      </w:r>
      <w:r>
        <w:rPr>
          <w:rFonts w:ascii="Times New Roman" w:hAnsi="Times New Roman"/>
          <w:sz w:val="24"/>
          <w:szCs w:val="24"/>
        </w:rPr>
        <w:t xml:space="preserve">is often very funny. The novel is a fictionalized account of the life of Joaquin Murieta, a quasi-legendary figure in California history, and follows Murieta’s journey from a peaceful miner to a notorious bandit who seeks revenge for the injustices inflicted upon him and his fellow Mexican immigrants by American settlers. Though </w:t>
      </w:r>
      <w:r>
        <w:rPr>
          <w:rFonts w:ascii="Times New Roman" w:hAnsi="Times New Roman"/>
          <w:i/>
          <w:iCs/>
          <w:sz w:val="24"/>
          <w:szCs w:val="24"/>
        </w:rPr>
        <w:t xml:space="preserve">Joaquin Murieta </w:t>
      </w:r>
      <w:r>
        <w:rPr>
          <w:rFonts w:ascii="Times New Roman" w:hAnsi="Times New Roman"/>
          <w:sz w:val="24"/>
          <w:szCs w:val="24"/>
        </w:rPr>
        <w:t xml:space="preserve">is known for its sensationalized depictions of violence, several moments of laughter interrupt the novel’s “parade of scenes of dismemberings, shootings, and throat-slittings” (Rifkin 29-30). Sometimes these moments add levity to the drama. In one such instance Murieta, having escaped Harry Love’s California Rangers only to fall into the trap set by the Indigenous Tejons, “burst out in a loud laugh at his ridiculous position” (Ridge 38). In other moments, Murieta’s laughter celebrates his superior cunning, as when he successfully disguises himself to falsely testify on behalf of his comrade in court (94-6). </w:t>
      </w:r>
    </w:p>
    <w:p w14:paraId="23AE5735" w14:textId="77777777" w:rsidR="00AC7D90" w:rsidRDefault="00AC7D90" w:rsidP="00AC7D90">
      <w:pPr>
        <w:pStyle w:val="Body"/>
        <w:spacing w:line="480" w:lineRule="auto"/>
        <w:rPr>
          <w:rFonts w:ascii="Times New Roman" w:hAnsi="Times New Roman"/>
          <w:sz w:val="24"/>
          <w:szCs w:val="24"/>
        </w:rPr>
      </w:pPr>
      <w:r>
        <w:rPr>
          <w:rStyle w:val="None"/>
          <w:rFonts w:ascii="Times New Roman" w:hAnsi="Times New Roman"/>
          <w:sz w:val="24"/>
          <w:szCs w:val="24"/>
        </w:rPr>
        <w:tab/>
        <w:t xml:space="preserve">Humorous moments in </w:t>
      </w:r>
      <w:r>
        <w:rPr>
          <w:rStyle w:val="None"/>
          <w:rFonts w:ascii="Times New Roman" w:hAnsi="Times New Roman"/>
        </w:rPr>
        <w:t xml:space="preserve"> </w:t>
      </w:r>
      <w:r>
        <w:rPr>
          <w:rStyle w:val="None"/>
          <w:rFonts w:ascii="Times New Roman" w:hAnsi="Times New Roman"/>
          <w:i/>
          <w:iCs/>
        </w:rPr>
        <w:t>Joaquin</w:t>
      </w:r>
      <w:r>
        <w:rPr>
          <w:rStyle w:val="None"/>
          <w:rFonts w:ascii="Times New Roman" w:hAnsi="Times New Roman"/>
          <w:i/>
          <w:iCs/>
          <w:lang w:val="es-ES_tradnl"/>
        </w:rPr>
        <w:t xml:space="preserve"> </w:t>
      </w:r>
      <w:r w:rsidRPr="004D5FAF">
        <w:rPr>
          <w:rStyle w:val="None"/>
          <w:rFonts w:ascii="Times New Roman" w:hAnsi="Times New Roman"/>
          <w:i/>
          <w:iCs/>
          <w:lang w:val="es-ES_tradnl"/>
        </w:rPr>
        <w:t>Murieta</w:t>
      </w:r>
      <w:r>
        <w:rPr>
          <w:rStyle w:val="None"/>
          <w:rFonts w:ascii="Times New Roman" w:hAnsi="Times New Roman"/>
          <w:lang w:val="es-ES_tradnl"/>
        </w:rPr>
        <w:t xml:space="preserve"> </w:t>
      </w:r>
      <w:r>
        <w:rPr>
          <w:rStyle w:val="None"/>
          <w:rFonts w:ascii="Times New Roman" w:hAnsi="Times New Roman"/>
        </w:rPr>
        <w:t>reveal the ways that the novel</w:t>
      </w:r>
      <w:r>
        <w:rPr>
          <w:rStyle w:val="None"/>
          <w:rFonts w:ascii="Times New Roman" w:hAnsi="Times New Roman"/>
          <w:sz w:val="24"/>
          <w:szCs w:val="24"/>
        </w:rPr>
        <w:t>’s politics</w:t>
      </w:r>
      <w:r>
        <w:rPr>
          <w:rStyle w:val="None"/>
          <w:rFonts w:ascii="Times New Roman" w:hAnsi="Times New Roman"/>
        </w:rPr>
        <w:t xml:space="preserve"> </w:t>
      </w:r>
      <w:r>
        <w:rPr>
          <w:rStyle w:val="None"/>
          <w:rFonts w:ascii="Times New Roman" w:hAnsi="Times New Roman"/>
          <w:sz w:val="24"/>
          <w:szCs w:val="24"/>
        </w:rPr>
        <w:t>are</w:t>
      </w:r>
      <w:r>
        <w:rPr>
          <w:rStyle w:val="None"/>
          <w:rFonts w:ascii="Times New Roman" w:hAnsi="Times New Roman"/>
        </w:rPr>
        <w:t xml:space="preserve"> </w:t>
      </w:r>
      <w:r>
        <w:rPr>
          <w:rStyle w:val="None"/>
          <w:rFonts w:ascii="Times New Roman" w:hAnsi="Times New Roman"/>
          <w:sz w:val="24"/>
          <w:szCs w:val="24"/>
        </w:rPr>
        <w:t>informed</w:t>
      </w:r>
      <w:r>
        <w:rPr>
          <w:rStyle w:val="None"/>
          <w:rFonts w:ascii="Times New Roman" w:hAnsi="Times New Roman"/>
        </w:rPr>
        <w:t xml:space="preserve"> by </w:t>
      </w:r>
      <w:r>
        <w:rPr>
          <w:rFonts w:ascii="Times New Roman" w:hAnsi="Times New Roman"/>
          <w:sz w:val="24"/>
          <w:szCs w:val="24"/>
        </w:rPr>
        <w:t xml:space="preserve">Cherokee values of </w:t>
      </w:r>
      <w:r>
        <w:rPr>
          <w:rStyle w:val="None"/>
          <w:rFonts w:ascii="Times New Roman" w:hAnsi="Times New Roman"/>
        </w:rPr>
        <w:t>cooperation, mutual obligation, justice, and community well-being. That is, Ridge’s novel is centered by an Indigenous ethical and political philosophy that the l</w:t>
      </w:r>
      <w:r>
        <w:rPr>
          <w:rFonts w:ascii="Times New Roman" w:hAnsi="Times New Roman"/>
          <w:sz w:val="24"/>
          <w:szCs w:val="24"/>
        </w:rPr>
        <w:t xml:space="preserve">iterary theorist Jace Weaver (Cherokee) calls communitism. Communitism, Weaver </w:t>
      </w:r>
      <w:r>
        <w:rPr>
          <w:rFonts w:ascii="Times New Roman" w:hAnsi="Times New Roman"/>
          <w:sz w:val="24"/>
          <w:szCs w:val="24"/>
        </w:rPr>
        <w:lastRenderedPageBreak/>
        <w:t>writes, is “the valorization of Native community and values and a commitment to them” (45). It describes a communal approach to life and society found with many Native cultures in which the community is viewed as a holistic entity where individuals are deeply interconnected with each other and with the land. Throughout the novel, members of Murieta’s gang demonstrate their commitment to their “outlaw” community as a whole, prioritizing the well-being of the group over individual interests. Furthermore, a communistic reading shows how the novel aligns individualism with a Western worldview that valorizes individual rights, private property, and economic growth over the maintenance of relationships within the community. My argument in this chapter thus offers a different perspective on the novel from those which emphasize its apparent celebration of Ridge’s supposed American boosterism and Murieta’s romantic individualism.</w:t>
      </w:r>
      <w:r>
        <w:rPr>
          <w:rStyle w:val="FootnoteReference"/>
          <w:rFonts w:ascii="Times New Roman" w:hAnsi="Times New Roman"/>
          <w:sz w:val="24"/>
          <w:szCs w:val="24"/>
        </w:rPr>
        <w:footnoteReference w:id="23"/>
      </w:r>
    </w:p>
    <w:p w14:paraId="72545CE0" w14:textId="77777777" w:rsidR="00AC7D90" w:rsidRPr="00453860" w:rsidRDefault="00AC7D90" w:rsidP="00AC7D90">
      <w:pPr>
        <w:pStyle w:val="Body"/>
        <w:spacing w:line="480" w:lineRule="auto"/>
        <w:rPr>
          <w:rFonts w:eastAsia="Times New Roman"/>
        </w:rPr>
      </w:pPr>
      <w:r>
        <w:rPr>
          <w:rFonts w:eastAsia="Times New Roman"/>
        </w:rPr>
        <w:tab/>
      </w:r>
      <w:r>
        <w:rPr>
          <w:rFonts w:ascii="Times New Roman" w:eastAsia="Times New Roman" w:hAnsi="Times New Roman" w:cs="Times New Roman"/>
          <w:sz w:val="24"/>
          <w:szCs w:val="24"/>
        </w:rPr>
        <w:t xml:space="preserve">While the humor of </w:t>
      </w:r>
      <w:r>
        <w:rPr>
          <w:rFonts w:ascii="Times New Roman" w:eastAsia="Times New Roman" w:hAnsi="Times New Roman" w:cs="Times New Roman"/>
          <w:i/>
          <w:iCs/>
          <w:sz w:val="24"/>
          <w:szCs w:val="24"/>
        </w:rPr>
        <w:t>Joaquin Murieta</w:t>
      </w:r>
      <w:r>
        <w:rPr>
          <w:rFonts w:ascii="Times New Roman" w:eastAsia="Times New Roman" w:hAnsi="Times New Roman" w:cs="Times New Roman"/>
          <w:sz w:val="24"/>
          <w:szCs w:val="24"/>
        </w:rPr>
        <w:t xml:space="preserve"> indicates that novel’s proactive commitment to Native community and sovereignty, the humor of the </w:t>
      </w:r>
      <w:r>
        <w:rPr>
          <w:rFonts w:ascii="Times New Roman" w:hAnsi="Times New Roman"/>
          <w:sz w:val="24"/>
          <w:szCs w:val="24"/>
          <w:shd w:val="clear" w:color="auto" w:fill="FFFFFF"/>
        </w:rPr>
        <w:t>Old Southwest signifies the opposite: the erasure of Native peoples</w:t>
      </w:r>
      <w:r w:rsidRPr="006C1EA1">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and the </w:t>
      </w:r>
      <w:r w:rsidRPr="006C1EA1">
        <w:rPr>
          <w:rFonts w:ascii="Times New Roman" w:hAnsi="Times New Roman"/>
          <w:sz w:val="24"/>
          <w:szCs w:val="24"/>
          <w:shd w:val="clear" w:color="auto" w:fill="FFFFFF"/>
        </w:rPr>
        <w:t>naturaliz</w:t>
      </w:r>
      <w:r>
        <w:rPr>
          <w:rFonts w:ascii="Times New Roman" w:hAnsi="Times New Roman"/>
          <w:sz w:val="24"/>
          <w:szCs w:val="24"/>
          <w:shd w:val="clear" w:color="auto" w:fill="FFFFFF"/>
        </w:rPr>
        <w:t>ation of</w:t>
      </w:r>
      <w:r w:rsidRPr="006C1EA1">
        <w:rPr>
          <w:rFonts w:ascii="Times New Roman" w:hAnsi="Times New Roman"/>
          <w:sz w:val="24"/>
          <w:szCs w:val="24"/>
          <w:shd w:val="clear" w:color="auto" w:fill="FFFFFF"/>
        </w:rPr>
        <w:t xml:space="preserve"> white </w:t>
      </w:r>
      <w:r>
        <w:rPr>
          <w:rFonts w:ascii="Times New Roman" w:hAnsi="Times New Roman"/>
          <w:sz w:val="24"/>
          <w:szCs w:val="24"/>
          <w:shd w:val="clear" w:color="auto" w:fill="FFFFFF"/>
        </w:rPr>
        <w:t xml:space="preserve">land claims to </w:t>
      </w:r>
      <w:proofErr w:type="spellStart"/>
      <w:r w:rsidRPr="006C1EA1">
        <w:rPr>
          <w:rFonts w:ascii="Times New Roman" w:hAnsi="Times New Roman"/>
          <w:sz w:val="24"/>
          <w:szCs w:val="24"/>
          <w:shd w:val="clear" w:color="auto" w:fill="FFFFFF"/>
        </w:rPr>
        <w:t>stolen</w:t>
      </w:r>
      <w:proofErr w:type="spellEnd"/>
      <w:r w:rsidRPr="006C1EA1">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Native</w:t>
      </w:r>
      <w:r w:rsidRPr="006C1EA1">
        <w:rPr>
          <w:rFonts w:ascii="Times New Roman" w:hAnsi="Times New Roman"/>
          <w:sz w:val="24"/>
          <w:szCs w:val="24"/>
          <w:shd w:val="clear" w:color="auto" w:fill="FFFFFF"/>
        </w:rPr>
        <w:t xml:space="preserve"> lands</w:t>
      </w:r>
      <w:r>
        <w:rPr>
          <w:rFonts w:ascii="Times New Roman" w:hAnsi="Times New Roman"/>
          <w:sz w:val="24"/>
          <w:szCs w:val="24"/>
          <w:shd w:val="clear" w:color="auto" w:fill="FFFFFF"/>
        </w:rPr>
        <w:t xml:space="preserve">. “Old Southwest Humor” names a U.S. Southern literary movement that emerged in the 1830s and continued into the late 1860s, characterized by its satirical, often exaggerated, portrayal of rural Southern life, culture, and characters. Initially published in Southern regional newspapers, the sketches and tall tales of Southern humorists like Augustus Baldwin Longstreet, Johnson Jones Hooper, and George </w:t>
      </w:r>
      <w:r>
        <w:rPr>
          <w:rFonts w:ascii="Times New Roman" w:hAnsi="Times New Roman"/>
          <w:sz w:val="24"/>
          <w:szCs w:val="24"/>
          <w:shd w:val="clear" w:color="auto" w:fill="FFFFFF"/>
        </w:rPr>
        <w:lastRenderedPageBreak/>
        <w:t xml:space="preserve">Washington Harris circulated nationally through sporting journals like William T. Porter’s </w:t>
      </w:r>
      <w:r>
        <w:rPr>
          <w:rFonts w:ascii="Times New Roman" w:hAnsi="Times New Roman"/>
          <w:i/>
          <w:iCs/>
          <w:sz w:val="24"/>
          <w:szCs w:val="24"/>
          <w:shd w:val="clear" w:color="auto" w:fill="FFFFFF"/>
        </w:rPr>
        <w:t>Spirit of the Times</w:t>
      </w:r>
      <w:r>
        <w:rPr>
          <w:rFonts w:ascii="Times New Roman" w:hAnsi="Times New Roman"/>
          <w:sz w:val="24"/>
          <w:szCs w:val="24"/>
          <w:shd w:val="clear" w:color="auto" w:fill="FFFFFF"/>
        </w:rPr>
        <w:t xml:space="preserve">. Though Porter and the humorists he published touted their writing as quasi-anthropological social documents that sought to “record a way of life before it disappeared” (3) James H. Justus argues that Southern humor “is as artful a distortion of the </w:t>
      </w:r>
      <w:r>
        <w:rPr>
          <w:rFonts w:ascii="Times New Roman" w:hAnsi="Times New Roman"/>
          <w:i/>
          <w:iCs/>
          <w:sz w:val="24"/>
          <w:szCs w:val="24"/>
          <w:shd w:val="clear" w:color="auto" w:fill="FFFFFF"/>
        </w:rPr>
        <w:t xml:space="preserve">way things were </w:t>
      </w:r>
      <w:r>
        <w:rPr>
          <w:rFonts w:ascii="Times New Roman" w:hAnsi="Times New Roman"/>
          <w:sz w:val="24"/>
          <w:szCs w:val="24"/>
          <w:shd w:val="clear" w:color="auto" w:fill="FFFFFF"/>
        </w:rPr>
        <w:t xml:space="preserve">as plantation romance” (16). Like that mode, which used racial tropes to broadcast a cultural fantasy of racial harmony under white supremacy, the Southern humorists’ “distortions” of the region ignored Native nations’ enduring claims to the lands now claimed as Southern states’ territory by erasing Indigenous presence from their Southern landscapes and naturalizing white settlers’ presence in the land. Justus links Southern humor’s presentation of ahistorical whiteness explicitly to the recent history of Removal. This literature “depicts the people and places of the newly resettled Indian lands of the Mississippi Valley with scarcely a hint of historical development,” he </w:t>
      </w:r>
      <w:proofErr w:type="gramStart"/>
      <w:r>
        <w:rPr>
          <w:rFonts w:ascii="Times New Roman" w:hAnsi="Times New Roman"/>
          <w:sz w:val="24"/>
          <w:szCs w:val="24"/>
          <w:shd w:val="clear" w:color="auto" w:fill="FFFFFF"/>
        </w:rPr>
        <w:t>writes;</w:t>
      </w:r>
      <w:proofErr w:type="gramEnd"/>
      <w:r>
        <w:rPr>
          <w:rFonts w:ascii="Times New Roman" w:hAnsi="Times New Roman"/>
          <w:sz w:val="24"/>
          <w:szCs w:val="24"/>
          <w:shd w:val="clear" w:color="auto" w:fill="FFFFFF"/>
        </w:rPr>
        <w:t xml:space="preserve"> “the humor unfolds as a kind of </w:t>
      </w:r>
      <w:r>
        <w:rPr>
          <w:rFonts w:ascii="Times New Roman" w:hAnsi="Times New Roman"/>
          <w:i/>
          <w:iCs/>
          <w:sz w:val="24"/>
          <w:szCs w:val="24"/>
          <w:shd w:val="clear" w:color="auto" w:fill="FFFFFF"/>
        </w:rPr>
        <w:t>found condition</w:t>
      </w:r>
      <w:r>
        <w:rPr>
          <w:rFonts w:ascii="Times New Roman" w:hAnsi="Times New Roman"/>
          <w:sz w:val="24"/>
          <w:szCs w:val="24"/>
          <w:shd w:val="clear" w:color="auto" w:fill="FFFFFF"/>
        </w:rPr>
        <w:t>” (7). In this light, the Southern humorists’ erasure of Native presence from the South mirrors in literature what the State sought to accomplish in reality: “</w:t>
      </w:r>
      <w:r w:rsidRPr="00EA286F">
        <w:rPr>
          <w:rFonts w:ascii="Times New Roman" w:hAnsi="Times New Roman" w:cs="Times New Roman"/>
          <w:sz w:val="24"/>
          <w:szCs w:val="24"/>
        </w:rPr>
        <w:t>the dissolution of native societies</w:t>
      </w:r>
      <w:r>
        <w:rPr>
          <w:rFonts w:ascii="Times New Roman" w:hAnsi="Times New Roman" w:cs="Times New Roman"/>
          <w:sz w:val="24"/>
          <w:szCs w:val="24"/>
        </w:rPr>
        <w:t>” and the simultaneous</w:t>
      </w:r>
      <w:r w:rsidRPr="00EA286F">
        <w:rPr>
          <w:rFonts w:ascii="Times New Roman" w:hAnsi="Times New Roman" w:cs="Times New Roman"/>
          <w:sz w:val="24"/>
          <w:szCs w:val="24"/>
        </w:rPr>
        <w:t xml:space="preserve"> </w:t>
      </w:r>
      <w:r>
        <w:rPr>
          <w:rFonts w:ascii="Times New Roman" w:hAnsi="Times New Roman" w:cs="Times New Roman"/>
          <w:sz w:val="24"/>
          <w:szCs w:val="24"/>
        </w:rPr>
        <w:t>“</w:t>
      </w:r>
      <w:r w:rsidRPr="00EA286F">
        <w:rPr>
          <w:rFonts w:ascii="Times New Roman" w:hAnsi="Times New Roman" w:cs="Times New Roman"/>
          <w:sz w:val="24"/>
          <w:szCs w:val="24"/>
        </w:rPr>
        <w:t>erect</w:t>
      </w:r>
      <w:r>
        <w:rPr>
          <w:rFonts w:ascii="Times New Roman" w:hAnsi="Times New Roman" w:cs="Times New Roman"/>
          <w:sz w:val="24"/>
          <w:szCs w:val="24"/>
        </w:rPr>
        <w:t>[ion of]</w:t>
      </w:r>
      <w:r w:rsidRPr="00EA286F">
        <w:rPr>
          <w:rFonts w:ascii="Times New Roman" w:hAnsi="Times New Roman" w:cs="Times New Roman"/>
          <w:sz w:val="24"/>
          <w:szCs w:val="24"/>
        </w:rPr>
        <w:t xml:space="preserve"> a new colonial society on the expropriated land base</w:t>
      </w:r>
      <w:r>
        <w:rPr>
          <w:rFonts w:ascii="Times New Roman" w:hAnsi="Times New Roman" w:cs="Times New Roman"/>
          <w:sz w:val="24"/>
          <w:szCs w:val="24"/>
        </w:rPr>
        <w:t xml:space="preserve">” (Wolfe 388). </w:t>
      </w:r>
      <w:r>
        <w:rPr>
          <w:rFonts w:ascii="Times New Roman" w:hAnsi="Times New Roman"/>
          <w:sz w:val="24"/>
          <w:szCs w:val="24"/>
          <w:shd w:val="clear" w:color="auto" w:fill="FFFFFF"/>
        </w:rPr>
        <w:t xml:space="preserve">It is, perhaps, no coincidence that the beginnings of Old Southwestern Humor coincide with the United States’s formal adoption of Removal policy in the 1830s.  </w:t>
      </w:r>
    </w:p>
    <w:p w14:paraId="297BE84D" w14:textId="1BF88FA4" w:rsidR="00AC7D90" w:rsidRDefault="00AC7D90" w:rsidP="00AC7D90">
      <w:pPr>
        <w:pStyle w:val="Body"/>
        <w:spacing w:line="480" w:lineRule="auto"/>
        <w:rPr>
          <w:shd w:val="clear" w:color="auto" w:fill="FFFFFF"/>
        </w:rPr>
      </w:pPr>
      <w:r>
        <w:rPr>
          <w:shd w:val="clear" w:color="auto" w:fill="FFFFFF"/>
        </w:rPr>
        <w:tab/>
      </w:r>
      <w:r w:rsidRPr="00360BE2">
        <w:rPr>
          <w:rFonts w:ascii="Times New Roman" w:hAnsi="Times New Roman" w:cs="Times New Roman"/>
          <w:sz w:val="24"/>
          <w:szCs w:val="24"/>
          <w:shd w:val="clear" w:color="auto" w:fill="FFFFFF"/>
        </w:rPr>
        <w:t xml:space="preserve">In this chapter, I compare the communitism of </w:t>
      </w:r>
      <w:r w:rsidRPr="00360BE2">
        <w:rPr>
          <w:rFonts w:ascii="Times New Roman" w:hAnsi="Times New Roman" w:cs="Times New Roman"/>
          <w:i/>
          <w:iCs/>
          <w:sz w:val="24"/>
          <w:szCs w:val="24"/>
          <w:shd w:val="clear" w:color="auto" w:fill="FFFFFF"/>
        </w:rPr>
        <w:t>Joaquin Murieta</w:t>
      </w:r>
      <w:r w:rsidRPr="00360BE2">
        <w:rPr>
          <w:rFonts w:ascii="Times New Roman" w:hAnsi="Times New Roman" w:cs="Times New Roman"/>
          <w:sz w:val="24"/>
          <w:szCs w:val="24"/>
          <w:shd w:val="clear" w:color="auto" w:fill="FFFFFF"/>
        </w:rPr>
        <w:t xml:space="preserve">, visible in the novel’s  bitter comic vision of individuality and heroism, against the contemporary </w:t>
      </w:r>
      <w:r w:rsidRPr="00360BE2">
        <w:rPr>
          <w:rFonts w:ascii="Times New Roman" w:hAnsi="Times New Roman" w:cs="Times New Roman"/>
          <w:sz w:val="24"/>
          <w:szCs w:val="24"/>
          <w:shd w:val="clear" w:color="auto" w:fill="FFFFFF"/>
        </w:rPr>
        <w:lastRenderedPageBreak/>
        <w:t xml:space="preserve">ideological establishment of the white settler-state in Old Southwest Humor, represented by George Washington Harris’s </w:t>
      </w:r>
      <w:r w:rsidRPr="00360BE2">
        <w:rPr>
          <w:rFonts w:ascii="Times New Roman" w:hAnsi="Times New Roman" w:cs="Times New Roman"/>
          <w:i/>
          <w:iCs/>
          <w:sz w:val="24"/>
          <w:szCs w:val="24"/>
          <w:shd w:val="clear" w:color="auto" w:fill="FFFFFF"/>
        </w:rPr>
        <w:t>Sut Lovingood: Yarns Spun by a “</w:t>
      </w:r>
      <w:proofErr w:type="spellStart"/>
      <w:r w:rsidRPr="00360BE2">
        <w:rPr>
          <w:rFonts w:ascii="Times New Roman" w:hAnsi="Times New Roman" w:cs="Times New Roman"/>
          <w:i/>
          <w:iCs/>
          <w:sz w:val="24"/>
          <w:szCs w:val="24"/>
          <w:shd w:val="clear" w:color="auto" w:fill="FFFFFF"/>
        </w:rPr>
        <w:t>Nat’ral</w:t>
      </w:r>
      <w:proofErr w:type="spellEnd"/>
      <w:r w:rsidRPr="00360BE2">
        <w:rPr>
          <w:rFonts w:ascii="Times New Roman" w:hAnsi="Times New Roman" w:cs="Times New Roman"/>
          <w:i/>
          <w:iCs/>
          <w:sz w:val="24"/>
          <w:szCs w:val="24"/>
          <w:shd w:val="clear" w:color="auto" w:fill="FFFFFF"/>
        </w:rPr>
        <w:t xml:space="preserve"> Born </w:t>
      </w:r>
      <w:proofErr w:type="spellStart"/>
      <w:r w:rsidRPr="00360BE2">
        <w:rPr>
          <w:rFonts w:ascii="Times New Roman" w:hAnsi="Times New Roman" w:cs="Times New Roman"/>
          <w:i/>
          <w:iCs/>
          <w:sz w:val="24"/>
          <w:szCs w:val="24"/>
          <w:shd w:val="clear" w:color="auto" w:fill="FFFFFF"/>
        </w:rPr>
        <w:t>Durn’d</w:t>
      </w:r>
      <w:proofErr w:type="spellEnd"/>
      <w:r w:rsidRPr="00360BE2">
        <w:rPr>
          <w:rFonts w:ascii="Times New Roman" w:hAnsi="Times New Roman" w:cs="Times New Roman"/>
          <w:i/>
          <w:iCs/>
          <w:sz w:val="24"/>
          <w:szCs w:val="24"/>
          <w:shd w:val="clear" w:color="auto" w:fill="FFFFFF"/>
        </w:rPr>
        <w:t xml:space="preserve"> Fool” </w:t>
      </w:r>
      <w:r w:rsidRPr="00360BE2">
        <w:rPr>
          <w:rFonts w:ascii="Times New Roman" w:hAnsi="Times New Roman" w:cs="Times New Roman"/>
          <w:sz w:val="24"/>
          <w:szCs w:val="24"/>
          <w:shd w:val="clear" w:color="auto" w:fill="FFFFFF"/>
        </w:rPr>
        <w:t>(1867). Though contemporaries, Ridge</w:t>
      </w:r>
      <w:r>
        <w:rPr>
          <w:rFonts w:ascii="Times New Roman" w:hAnsi="Times New Roman"/>
          <w:sz w:val="24"/>
          <w:szCs w:val="24"/>
          <w:shd w:val="clear" w:color="auto" w:fill="FFFFFF"/>
        </w:rPr>
        <w:t xml:space="preserve"> (1827-1867) and Harris (1814-1869)</w:t>
      </w:r>
      <w:r w:rsidRPr="003C6D4E">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have been </w:t>
      </w:r>
      <w:r w:rsidRPr="003C6D4E">
        <w:rPr>
          <w:rFonts w:ascii="Times New Roman" w:hAnsi="Times New Roman"/>
          <w:sz w:val="24"/>
          <w:szCs w:val="24"/>
          <w:shd w:val="clear" w:color="auto" w:fill="FFFFFF"/>
        </w:rPr>
        <w:t>separated by academic distinctions of regionalization and periodization</w:t>
      </w:r>
      <w:r>
        <w:rPr>
          <w:rFonts w:ascii="Times New Roman" w:hAnsi="Times New Roman"/>
          <w:sz w:val="24"/>
          <w:szCs w:val="24"/>
          <w:shd w:val="clear" w:color="auto" w:fill="FFFFFF"/>
        </w:rPr>
        <w:t>, the former associated with California literature, the dime novel tradition, and the development of the Western genre and the latter with Southern literature. However, grounds for comparison are suggested by Justus, who explains that some literary conventions that “became familiar moments in the later ‘western’…have their prequels in the humorous writing of the Old Southwest” (7). More importantly, Ridge’s novel and Harris’s Sut stories</w:t>
      </w:r>
      <w:r w:rsidRPr="003C6D4E">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are connected by the historical and continuing presence of Cherokees in Harris’s home state of Tennessee and its contested status as unlawfully occupied Cherokee homelands. </w:t>
      </w:r>
    </w:p>
    <w:p w14:paraId="118B8D3E" w14:textId="77777777" w:rsidR="00AC7D90" w:rsidRPr="00AC7D90" w:rsidRDefault="00AC7D90" w:rsidP="00AC7D90">
      <w:pPr>
        <w:spacing w:line="480" w:lineRule="auto"/>
        <w:rPr>
          <w:rFonts w:ascii="Times New Roman" w:hAnsi="Times New Roman" w:cs="Times New Roman"/>
          <w:shd w:val="clear" w:color="auto" w:fill="FFFFFF"/>
        </w:rPr>
      </w:pPr>
      <w:r>
        <w:rPr>
          <w:shd w:val="clear" w:color="auto" w:fill="FFFFFF"/>
        </w:rPr>
        <w:tab/>
      </w:r>
      <w:r w:rsidRPr="00AC7D90">
        <w:rPr>
          <w:rFonts w:ascii="Times New Roman" w:hAnsi="Times New Roman" w:cs="Times New Roman"/>
          <w:shd w:val="clear" w:color="auto" w:fill="FFFFFF"/>
        </w:rPr>
        <w:t xml:space="preserve">Gina Caison’s conceptualization of Southern ideological “red states” in </w:t>
      </w:r>
      <w:r w:rsidRPr="00AC7D90">
        <w:rPr>
          <w:rFonts w:ascii="Times New Roman" w:hAnsi="Times New Roman" w:cs="Times New Roman"/>
          <w:i/>
          <w:iCs/>
          <w:shd w:val="clear" w:color="auto" w:fill="FFFFFF"/>
        </w:rPr>
        <w:t>Red States: Indigeneity, Settler Colonialism, and Southern Studies</w:t>
      </w:r>
      <w:r w:rsidRPr="00AC7D90">
        <w:rPr>
          <w:rFonts w:ascii="Times New Roman" w:hAnsi="Times New Roman" w:cs="Times New Roman"/>
          <w:shd w:val="clear" w:color="auto" w:fill="FFFFFF"/>
        </w:rPr>
        <w:t xml:space="preserve"> (2018) provides a lens through which to understand both the ideological work of Old Southwest Humor and </w:t>
      </w:r>
      <w:r w:rsidRPr="00AC7D90">
        <w:rPr>
          <w:rFonts w:ascii="Times New Roman" w:hAnsi="Times New Roman" w:cs="Times New Roman"/>
          <w:i/>
          <w:iCs/>
          <w:shd w:val="clear" w:color="auto" w:fill="FFFFFF"/>
        </w:rPr>
        <w:t>Joaquin Murieta</w:t>
      </w:r>
      <w:r w:rsidRPr="00AC7D90">
        <w:rPr>
          <w:rFonts w:ascii="Times New Roman" w:hAnsi="Times New Roman" w:cs="Times New Roman"/>
          <w:shd w:val="clear" w:color="auto" w:fill="FFFFFF"/>
        </w:rPr>
        <w:t xml:space="preserve">’s resistance to it. In </w:t>
      </w:r>
      <w:r w:rsidRPr="00AC7D90">
        <w:rPr>
          <w:rFonts w:ascii="Times New Roman" w:hAnsi="Times New Roman" w:cs="Times New Roman"/>
          <w:i/>
          <w:iCs/>
          <w:shd w:val="clear" w:color="auto" w:fill="FFFFFF"/>
        </w:rPr>
        <w:t>Red States</w:t>
      </w:r>
      <w:r w:rsidRPr="00AC7D90">
        <w:rPr>
          <w:rFonts w:ascii="Times New Roman" w:hAnsi="Times New Roman" w:cs="Times New Roman"/>
          <w:shd w:val="clear" w:color="auto" w:fill="FFFFFF"/>
        </w:rPr>
        <w:t xml:space="preserve">, Caison argues that U.S. Southern regional and political identity has, since colonial times, been fundamentally shaped by narratives that naturalize white settlers’ affective attachment to and historical belonging in the land. “The U.S. South,” she writes, can be understood “as a set of narrative orders constructed to maintain land claims under more romantic notions of race, place, and economy” (4). Moreover, Caison demonstrates how long before nineteenth-century articulations of the Lost Cause myth, settler colonial narratives of white belonging in the </w:t>
      </w:r>
      <w:r w:rsidRPr="00AC7D90">
        <w:rPr>
          <w:rFonts w:ascii="Times New Roman" w:hAnsi="Times New Roman" w:cs="Times New Roman"/>
          <w:shd w:val="clear" w:color="auto" w:fill="FFFFFF"/>
        </w:rPr>
        <w:lastRenderedPageBreak/>
        <w:t>South centered on concepts of loss and absence, beginning with colonial writers’ strategic “absenting” of Native and English presence in the archive (34-7).</w:t>
      </w:r>
      <w:r w:rsidRPr="00AC7D90">
        <w:rPr>
          <w:rStyle w:val="FootnoteReference"/>
          <w:rFonts w:ascii="Times New Roman" w:hAnsi="Times New Roman" w:cs="Times New Roman"/>
          <w:shd w:val="clear" w:color="auto" w:fill="FFFFFF"/>
        </w:rPr>
        <w:footnoteReference w:id="24"/>
      </w:r>
      <w:r w:rsidRPr="00AC7D90">
        <w:rPr>
          <w:rFonts w:ascii="Times New Roman" w:hAnsi="Times New Roman" w:cs="Times New Roman"/>
          <w:shd w:val="clear" w:color="auto" w:fill="FFFFFF"/>
        </w:rPr>
        <w:t xml:space="preserve"> For instance, Caison argues that as debates about Removal circulated in non-Native Southern print networks in the late 1820s and 1830s, white southerners came to identify with the discursive figure of the “tragically defeated Native” as potential victims of the northern states and the federal government (124). Such a “conflation of [actual] Native and [presumptive] southern loss” ignored the presence of real Native agents who fiercely resisted Removal, including John Ridge and Elias Boudinot, and appropriate their resistance to frame their own sense of beleaguered regional exceptionalism (124) As I will show, the sketches and tall tales of Old Southwest Humorists like Augustus Baldwin Longstreet, Johnson Jones Hooper, and George Washington Harris likewise use narratives of loss and recovery in order to naturalize white Southern land claim and perpetuate paradigms of regional exceptionalism and white supremacy.</w:t>
      </w:r>
    </w:p>
    <w:p w14:paraId="31B65100" w14:textId="77777777" w:rsidR="00AC7D90" w:rsidRDefault="00AC7D90" w:rsidP="00AC7D90">
      <w:pPr>
        <w:pStyle w:val="Body"/>
        <w:spacing w:line="480" w:lineRule="auto"/>
        <w:rPr>
          <w:rStyle w:val="None"/>
          <w:rFonts w:ascii="Times New Roman" w:hAnsi="Times New Roman" w:cs="Times New Roman"/>
          <w:sz w:val="24"/>
          <w:szCs w:val="24"/>
        </w:rPr>
      </w:pPr>
      <w:r w:rsidRPr="00AC7D90">
        <w:rPr>
          <w:rStyle w:val="None"/>
          <w:rFonts w:ascii="Times New Roman" w:hAnsi="Times New Roman" w:cs="Times New Roman"/>
          <w:sz w:val="24"/>
          <w:szCs w:val="24"/>
        </w:rPr>
        <w:tab/>
      </w:r>
      <w:r w:rsidRPr="00AC7D90">
        <w:rPr>
          <w:rFonts w:ascii="Times New Roman" w:hAnsi="Times New Roman" w:cs="Times New Roman"/>
          <w:sz w:val="24"/>
          <w:szCs w:val="24"/>
          <w:shd w:val="clear" w:color="auto" w:fill="FFFFFF"/>
        </w:rPr>
        <w:t xml:space="preserve">Like the Indigenous-authored counter-narratives of the Native South Caison examines in the second half of </w:t>
      </w:r>
      <w:r w:rsidRPr="00AC7D90">
        <w:rPr>
          <w:rFonts w:ascii="Times New Roman" w:hAnsi="Times New Roman" w:cs="Times New Roman"/>
          <w:i/>
          <w:iCs/>
          <w:sz w:val="24"/>
          <w:szCs w:val="24"/>
          <w:shd w:val="clear" w:color="auto" w:fill="FFFFFF"/>
        </w:rPr>
        <w:t>Red States</w:t>
      </w:r>
      <w:r w:rsidRPr="00AC7D90">
        <w:rPr>
          <w:rFonts w:ascii="Times New Roman" w:hAnsi="Times New Roman" w:cs="Times New Roman"/>
          <w:sz w:val="24"/>
          <w:szCs w:val="24"/>
          <w:shd w:val="clear" w:color="auto" w:fill="FFFFFF"/>
        </w:rPr>
        <w:t xml:space="preserve">, </w:t>
      </w:r>
      <w:r w:rsidRPr="00AC7D90">
        <w:rPr>
          <w:rFonts w:ascii="Times New Roman" w:hAnsi="Times New Roman" w:cs="Times New Roman"/>
          <w:i/>
          <w:iCs/>
          <w:sz w:val="24"/>
          <w:szCs w:val="24"/>
          <w:shd w:val="clear" w:color="auto" w:fill="FFFFFF"/>
        </w:rPr>
        <w:t xml:space="preserve">Joaquin Murieta </w:t>
      </w:r>
      <w:r w:rsidRPr="00AC7D90">
        <w:rPr>
          <w:rFonts w:ascii="Times New Roman" w:hAnsi="Times New Roman" w:cs="Times New Roman"/>
          <w:sz w:val="24"/>
          <w:szCs w:val="24"/>
          <w:shd w:val="clear" w:color="auto" w:fill="FFFFFF"/>
        </w:rPr>
        <w:t xml:space="preserve">voices an anti-colonial critique of the largely ahistorical, romantic, and mythic narratives of U.S. identity. </w:t>
      </w:r>
      <w:r w:rsidRPr="00AC7D90">
        <w:rPr>
          <w:rStyle w:val="None"/>
          <w:rFonts w:ascii="Times New Roman" w:hAnsi="Times New Roman" w:cs="Times New Roman"/>
          <w:sz w:val="24"/>
          <w:szCs w:val="24"/>
        </w:rPr>
        <w:t xml:space="preserve">It does so through its subtle satire of </w:t>
      </w:r>
      <w:r w:rsidRPr="00AC7D90">
        <w:rPr>
          <w:rFonts w:ascii="Times New Roman" w:hAnsi="Times New Roman" w:cs="Times New Roman"/>
          <w:sz w:val="24"/>
          <w:szCs w:val="24"/>
        </w:rPr>
        <w:t xml:space="preserve">the conventions of historical romances and regional history, genres that naturalize white land claim and the settler-state’s continued occupation of </w:t>
      </w:r>
      <w:r w:rsidRPr="00AC7D90">
        <w:rPr>
          <w:rFonts w:ascii="Times New Roman" w:hAnsi="Times New Roman" w:cs="Times New Roman"/>
          <w:sz w:val="24"/>
          <w:szCs w:val="24"/>
        </w:rPr>
        <w:lastRenderedPageBreak/>
        <w:t>stolen Indigenous lands; genres, in other words,</w:t>
      </w:r>
      <w:r w:rsidRPr="00AC7D90">
        <w:rPr>
          <w:rStyle w:val="None"/>
          <w:rFonts w:ascii="Times New Roman" w:hAnsi="Times New Roman" w:cs="Times New Roman"/>
          <w:sz w:val="24"/>
          <w:szCs w:val="24"/>
        </w:rPr>
        <w:t xml:space="preserve"> that undergird the conceptual red state. My reading of </w:t>
      </w:r>
      <w:r w:rsidRPr="00AC7D90">
        <w:rPr>
          <w:rStyle w:val="None"/>
          <w:rFonts w:ascii="Times New Roman" w:hAnsi="Times New Roman" w:cs="Times New Roman"/>
          <w:i/>
          <w:iCs/>
          <w:sz w:val="24"/>
          <w:szCs w:val="24"/>
        </w:rPr>
        <w:t>Murieta</w:t>
      </w:r>
      <w:r w:rsidRPr="00AC7D90">
        <w:rPr>
          <w:rStyle w:val="None"/>
          <w:rFonts w:ascii="Times New Roman" w:hAnsi="Times New Roman" w:cs="Times New Roman"/>
          <w:sz w:val="24"/>
          <w:szCs w:val="24"/>
        </w:rPr>
        <w:t xml:space="preserve">’s satire builds on Lori </w:t>
      </w:r>
      <w:proofErr w:type="spellStart"/>
      <w:r w:rsidRPr="00AC7D90">
        <w:rPr>
          <w:rStyle w:val="None"/>
          <w:rFonts w:ascii="Times New Roman" w:hAnsi="Times New Roman" w:cs="Times New Roman"/>
          <w:sz w:val="24"/>
          <w:szCs w:val="24"/>
        </w:rPr>
        <w:t>Merish’s</w:t>
      </w:r>
      <w:proofErr w:type="spellEnd"/>
      <w:r w:rsidRPr="00AC7D90">
        <w:rPr>
          <w:rStyle w:val="None"/>
          <w:rFonts w:ascii="Times New Roman" w:hAnsi="Times New Roman" w:cs="Times New Roman"/>
          <w:sz w:val="24"/>
          <w:szCs w:val="24"/>
        </w:rPr>
        <w:t xml:space="preserve"> reading of the novel, in which she claims that “By textualizing an oral legend…Ridge intervenes in the process of history writing as part of what Vizenor terms the ‘literature of dominance’” (35, emphasis mine). Anishinaabe literary critic Gerald Vizenor’s term “literature of dominance” describes the archive of settler colonial culture productions in which actual, historical, agentive Indigenous people are rendered absent via the figure of the </w:t>
      </w:r>
      <w:r w:rsidRPr="00AC7D90">
        <w:rPr>
          <w:rStyle w:val="None"/>
          <w:rFonts w:ascii="Times New Roman" w:hAnsi="Times New Roman" w:cs="Times New Roman"/>
          <w:sz w:val="24"/>
          <w:szCs w:val="24"/>
          <w:lang w:val="it-IT"/>
        </w:rPr>
        <w:t>indian</w:t>
      </w:r>
      <w:r w:rsidRPr="00AC7D90">
        <w:rPr>
          <w:rStyle w:val="None"/>
          <w:rFonts w:ascii="Times New Roman" w:hAnsi="Times New Roman" w:cs="Times New Roman"/>
          <w:sz w:val="24"/>
          <w:szCs w:val="24"/>
        </w:rPr>
        <w:t>.</w:t>
      </w:r>
      <w:r w:rsidRPr="00AC7D90">
        <w:rPr>
          <w:rStyle w:val="None"/>
          <w:rFonts w:ascii="Times New Roman" w:eastAsia="Times New Roman" w:hAnsi="Times New Roman" w:cs="Times New Roman"/>
          <w:sz w:val="24"/>
          <w:szCs w:val="24"/>
          <w:vertAlign w:val="superscript"/>
        </w:rPr>
        <w:footnoteReference w:id="25"/>
      </w:r>
      <w:r w:rsidRPr="00AC7D90">
        <w:rPr>
          <w:rStyle w:val="None"/>
          <w:rFonts w:ascii="Times New Roman" w:hAnsi="Times New Roman" w:cs="Times New Roman"/>
          <w:sz w:val="24"/>
          <w:szCs w:val="24"/>
        </w:rPr>
        <w:t xml:space="preserve"> The process of history writing is central to the operation of the red state, which seeks to inscribe land within a new, settler colonial order of time. As Vizenor, Caison, and Maureen Konkle all indicate, Indigenous people have always known this, and some choose to resist this specific form of domination and erasure by “[writing] historical accounts of their traditions and experiences of European colonization and settlement in order to write themselves into a political future” (Konkle 6). John Rollin Ridge is no exception. In an 1855 letter to his mother, Sarah Bird Northup Ridge, Ridge stresses the personal importance of representing the history from an Indigenous perspective: “What prouder object could a man propose to himself than…handing down to posterity the great names of Indian history and doing justice to a deeply wronged and injured people by impressing upon the records of the country a true and impartial account of the treatment which they </w:t>
      </w:r>
      <w:r w:rsidRPr="00AC7D90">
        <w:rPr>
          <w:rStyle w:val="None"/>
          <w:rFonts w:ascii="Times New Roman" w:hAnsi="Times New Roman" w:cs="Times New Roman"/>
          <w:sz w:val="24"/>
          <w:szCs w:val="24"/>
        </w:rPr>
        <w:lastRenderedPageBreak/>
        <w:t xml:space="preserve">have received at the hands of a civilized and Christian race!” (86-7). Ridge’s intervention into settler colonial regional history can therefore be understood as part of a larger history of the Indigenous expression of rhetorical, intellectual, and political sovereignty via the writing of history. The act of (re)writing history in </w:t>
      </w:r>
      <w:proofErr w:type="spellStart"/>
      <w:r w:rsidRPr="006531BC">
        <w:rPr>
          <w:rStyle w:val="None"/>
          <w:rFonts w:ascii="Times New Roman" w:hAnsi="Times New Roman" w:cs="Times New Roman"/>
          <w:i/>
          <w:iCs/>
          <w:sz w:val="24"/>
          <w:szCs w:val="24"/>
          <w:lang w:val="es-ES_tradnl"/>
        </w:rPr>
        <w:t>Joaquin</w:t>
      </w:r>
      <w:proofErr w:type="spellEnd"/>
      <w:r w:rsidRPr="006531BC">
        <w:rPr>
          <w:rStyle w:val="None"/>
          <w:rFonts w:ascii="Times New Roman" w:hAnsi="Times New Roman" w:cs="Times New Roman"/>
          <w:i/>
          <w:iCs/>
          <w:sz w:val="24"/>
          <w:szCs w:val="24"/>
          <w:lang w:val="es-ES_tradnl"/>
        </w:rPr>
        <w:t xml:space="preserve"> Murieta</w:t>
      </w:r>
      <w:r w:rsidRPr="00AC7D90">
        <w:rPr>
          <w:rStyle w:val="None"/>
          <w:rFonts w:ascii="Times New Roman" w:hAnsi="Times New Roman" w:cs="Times New Roman"/>
          <w:sz w:val="24"/>
          <w:szCs w:val="24"/>
          <w:lang w:val="es-ES_tradnl"/>
        </w:rPr>
        <w:t xml:space="preserve"> </w:t>
      </w:r>
      <w:r w:rsidRPr="00AC7D90">
        <w:rPr>
          <w:rStyle w:val="None"/>
          <w:rFonts w:ascii="Times New Roman" w:hAnsi="Times New Roman" w:cs="Times New Roman"/>
          <w:sz w:val="24"/>
          <w:szCs w:val="24"/>
        </w:rPr>
        <w:t xml:space="preserve">is a self-consciously metatextual exercise that parodies the genres of settler literatures of domination that appropriate and erase Indigenous history to “clear the way” for fantasies of white settler indigeneity and land claim. </w:t>
      </w:r>
      <w:r w:rsidRPr="00AC7D90">
        <w:rPr>
          <w:rStyle w:val="None"/>
          <w:rFonts w:ascii="Times New Roman" w:hAnsi="Times New Roman" w:cs="Times New Roman"/>
          <w:sz w:val="24"/>
          <w:szCs w:val="24"/>
        </w:rPr>
        <w:tab/>
      </w:r>
    </w:p>
    <w:p w14:paraId="0A50E49F" w14:textId="4E53F5D4" w:rsidR="00AC7D90" w:rsidRDefault="008752E7" w:rsidP="008752E7">
      <w:pPr>
        <w:pStyle w:val="Heading2"/>
        <w:spacing w:line="480" w:lineRule="auto"/>
        <w:jc w:val="center"/>
        <w:rPr>
          <w:rStyle w:val="None"/>
          <w:rFonts w:ascii="Times New Roman" w:hAnsi="Times New Roman" w:cs="Times New Roman"/>
          <w:sz w:val="24"/>
          <w:szCs w:val="24"/>
        </w:rPr>
      </w:pPr>
      <w:bookmarkStart w:id="15" w:name="_Toc169279170"/>
      <w:r>
        <w:rPr>
          <w:rStyle w:val="None"/>
          <w:rFonts w:ascii="Times New Roman" w:hAnsi="Times New Roman" w:cs="Times New Roman"/>
          <w:b/>
          <w:bCs/>
          <w:color w:val="auto"/>
          <w:sz w:val="24"/>
          <w:szCs w:val="24"/>
        </w:rPr>
        <w:t xml:space="preserve">Satirizing Nation-Building in </w:t>
      </w:r>
      <w:r>
        <w:rPr>
          <w:rStyle w:val="None"/>
          <w:rFonts w:ascii="Times New Roman" w:hAnsi="Times New Roman" w:cs="Times New Roman"/>
          <w:b/>
          <w:bCs/>
          <w:i/>
          <w:iCs/>
          <w:color w:val="auto"/>
          <w:sz w:val="24"/>
          <w:szCs w:val="24"/>
        </w:rPr>
        <w:t>Joaquin Murieta</w:t>
      </w:r>
      <w:bookmarkEnd w:id="15"/>
    </w:p>
    <w:p w14:paraId="189B40F6" w14:textId="77777777" w:rsidR="00AC7D90" w:rsidRPr="00AC7D90" w:rsidRDefault="00AC7D90" w:rsidP="008752E7">
      <w:pPr>
        <w:pBdr>
          <w:top w:val="nil"/>
          <w:left w:val="nil"/>
          <w:bottom w:val="nil"/>
          <w:right w:val="nil"/>
          <w:between w:val="nil"/>
          <w:bar w:val="nil"/>
        </w:pBdr>
        <w:spacing w:line="480" w:lineRule="auto"/>
        <w:ind w:firstLine="720"/>
        <w:rPr>
          <w:rFonts w:ascii="Times New Roman"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In “Jim Smiley and His Jumping Frog,” Mark Twain’s unnamed narrator comments on Simon Wheeler’s straight-faced delivery of the outrageous tale of Jim Smiley: “</w:t>
      </w:r>
      <w:r w:rsidRPr="00AC7D90">
        <w:rPr>
          <w:rFonts w:ascii="Times New Roman" w:eastAsia="Arial Unicode MS" w:hAnsi="Times New Roman" w:cs="Arial Unicode MS"/>
          <w:color w:val="222222"/>
          <w:u w:color="222222"/>
          <w:bdr w:val="nil"/>
          <w14:textOutline w14:w="0" w14:cap="flat" w14:cmpd="sng" w14:algn="ctr">
            <w14:noFill/>
            <w14:prstDash w14:val="solid"/>
            <w14:bevel/>
          </w14:textOutline>
        </w:rPr>
        <w:t xml:space="preserve">He never smiled, he never frowned, he never changed his voice from the gentle-flowing key to which he tuned the initial sentence, he never betrayed the slightest suspicion of enthusiasm; but all through the interminable narrative there ran a vein of impressive earnestness and sincerity, which showed me plainly that, so far from his imagining that there was </w:t>
      </w:r>
      <w:proofErr w:type="spellStart"/>
      <w:r w:rsidRPr="00AC7D90">
        <w:rPr>
          <w:rFonts w:ascii="Times New Roman" w:eastAsia="Arial Unicode MS" w:hAnsi="Times New Roman" w:cs="Arial Unicode MS"/>
          <w:color w:val="222222"/>
          <w:u w:color="222222"/>
          <w:bdr w:val="nil"/>
          <w14:textOutline w14:w="0" w14:cap="flat" w14:cmpd="sng" w14:algn="ctr">
            <w14:noFill/>
            <w14:prstDash w14:val="solid"/>
            <w14:bevel/>
          </w14:textOutline>
        </w:rPr>
        <w:t>any thing</w:t>
      </w:r>
      <w:proofErr w:type="spellEnd"/>
      <w:r w:rsidRPr="00AC7D90">
        <w:rPr>
          <w:rFonts w:ascii="Times New Roman" w:eastAsia="Arial Unicode MS" w:hAnsi="Times New Roman" w:cs="Arial Unicode MS"/>
          <w:color w:val="222222"/>
          <w:u w:color="222222"/>
          <w:bdr w:val="nil"/>
          <w14:textOutline w14:w="0" w14:cap="flat" w14:cmpd="sng" w14:algn="ctr">
            <w14:noFill/>
            <w14:prstDash w14:val="solid"/>
            <w14:bevel/>
          </w14:textOutline>
        </w:rPr>
        <w:t xml:space="preserve"> ridiculous or funny about his story, he regarded it as a really important matter, and admired its two heroes as men of transcendent genius in </w:t>
      </w:r>
      <w:r w:rsidRPr="00AC7D90">
        <w:rPr>
          <w:rFonts w:ascii="Times New Roman" w:eastAsia="Arial Unicode MS" w:hAnsi="Times New Roman" w:cs="Arial Unicode MS"/>
          <w:i/>
          <w:iCs/>
          <w:color w:val="222222"/>
          <w:u w:color="222222"/>
          <w:bdr w:val="nil"/>
          <w:lang w:val="it-IT"/>
          <w14:textOutline w14:w="0" w14:cap="flat" w14:cmpd="sng" w14:algn="ctr">
            <w14:noFill/>
            <w14:prstDash w14:val="solid"/>
            <w14:bevel/>
          </w14:textOutline>
        </w:rPr>
        <w:t>finesse.</w:t>
      </w:r>
      <w:r w:rsidRPr="00AC7D90">
        <w:rPr>
          <w:rFonts w:ascii="Times New Roman" w:eastAsia="Arial Unicode MS" w:hAnsi="Times New Roman" w:cs="Arial Unicode MS"/>
          <w:color w:val="222222"/>
          <w:u w:color="222222"/>
          <w:bdr w:val="nil"/>
          <w14:textOutline w14:w="0" w14:cap="flat" w14:cmpd="sng" w14:algn="ctr">
            <w14:noFill/>
            <w14:prstDash w14:val="solid"/>
            <w14:bevel/>
          </w14:textOutline>
        </w:rPr>
        <w:t xml:space="preserve">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To me, the spectacle of a man drifting serenely along through such a queer yarn without ever smiling, was exquisitely absurd” (9). Like Simon Wheeler, the narratorial voice of John Rollin Ridge’s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Life and Adventures of Joaquin Murieta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maintains a staid and sober demeanor throughout its relation of some of the most gruesome and grisly scenes in all of nineteenth century American literature. Hardly a chapter goes by without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 xml:space="preserve">some description of a murder, maiming, or some form of sexual assault. One can imagine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Joaquin Murieta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as Zorro by way of Quentin Tarantino.</w:t>
      </w:r>
      <w:r w:rsidRPr="00AC7D90">
        <w:rPr>
          <w:rFonts w:ascii="Times New Roman" w:hAnsi="Times New Roman" w:cs="Times New Roman"/>
          <w:color w:val="000000"/>
          <w:u w:color="000000"/>
          <w:bdr w:val="nil"/>
          <w14:textOutline w14:w="0" w14:cap="flat" w14:cmpd="sng" w14:algn="ctr">
            <w14:noFill/>
            <w14:prstDash w14:val="solid"/>
            <w14:bevel/>
          </w14:textOutline>
        </w:rPr>
        <w:footnoteReference w:id="26"/>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Just as Simon Wheeler’s deadpan delivery is integral to the comedy of Twain’s story, the detachment with which Ridge’s narrator renders the fantastic gore of </w:t>
      </w:r>
      <w:proofErr w:type="spellStart"/>
      <w:r w:rsidRPr="00AC7D90">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Joaquin</w:t>
      </w:r>
      <w:proofErr w:type="spellEnd"/>
      <w:r w:rsidRPr="00AC7D90">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 xml:space="preserve"> Murieta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indicates a deep irony in the novel and is central to its bitter comic vision.</w:t>
      </w:r>
    </w:p>
    <w:p w14:paraId="1717CBC0" w14:textId="77777777" w:rsidR="00AC7D90" w:rsidRPr="00AC7D90" w:rsidRDefault="00AC7D90" w:rsidP="00AC7D90">
      <w:pPr>
        <w:pBdr>
          <w:top w:val="nil"/>
          <w:left w:val="nil"/>
          <w:bottom w:val="nil"/>
          <w:right w:val="nil"/>
          <w:between w:val="nil"/>
          <w:bar w:val="nil"/>
        </w:pBdr>
        <w:spacing w:line="480" w:lineRule="auto"/>
        <w:rPr>
          <w:rFonts w:ascii="Times New Roman" w:eastAsia="Arial Unicode MS" w:hAnsi="Times New Roman" w:cs="Arial Unicode MS"/>
          <w:color w:val="000000"/>
          <w:u w:color="000000"/>
          <w:bdr w:val="nil"/>
          <w14:textOutline w14:w="0" w14:cap="flat" w14:cmpd="sng" w14:algn="ctr">
            <w14:noFill/>
            <w14:prstDash w14:val="solid"/>
            <w14:bevel/>
          </w14:textOutline>
        </w:rPr>
      </w:pPr>
      <w:r w:rsidRPr="00AC7D90">
        <w:rPr>
          <w:rFonts w:ascii="Times New Roman" w:hAnsi="Times New Roman" w:cs="Times New Roman"/>
          <w:color w:val="000000"/>
          <w:u w:color="000000"/>
          <w:bdr w:val="nil"/>
          <w14:textOutline w14:w="0" w14:cap="flat" w14:cmpd="sng" w14:algn="ctr">
            <w14:noFill/>
            <w14:prstDash w14:val="solid"/>
            <w14:bevel/>
          </w14:textOutline>
        </w:rPr>
        <w:tab/>
        <w:t xml:space="preserve">The main literary form </w:t>
      </w:r>
      <w:proofErr w:type="spellStart"/>
      <w:r w:rsidRPr="00AC7D90">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Joaquin</w:t>
      </w:r>
      <w:proofErr w:type="spellEnd"/>
      <w:r w:rsidRPr="00AC7D90">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 xml:space="preserve"> Murieta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parodies is what Peter Antelyes calls the “Western adventure tale.” Less one coherent genre than a formula of stock characters and plots, the adventure tale embodied the national expansionist impulse in the figure of an American hero crossing the boundary from civilization into a West coded as “</w:t>
      </w:r>
      <w:proofErr w:type="spellStart"/>
      <w:r w:rsidRPr="00AC7D90">
        <w:rPr>
          <w:rFonts w:ascii="Times New Roman" w:eastAsia="Arial Unicode MS" w:hAnsi="Times New Roman" w:cs="Arial Unicode MS"/>
          <w:color w:val="000000"/>
          <w:u w:color="000000"/>
          <w:bdr w:val="nil"/>
          <w:lang w:val="fr-FR"/>
          <w14:textOutline w14:w="0" w14:cap="flat" w14:cmpd="sng" w14:algn="ctr">
            <w14:noFill/>
            <w14:prstDash w14:val="solid"/>
            <w14:bevel/>
          </w14:textOutline>
        </w:rPr>
        <w:t>savage</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through Indigenous signifiers. The hero faces many dangers in the wilderness, risking life and limb, and in the end their victory represents also the victory of American society over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 xml:space="preserve">nature. </w:t>
      </w:r>
      <w:r w:rsidRPr="00AC7D90">
        <w:rPr>
          <w:rFonts w:ascii="Times New Roman" w:hAnsi="Times New Roman" w:cs="Times New Roman"/>
          <w:color w:val="000000"/>
          <w:u w:color="000000"/>
          <w:bdr w:val="nil"/>
          <w14:textOutline w14:w="0" w14:cap="flat" w14:cmpd="sng" w14:algn="ctr">
            <w14:noFill/>
            <w14:prstDash w14:val="solid"/>
            <w14:bevel/>
          </w14:textOutline>
        </w:rPr>
        <w:t xml:space="preserve">Antelyes describes the basic form of the adventure tale: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“Central to the form is the narrative of the hero’s journey through alien or hostile territory to accomplish some goal” (2). The hero’s conquest over the dangers in their path represent the form’s “commitment to expansionism as a model of human conduct” (3) so that the tale itself becomes the “narrative form of the ideology of expansion” (14). By the end of the adventure, the antagonistic forces arrayed against the hero’s striving are vanquished and with them all the forces antagonistic to the expansionary energies undergirding the tale. Western adventure tales thus encode the logics of settler colonialism and the ideologies of Manifest Destiny and  the expansion of the marketplace in a series of motifs that circulated not only in romances such as Owen Wister’s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The Virginian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(1901) but also in nineteenth-century travel writing and settler histories like James Hall’s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Letters from the West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(1828) and Francis Parkman’s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The Oregon Trail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(1849). </w:t>
      </w:r>
    </w:p>
    <w:p w14:paraId="06F048F0" w14:textId="77777777" w:rsidR="00AC7D90" w:rsidRPr="00AC7D90" w:rsidRDefault="00AC7D90" w:rsidP="00AC7D90">
      <w:pPr>
        <w:pBdr>
          <w:top w:val="nil"/>
          <w:left w:val="nil"/>
          <w:bottom w:val="nil"/>
          <w:right w:val="nil"/>
          <w:between w:val="nil"/>
          <w:bar w:val="nil"/>
        </w:pBdr>
        <w:spacing w:line="480" w:lineRule="auto"/>
        <w:rPr>
          <w:rFonts w:ascii="Times New Roman" w:hAnsi="Times New Roman" w:cs="Times New Roman"/>
          <w:color w:val="000000"/>
          <w:u w:color="000000"/>
          <w:bdr w:val="nil"/>
          <w14:textOutline w14:w="0" w14:cap="flat" w14:cmpd="sng" w14:algn="ctr">
            <w14:noFill/>
            <w14:prstDash w14:val="solid"/>
            <w14:bevel/>
          </w14:textOutline>
        </w:rPr>
      </w:pPr>
      <w:r w:rsidRPr="00AC7D90">
        <w:rPr>
          <w:rFonts w:ascii="Times New Roman" w:hAnsi="Times New Roman" w:cs="Times New Roman"/>
          <w:color w:val="000000"/>
          <w:u w:color="000000"/>
          <w:bdr w:val="nil"/>
          <w14:textOutline w14:w="0" w14:cap="flat" w14:cmpd="sng" w14:algn="ctr">
            <w14:noFill/>
            <w14:prstDash w14:val="solid"/>
            <w14:bevel/>
          </w14:textOutline>
        </w:rPr>
        <w:tab/>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As Indigenous nations resisted the expansion of the United States, the pressure of their resistance transformed the American adventure tale and a new form, what Antelyes calls the “Indian adventure tale,” became the “tale of [the American] mission” (99). Across an array of genres, American writers constructed the “</w:t>
      </w:r>
      <w:r w:rsidRPr="00AC7D90">
        <w:rPr>
          <w:rFonts w:ascii="Times New Roman" w:eastAsia="Arial Unicode MS" w:hAnsi="Times New Roman" w:cs="Arial Unicode MS"/>
          <w:color w:val="000000"/>
          <w:u w:color="000000"/>
          <w:bdr w:val="nil"/>
          <w:lang w:val="it-IT"/>
          <w14:textOutline w14:w="0" w14:cap="flat" w14:cmpd="sng" w14:algn="ctr">
            <w14:noFill/>
            <w14:prstDash w14:val="solid"/>
            <w14:bevel/>
          </w14:textOutline>
        </w:rPr>
        <w:t>Indian</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to simultaneously embody the dangers and obstacles of the natural world and to, by the end, give way to the inexorable expansion of the settler-state: “Within such forms as captivity narratives, guidebooks, almanacs, fur trapper narratives, and travel journals, the Indians were cast in two related roles: as impediments to and as martyrs of expansion. In both cases they were the characters conquered in the march of civilization” (100). This is the class of writing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 xml:space="preserve">Vizenor calls “literature of domination.” Like its European predecessor, the American “Indian adventure tale” buttressed Americans’ sense of racial superiority, cultural chauvinism, and providential right, and they justified genocidal policies at every level of government to expedite the “disappearance” of the Indigenous owners of the land. </w:t>
      </w:r>
    </w:p>
    <w:p w14:paraId="4B2ADDE7" w14:textId="77777777" w:rsidR="00AC7D90" w:rsidRPr="00AC7D90" w:rsidRDefault="00AC7D90" w:rsidP="00AC7D90">
      <w:pPr>
        <w:pBdr>
          <w:top w:val="nil"/>
          <w:left w:val="nil"/>
          <w:bottom w:val="nil"/>
          <w:right w:val="nil"/>
          <w:between w:val="nil"/>
          <w:bar w:val="nil"/>
        </w:pBdr>
        <w:spacing w:line="480" w:lineRule="auto"/>
        <w:rPr>
          <w:rFonts w:ascii="Times New Roman" w:eastAsia="Arial Unicode MS" w:hAnsi="Times New Roman" w:cs="Arial Unicode MS"/>
          <w:color w:val="000000"/>
          <w:u w:color="000000"/>
          <w:bdr w:val="nil"/>
          <w14:textOutline w14:w="0" w14:cap="flat" w14:cmpd="sng" w14:algn="ctr">
            <w14:noFill/>
            <w14:prstDash w14:val="solid"/>
            <w14:bevel/>
          </w14:textOutline>
        </w:rPr>
      </w:pPr>
      <w:r w:rsidRPr="00AC7D90">
        <w:rPr>
          <w:rFonts w:ascii="Times New Roman" w:hAnsi="Times New Roman" w:cs="Times New Roman"/>
          <w:color w:val="000000"/>
          <w:u w:color="000000"/>
          <w:bdr w:val="nil"/>
          <w:lang w:val="nl-NL"/>
          <w14:textOutline w14:w="0" w14:cap="flat" w14:cmpd="sng" w14:algn="ctr">
            <w14:noFill/>
            <w14:prstDash w14:val="solid"/>
            <w14:bevel/>
          </w14:textOutline>
        </w:rPr>
        <w:tab/>
        <w:t>Elements of the Indian adventure tale can be found across many nineteenth-century genres.</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Romances and romanticized biographies of backwoodsmen like Daniel Boone, Davy Crockett, and Kit Carson set these paragon Americans against caricature Native warriors to emphasize the puissance of American settlement and enterprise. Novels such as Cooper’s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Leatherstocking Tales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(1823-41)</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and Robert Montgomery Bird’s novels, especially </w:t>
      </w:r>
      <w:proofErr w:type="spellStart"/>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Calavar</w:t>
      </w:r>
      <w:proofErr w:type="spellEnd"/>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 or the Knight of the Conquest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(1834) and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Nick of the Woods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(1837), use the motifs of “Indian fighting” to affirm American readers’ sense that all the lands of North America were theirs by right. Such romances contemporaries valorized the expulsion of Indigenous peoples (often via the image of the tragic defeat of great Indigenous leaders of the past, like Montezuma or Metacom) and sanctified their passing as the fulfillment of Manifest Destiny.  Travel writing and history mirrored this form as well. William H. Prescott’s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The History of the Conquest of Mexico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(1843) draped his narrative of Cortez’s genocidal war on the Aztecs in the trappings of chivalrous adventure: “</w:t>
      </w:r>
      <w:r w:rsidRPr="00AC7D90">
        <w:rPr>
          <w:rFonts w:ascii="Times New Roman" w:eastAsia="Arial Unicode MS" w:hAnsi="Times New Roman" w:cs="Arial Unicode MS"/>
          <w:color w:val="000000"/>
          <w:u w:color="000000"/>
          <w:bdr w:val="nil"/>
          <w:shd w:val="clear" w:color="auto" w:fill="FFFFFF"/>
          <w14:textOutline w14:w="0" w14:cap="flat" w14:cmpd="sng" w14:algn="ctr">
            <w14:noFill/>
            <w14:prstDash w14:val="solid"/>
            <w14:bevel/>
          </w14:textOutline>
        </w:rPr>
        <w:t xml:space="preserve">civilization pitted against what seemed at best only semi-civilization, and Christianity against paganism; two towering figures, Cortez and Montezuma, locked in mortal combat, the one representing the future, the other symbolizing the past” (Johannsen 180). Likewise, Francis Parkman’s </w:t>
      </w:r>
      <w:r w:rsidRPr="00AC7D90">
        <w:rPr>
          <w:rFonts w:ascii="Times New Roman" w:eastAsia="Arial Unicode MS" w:hAnsi="Times New Roman" w:cs="Arial Unicode MS"/>
          <w:i/>
          <w:iCs/>
          <w:color w:val="000000"/>
          <w:u w:color="000000"/>
          <w:bdr w:val="nil"/>
          <w:shd w:val="clear" w:color="auto" w:fill="FFFFFF"/>
          <w14:textOutline w14:w="0" w14:cap="flat" w14:cmpd="sng" w14:algn="ctr">
            <w14:noFill/>
            <w14:prstDash w14:val="solid"/>
            <w14:bevel/>
          </w14:textOutline>
        </w:rPr>
        <w:t xml:space="preserve">The Oregon Trail </w:t>
      </w:r>
      <w:r w:rsidRPr="00AC7D90">
        <w:rPr>
          <w:rFonts w:ascii="Times New Roman" w:eastAsia="Arial Unicode MS" w:hAnsi="Times New Roman" w:cs="Arial Unicode MS"/>
          <w:color w:val="000000"/>
          <w:u w:color="000000"/>
          <w:bdr w:val="nil"/>
          <w:shd w:val="clear" w:color="auto" w:fill="FFFFFF"/>
          <w14:textOutline w14:w="0" w14:cap="flat" w14:cmpd="sng" w14:algn="ctr">
            <w14:noFill/>
            <w14:prstDash w14:val="solid"/>
            <w14:bevel/>
          </w14:textOutline>
        </w:rPr>
        <w:t xml:space="preserve">(1849) is constructed as </w:t>
      </w:r>
      <w:r w:rsidRPr="00AC7D90">
        <w:rPr>
          <w:rFonts w:ascii="Times New Roman" w:eastAsia="Arial Unicode MS" w:hAnsi="Times New Roman" w:cs="Arial Unicode MS"/>
          <w:color w:val="000000"/>
          <w:u w:color="000000"/>
          <w:bdr w:val="nil"/>
          <w:shd w:val="clear" w:color="auto" w:fill="FFFFFF"/>
          <w14:textOutline w14:w="0" w14:cap="flat" w14:cmpd="sng" w14:algn="ctr">
            <w14:noFill/>
            <w14:prstDash w14:val="solid"/>
            <w14:bevel/>
          </w14:textOutline>
        </w:rPr>
        <w:lastRenderedPageBreak/>
        <w:t>a dangerous crossing of “the Anglo-American ego” into “an environment that threatens to break it apart” (Meola 5). Large game animals and conventionalized images of Indigenous warriors serve as the obstacles that must be conquered in the name of “masculine national renewal” (5). To be clear, the American authors of these narratives often claimed sympathy for the “</w:t>
      </w:r>
      <w:r w:rsidRPr="00AC7D90">
        <w:rPr>
          <w:rFonts w:ascii="Times New Roman" w:eastAsia="Arial Unicode MS" w:hAnsi="Times New Roman" w:cs="Arial Unicode MS"/>
          <w:color w:val="000000"/>
          <w:u w:color="000000"/>
          <w:bdr w:val="nil"/>
          <w:shd w:val="clear" w:color="auto" w:fill="FFFFFF"/>
          <w:lang w:val="nl-NL"/>
          <w14:textOutline w14:w="0" w14:cap="flat" w14:cmpd="sng" w14:algn="ctr">
            <w14:noFill/>
            <w14:prstDash w14:val="solid"/>
            <w14:bevel/>
          </w14:textOutline>
        </w:rPr>
        <w:t>poor</w:t>
      </w:r>
      <w:r w:rsidRPr="00AC7D90">
        <w:rPr>
          <w:rFonts w:ascii="Times New Roman" w:eastAsia="Arial Unicode MS" w:hAnsi="Times New Roman" w:cs="Arial Unicode MS"/>
          <w:color w:val="000000"/>
          <w:u w:color="000000"/>
          <w:bdr w:val="nil"/>
          <w:shd w:val="clear" w:color="auto" w:fill="FFFFFF"/>
          <w14:textOutline w14:w="0" w14:cap="flat" w14:cmpd="sng" w14:algn="ctr">
            <w14:noFill/>
            <w14:prstDash w14:val="solid"/>
            <w14:bevel/>
          </w14:textOutline>
        </w:rPr>
        <w:t>” Native figures they depicted as falling away before the relentless march of civilization. For these writers, the trope of the Noble Savage was a useful shorthand for piously lamenting the violence of American expansion without conceding their belief in Manifest Destiny. Moreover, as in Charles Wilkins Webber’s sketches of society on the Texas-Mexico borderlands, the Americans came in for their fair share of criticism as well. Webber decried the Texans’ “cutthroat ferocity” and “domineering brutality” (Johannsen 186). Nevertheless, critiques such as Webber’s always served to admonish settlers for their failure to live up to “civilized” standards and never truly questioned the moral virtue of expansion itself. Thus, the adventure tale could register anxieties about the effects of violent expansion on the national character but ultimately serve to control those anxieties through the sublimating metaphor of the heroes’ victory and a concomitant, overarching narrative of progress from moral or social savagery to civilization.</w:t>
      </w:r>
    </w:p>
    <w:p w14:paraId="468FC208" w14:textId="77777777" w:rsidR="00AC7D90" w:rsidRPr="00AC7D90" w:rsidRDefault="00AC7D90" w:rsidP="00AC7D90">
      <w:pPr>
        <w:pBdr>
          <w:top w:val="nil"/>
          <w:left w:val="nil"/>
          <w:bottom w:val="nil"/>
          <w:right w:val="nil"/>
          <w:between w:val="nil"/>
          <w:bar w:val="nil"/>
        </w:pBdr>
        <w:spacing w:line="480" w:lineRule="auto"/>
        <w:ind w:firstLine="720"/>
        <w:rPr>
          <w:rFonts w:ascii="Times New Roman" w:eastAsia="Arial Unicode MS" w:hAnsi="Times New Roman" w:cs="Arial Unicode MS"/>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Though scholars such as J</w:t>
      </w:r>
      <w:r w:rsidRPr="00AC7D90">
        <w:rPr>
          <w:rFonts w:ascii="Times New Roman" w:hAnsi="Times New Roman" w:cs="Times New Roman"/>
          <w:color w:val="000000"/>
          <w:u w:color="000000"/>
          <w:bdr w:val="nil"/>
          <w14:textOutline w14:w="0" w14:cap="flat" w14:cmpd="sng" w14:algn="ctr">
            <w14:noFill/>
            <w14:prstDash w14:val="solid"/>
            <w14:bevel/>
          </w14:textOutline>
        </w:rPr>
        <w:t xml:space="preserve">ohn Carlos Rowe have understood </w:t>
      </w:r>
      <w:proofErr w:type="spellStart"/>
      <w:r w:rsidRPr="00AC7D90">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Joaquin</w:t>
      </w:r>
      <w:proofErr w:type="spellEnd"/>
      <w:r w:rsidRPr="00AC7D90">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 xml:space="preserve"> Murieta </w:t>
      </w:r>
      <w:r w:rsidRPr="00AC7D90">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 xml:space="preserve">as </w:t>
      </w:r>
      <w:proofErr w:type="spellStart"/>
      <w:r w:rsidRPr="00AC7D90">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one</w:t>
      </w:r>
      <w:proofErr w:type="spellEnd"/>
      <w:r w:rsidRPr="00AC7D90">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 xml:space="preserve"> </w:t>
      </w:r>
      <w:proofErr w:type="spellStart"/>
      <w:r w:rsidRPr="00AC7D90">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of</w:t>
      </w:r>
      <w:proofErr w:type="spellEnd"/>
      <w:r w:rsidRPr="00AC7D90">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 xml:space="preserve"> “</w:t>
      </w:r>
      <w:proofErr w:type="spellStart"/>
      <w:r w:rsidRPr="00AC7D90">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the</w:t>
      </w:r>
      <w:proofErr w:type="spellEnd"/>
      <w:r w:rsidRPr="00AC7D90">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 xml:space="preserve"> </w:t>
      </w:r>
      <w:proofErr w:type="spellStart"/>
      <w:r w:rsidRPr="00AC7D90">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co</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untless</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popular adventure stories of frontier life” (103) I argue that Ridge’s novel can be better understood as a parody of the typological narrativization of westward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expansion present in the Indian adventure tale.</w:t>
      </w:r>
      <w:r w:rsidRPr="00AC7D90">
        <w:rPr>
          <w:rFonts w:ascii="Times New Roman" w:eastAsia="Arial Unicode MS" w:hAnsi="Times New Roman" w:cs="Arial Unicode MS"/>
          <w:color w:val="000000"/>
          <w:u w:color="000000"/>
          <w:bdr w:val="nil"/>
          <w:vertAlign w:val="superscript"/>
          <w14:textOutline w14:w="0" w14:cap="flat" w14:cmpd="sng" w14:algn="ctr">
            <w14:noFill/>
            <w14:prstDash w14:val="solid"/>
            <w14:bevel/>
          </w14:textOutline>
        </w:rPr>
        <w:footnoteReference w:id="27"/>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It is true that </w:t>
      </w:r>
      <w:proofErr w:type="spellStart"/>
      <w:r w:rsidRPr="00AC7D90">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Joaquin</w:t>
      </w:r>
      <w:proofErr w:type="spellEnd"/>
      <w:r w:rsidRPr="00AC7D90">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 xml:space="preserve"> Murieta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follows the basic narrative form of the adventure tale. Ridge presents Murieta as a romantic, individualistic hero capable of almost supernatural feats whose quest for justice brings him to face down many obstacles in a hostile and alien territory, including an antagonist who darkly reflects Murieta’s virtues. The most obvious difference is that Ridge flips the types of hero and villain. Murieta, the novel’s hero, is an outlaw who declares his murderous vendetta against all Americans in the first four pages of the novel, whereas Ridge’s Americans are the antagonists of the novel. Captain Harry Love, the captain of the California Rangers whom Ridge presents as something of a foil to Murieta, embodies law and order but is outwitted by the romantic bandit for most of the novel. Despite these changes, Rowe contends that </w:t>
      </w:r>
      <w:proofErr w:type="spellStart"/>
      <w:r w:rsidRPr="00AC7D90">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Joaquin</w:t>
      </w:r>
      <w:proofErr w:type="spellEnd"/>
      <w:r w:rsidRPr="00AC7D90">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 xml:space="preserve"> Murieta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nevertheless remains ideologically committed to American progressivism, “</w:t>
      </w:r>
      <w:r w:rsidRPr="00AC7D90">
        <w:rPr>
          <w:rFonts w:ascii="Times New Roman" w:eastAsia="Arial Unicode MS" w:hAnsi="Times New Roman" w:cs="Arial Unicode MS"/>
          <w:color w:val="000000"/>
          <w:u w:color="000000"/>
          <w:bdr w:val="nil"/>
          <w:lang w:val="pt-PT"/>
          <w14:textOutline w14:w="0" w14:cap="flat" w14:cmpd="sng" w14:algn="ctr">
            <w14:noFill/>
            <w14:prstDash w14:val="solid"/>
            <w14:bevel/>
          </w14:textOutline>
        </w:rPr>
        <w:t>propos[ing]</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to “analyze and solve” the “</w:t>
      </w:r>
      <w:r w:rsidRPr="00AC7D90">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 xml:space="preserve">social </w:t>
      </w:r>
      <w:proofErr w:type="spellStart"/>
      <w:r w:rsidRPr="00AC7D90">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problem</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of the “failure of democratic idealism in postwar California” “by demonstrating the anarchic consequences of this failure” and “appeal[</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ing</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repeatedly to the sort of sublime and absolute ‘law’ that would adjudicate the social, political, and psychological contradictions'' of his society (107-8). </w:t>
      </w:r>
    </w:p>
    <w:p w14:paraId="141381F4" w14:textId="77777777" w:rsidR="00AC7D90" w:rsidRPr="00AC7D90" w:rsidRDefault="00AC7D90" w:rsidP="00AC7D90">
      <w:pPr>
        <w:pBdr>
          <w:top w:val="nil"/>
          <w:left w:val="nil"/>
          <w:bottom w:val="nil"/>
          <w:right w:val="nil"/>
          <w:between w:val="nil"/>
          <w:bar w:val="nil"/>
        </w:pBdr>
        <w:spacing w:line="480" w:lineRule="auto"/>
        <w:ind w:firstLine="720"/>
        <w:rPr>
          <w:rFonts w:ascii="Times New Roman"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It is true enough that the novel points out the flaws in Californian society, but my reading counters the claim that </w:t>
      </w:r>
      <w:proofErr w:type="spellStart"/>
      <w:r w:rsidRPr="00AC7D90">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Joaquin</w:t>
      </w:r>
      <w:proofErr w:type="spellEnd"/>
      <w:r w:rsidRPr="00AC7D90">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 xml:space="preserve"> Murieta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is a book about law and order. Rowe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argues that “</w:t>
      </w:r>
      <w:r w:rsidRPr="00AC7D90">
        <w:rPr>
          <w:rFonts w:ascii="Times New Roman" w:eastAsia="Arial Unicode MS" w:hAnsi="Times New Roman" w:cs="Arial Unicode MS"/>
          <w:color w:val="000000"/>
          <w:u w:color="000000"/>
          <w:bdr w:val="nil"/>
          <w:lang w:val="pt-PT"/>
          <w14:textOutline w14:w="0" w14:cap="flat" w14:cmpd="sng" w14:algn="ctr">
            <w14:noFill/>
            <w14:prstDash w14:val="solid"/>
            <w14:bevel/>
          </w14:textOutline>
        </w:rPr>
        <w:t>Joaqu</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ín’s</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tragedy is that his talents for civic virtue can swerve so easily into criminality” and that the novel condemns Joaquin’s tyrannical control over his criminal gang (109). Such a claim troublingly recirculates settler colonial myths about Mexicans’ criminality and the “</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uncivilizability</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of Indigenous people and obfuscates the </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originary</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violence of the American settlers against the </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Murietas</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the true tragedy of the novel. In 1850, at the age of 18, </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Muritea</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immigrates from Sonora, Mexico, to California with his wife to make his living as a miner in the Gold Rush. There he enjoyed community and wealth among the prosperous miners until a group of “lawless and desperate men, who bore the name of Americans but failed to support the honor and dignity of that title” driven by “the prejudice of color, the antipathy of races” forced him from his land by beating him and raping his wife (Ridge 9). The Murieta family relocates to another mining claim, where he suffers the same brutal treatment from another group of Americans. Kicked off their land a second time, the </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Murietas</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move to Calaveras County where Joaquin gets a job dealing monte. As they begin to recover from their trauma—Ridge reports here that Murieta’s “sky seemed clear and his prospects bright”—he visits his half-brother the next town over when a group of white Americans accuse him of having stolen the horse he is riding. They gather a mob, tie Joaquin to a tree and whip him and lynch his brother. Ridge describes Murieta’s radical change after this third brutal beating and his brother’s murder: “It was then that the character of Joaquin changed, suddenly and irrevocably. Wanton cruelty and the tyranny of prejudice had reached their climax. His soul swelled beyond its former boundaries, and the barriers of honor, rocked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into atoms by the strong passion which shook his heart like an earthquake, crumbled around him. Then it was that he declared to a friend that he would live henceforth for revenge and that his path should be marked with blood” (12-13). Thus, Murieta’s criminality does not come from some innate talent or perverted civic but is a direct result of the Americans’ terrorizing of his family. The novel does not, then, level any kind of moral judgment against Murieta or his character; indeed, the first page of the novel proclaims that the character of Murieta, “a man as remarkable in the annals of crime as any of the renowned robbers of the Old or New World,” “was nothing more than a natural production of the social and moral condition of the country in which he lived…and, consequently, his individual history is a part of the most valuable history of the State” (7). Ridge ultimately refers all of Murieta’s crimes to the influence of the “social and moral condition” of the settler-state and, indeed, makes Murieta a synecdoche for California itself. Put differently, Murieta’s cruelty reflects and is the result of American cruelty.</w:t>
      </w:r>
    </w:p>
    <w:p w14:paraId="4B6D2756" w14:textId="77777777" w:rsidR="00AC7D90" w:rsidRPr="00AC7D90" w:rsidRDefault="00AC7D90" w:rsidP="00AC7D90">
      <w:pPr>
        <w:pBdr>
          <w:top w:val="nil"/>
          <w:left w:val="nil"/>
          <w:bottom w:val="nil"/>
          <w:right w:val="nil"/>
          <w:between w:val="nil"/>
          <w:bar w:val="nil"/>
        </w:pBdr>
        <w:spacing w:line="480" w:lineRule="auto"/>
        <w:ind w:firstLine="720"/>
        <w:rPr>
          <w:rFonts w:ascii="Times New Roman" w:eastAsia="Arial Unicode MS" w:hAnsi="Times New Roman" w:cs="Segoe UI"/>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Though the novel ends with Murieta’s death at the hands of the California Rangers, the final vision of American success is one predicated on extraordinary violence, casting doubt on the nation’s claims to “civilization.” The grisly spectacle of Murieta’s head blurs the line between civilization and savagery, pointing out the hypocrisy at the very heart of that division. In order to prove to the legislature that Murieta is dead, Captain Love decapitates the bandit leader, an action that Ridge notes is taken mainly due to the extreme exigence of the situation and something that “he would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 xml:space="preserve">not otherwise have done” (155). Murieta’s head is delivered to the California legislature where it is identified and then “carried for exhibition over a large portion of the State,” along with the hand of Murieta’s lieutenant, Three-Fingered Jack (156). The motive for this grisly tour is ultimately unclear. Ridge writes that the head was “thoroughly identified in every quarter,” suggesting a desire for positive knowledge of Murieta’s death as one reason (156). However, Three-Fingered Jack’s hand “was also exhibited…not to prove its identity…but to give the public the actual sight of an object which had flung a strange, haunting dread over the mind, as if it had been a conscious, voluntary agent of evil” (156). </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As Timothy Donahue notes, the severed head and hand represent the government’s biopower over its citizens,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dramatiz</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ing</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the triumph of the US state over those who would contest its sovereignty by presenting a spectacle of bodily punishment and subjugation” (391).</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However, contemporary broadsheet advertisements touting the tour of Murieta's and Jack’s bodies as once-in-a-lifetime attractions (“The Head of the Renowned Bandit! Joaquin! and the Hand of Three Fingered Jack! The Notorious Robber and Murderer” were to be “Exhibited for One Day Only! At the Stockton House!” [Donahue 39]) causes the exhibition to take on the flavor of a traveling freak show of the sort popularized by P.T. Barnum.</w:t>
      </w:r>
      <w:r w:rsidRPr="00AC7D90">
        <w:rPr>
          <w:rFonts w:ascii="Times New Roman" w:hAnsi="Times New Roman" w:cs="Times New Roman"/>
          <w:color w:val="000000"/>
          <w:u w:color="000000"/>
          <w:bdr w:val="nil"/>
          <w14:textOutline w14:w="0" w14:cap="flat" w14:cmpd="sng" w14:algn="ctr">
            <w14:noFill/>
            <w14:prstDash w14:val="solid"/>
            <w14:bevel/>
          </w14:textOutline>
        </w:rPr>
        <w:footnoteReference w:id="28"/>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As Linda Frost explains, the freak show “aided in the construction of the nation by creating hierarchically superior, white, middle-class identity that could claim national membership” via the exhibition of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 xml:space="preserve">racialized Others whose savagery, indicated by the showmen’s insistence on their primitiveness or quasi-bestiality, marked them as lower on the evolutionary scale of civilization and outside the bounds of citizenship (3). Frost’s perspective suggests other readings of the tour of Murieta’s head and Jack’s “ruthless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talons</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(156). </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The grotesque display of these body parts asserts a notion of American citizenship based in whiteness, but it dissolves the notion of the whites’ superior moral character. The whites have “become” the ethnic Other they despise. </w:t>
      </w:r>
    </w:p>
    <w:p w14:paraId="501C91C4" w14:textId="5BAE97D1" w:rsidR="00AC7D90" w:rsidRDefault="00AC7D90" w:rsidP="003075D5">
      <w:pPr>
        <w:pBdr>
          <w:top w:val="nil"/>
          <w:left w:val="nil"/>
          <w:bottom w:val="nil"/>
          <w:right w:val="nil"/>
          <w:between w:val="nil"/>
          <w:bar w:val="nil"/>
        </w:pBdr>
        <w:spacing w:line="480" w:lineRule="auto"/>
        <w:ind w:firstLine="720"/>
        <w:rPr>
          <w:rFonts w:ascii="Times New Roman" w:eastAsia="Arial Unicode MS" w:hAnsi="Times New Roman" w:cs="Arial Unicode MS"/>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The Americans’ racist violence against Murieta’s family and the Legislature’s absurd and sensationalized exhibition of the gang’s dismembered bodies bookend </w:t>
      </w:r>
      <w:proofErr w:type="spellStart"/>
      <w:r w:rsidRPr="00AC7D90">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the</w:t>
      </w:r>
      <w:proofErr w:type="spellEnd"/>
      <w:r w:rsidRPr="00AC7D90">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 xml:space="preserve"> </w:t>
      </w:r>
      <w:proofErr w:type="spellStart"/>
      <w:r w:rsidRPr="00AC7D90">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novel’s</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satirical narrative of the nation. Where other adventure tales symbolize the forgone conclusion of the march of American civilization over savagery and the victory of American democracy over “</w:t>
      </w:r>
      <w:r w:rsidRPr="00AC7D90">
        <w:rPr>
          <w:rFonts w:ascii="Times New Roman" w:eastAsia="Arial Unicode MS" w:hAnsi="Times New Roman" w:cs="Arial Unicode MS"/>
          <w:color w:val="000000"/>
          <w:u w:color="000000"/>
          <w:bdr w:val="nil"/>
          <w:lang w:val="de-DE"/>
          <w14:textOutline w14:w="0" w14:cap="flat" w14:cmpd="sng" w14:algn="ctr">
            <w14:noFill/>
            <w14:prstDash w14:val="solid"/>
            <w14:bevel/>
          </w14:textOutline>
        </w:rPr>
        <w:t>foreign</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tyranny in the forms of the individualistic adventurer, </w:t>
      </w:r>
      <w:r w:rsidRPr="00AC7D90">
        <w:rPr>
          <w:rFonts w:ascii="Times New Roman" w:eastAsia="Arial Unicode MS" w:hAnsi="Times New Roman" w:cs="Arial Unicode MS"/>
          <w:i/>
          <w:iCs/>
          <w:color w:val="000000"/>
          <w:u w:color="000000"/>
          <w:bdr w:val="nil"/>
          <w:lang w:val="it-IT"/>
          <w14:textOutline w14:w="0" w14:cap="flat" w14:cmpd="sng" w14:algn="ctr">
            <w14:noFill/>
            <w14:prstDash w14:val="solid"/>
            <w14:bevel/>
          </w14:textOutline>
        </w:rPr>
        <w:t xml:space="preserve">Murieta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points out the violence of this process and the un-democratic racial othering that becomes the modus operandi of American identity formation. It does so by linking Murieta’s criminality with the “social and moral condition of the country” (6) and identifying his tragedy with the “early history of this State” (158), troubling easy definitions of national belonging and settler histories that elide the violence of colonization. The aim of </w:t>
      </w:r>
      <w:r w:rsidRPr="00AC7D90">
        <w:rPr>
          <w:rFonts w:ascii="Times New Roman" w:eastAsia="Arial Unicode MS" w:hAnsi="Times New Roman" w:cs="Arial Unicode MS"/>
          <w:i/>
          <w:iCs/>
          <w:color w:val="000000"/>
          <w:u w:color="000000"/>
          <w:bdr w:val="nil"/>
          <w:lang w:val="it-IT"/>
          <w14:textOutline w14:w="0" w14:cap="flat" w14:cmpd="sng" w14:algn="ctr">
            <w14:noFill/>
            <w14:prstDash w14:val="solid"/>
            <w14:bevel/>
          </w14:textOutline>
        </w:rPr>
        <w:t>Murieta</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’s satire is to criticize settler colonial violence, especially racial violence, and its erasure in the archive of colonial, regional histories. In short, it critiques the formation of the red state. In the next section, I will examine how moments of humor in the novel carry through its satire of American identity formation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 xml:space="preserve">and its critique of the red state in Ridge’s depiction of Murieta’s encounters with Indigenous peoples. </w:t>
      </w:r>
    </w:p>
    <w:p w14:paraId="30AD57F3" w14:textId="41A5F07D" w:rsidR="00AC7D90" w:rsidRPr="008752E7" w:rsidRDefault="008752E7" w:rsidP="003075D5">
      <w:pPr>
        <w:pStyle w:val="Heading2"/>
        <w:jc w:val="center"/>
        <w:rPr>
          <w:rStyle w:val="None"/>
          <w:rFonts w:ascii="Times New Roman" w:hAnsi="Times New Roman" w:cs="Times New Roman"/>
          <w:b/>
          <w:bCs/>
          <w:color w:val="auto"/>
          <w:sz w:val="24"/>
          <w:szCs w:val="24"/>
        </w:rPr>
      </w:pPr>
      <w:bookmarkStart w:id="16" w:name="_Toc169279171"/>
      <w:r>
        <w:rPr>
          <w:rStyle w:val="None"/>
          <w:rFonts w:ascii="Times New Roman" w:hAnsi="Times New Roman" w:cs="Times New Roman"/>
          <w:b/>
          <w:bCs/>
          <w:color w:val="auto"/>
          <w:sz w:val="24"/>
          <w:szCs w:val="24"/>
        </w:rPr>
        <w:t>Reterritorializing Laughter</w:t>
      </w:r>
      <w:bookmarkEnd w:id="16"/>
    </w:p>
    <w:p w14:paraId="1F2A7117" w14:textId="77777777" w:rsidR="00AC7D90" w:rsidRDefault="00AC7D90" w:rsidP="00AC7D90"/>
    <w:p w14:paraId="33AA0CA3" w14:textId="77777777" w:rsidR="00AC7D90" w:rsidRPr="00AC7D90" w:rsidRDefault="00AC7D90" w:rsidP="00AC7D90">
      <w:pPr>
        <w:pBdr>
          <w:top w:val="nil"/>
          <w:left w:val="nil"/>
          <w:bottom w:val="nil"/>
          <w:right w:val="nil"/>
          <w:between w:val="nil"/>
          <w:bar w:val="nil"/>
        </w:pBdr>
        <w:spacing w:before="200" w:line="480" w:lineRule="auto"/>
        <w:rPr>
          <w:rFonts w:ascii="Times New Roman"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As noted in Chapter 1, various theories of humor since the seventeenth century contend to explain the phenomenon of laughter. In 1651, Thomas Hobbes linked laughter to the “sudden glory” of one’s perception of oneself as superior to another. “</w:t>
      </w:r>
      <w:proofErr w:type="gram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Sudden glory,</w:t>
      </w:r>
      <w:proofErr w:type="gram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is the passion which makes those grimaces called laughter; and is caused either by some sudden act of their own, that pleases them; or by the apprehension of some deformed thing in another, by comparison whereof they suddenly applaud themselves” (qtd. in </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Morreal</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Students of humor have referred to Hobbes’s thinking and its successors as the Superiority Theory of Laughter. Another explanation may be found in Freud’s Relief Theory. In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Jokes and Their Relation to the Unconscious</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(1905), Freud describes how laughter vents emotional energy summoned up for a psychological task that one suddenly finds irrelevant or unnecessary. For Freud, jokes conjure up scenarios that would normally require a healthy response of sexual desire, hostility, pity, or any other emotion. However, the punchline of the joke undercuts the reality of the situation, rendering the legitimate expression of the emotion unnecessary. The now-useless emotional energy is vented as laughter, which contains the trace of the original energy. Henri Bergson’s (1900) idea of laughter as social is related to both the Superiority and Relief theories. For Bergson, we laugh at anti-social “inelastic” behavior in order to correct it, to police the human community.</w:t>
      </w:r>
    </w:p>
    <w:p w14:paraId="1DB391E6" w14:textId="77777777" w:rsidR="00AC7D90" w:rsidRPr="00AC7D90" w:rsidRDefault="00AC7D90" w:rsidP="00AC7D90">
      <w:pPr>
        <w:pBdr>
          <w:top w:val="nil"/>
          <w:left w:val="nil"/>
          <w:bottom w:val="nil"/>
          <w:right w:val="nil"/>
          <w:between w:val="nil"/>
          <w:bar w:val="nil"/>
        </w:pBdr>
        <w:spacing w:before="200" w:line="480" w:lineRule="auto"/>
        <w:rPr>
          <w:rFonts w:ascii="Times New Roman"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 xml:space="preserve">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ab/>
        <w:t xml:space="preserve">These theories hold some explanatory power for the moments of laughter in </w:t>
      </w:r>
      <w:r w:rsidRPr="00AC7D90">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Joaquín Murieta</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For example, when Murieta, late in the novel, watches from afar and laughs as a posse of Americans burns a camp where they think he is, his laugh could be said to express a Hobbesian superiority to his pursuers (Ridge 122). Murieta’s side-splitting laughter at the image of his main enforcer, Three-Fingered Jack, chasing down and threatening the life of a Chinese man named Woh Le could be understood as either a Freudian venting of pity or a </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Bergsonian</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response to Woh Le’s bulging eyes and clattering wooden footwear (64). Both these interpretations are valid, but they imagine Murieta’s laughter as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belonging to him</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an extension of his body, personality, or mind. Thus imagined, laughter becomes another sign of Murieta’s romantic individuality and Ridge’</w:t>
      </w:r>
      <w:r w:rsidRPr="00AC7D90">
        <w:rPr>
          <w:rFonts w:ascii="Times New Roman" w:eastAsia="Arial Unicode MS" w:hAnsi="Times New Roman" w:cs="Arial Unicode MS"/>
          <w:color w:val="000000"/>
          <w:u w:color="000000"/>
          <w:bdr w:val="nil"/>
          <w:lang w:val="fr-FR"/>
          <w14:textOutline w14:w="0" w14:cap="flat" w14:cmpd="sng" w14:algn="ctr">
            <w14:noFill/>
            <w14:prstDash w14:val="solid"/>
            <w14:bevel/>
          </w14:textOutline>
        </w:rPr>
        <w:t xml:space="preserve">s apparent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w:t>
      </w:r>
      <w:proofErr w:type="spellStart"/>
      <w:r w:rsidRPr="00AC7D90">
        <w:rPr>
          <w:rFonts w:ascii="Times New Roman" w:eastAsia="Arial Unicode MS" w:hAnsi="Times New Roman" w:cs="Arial Unicode MS"/>
          <w:color w:val="000000"/>
          <w:u w:color="000000"/>
          <w:bdr w:val="nil"/>
          <w:lang w:val="fr-FR"/>
          <w14:textOutline w14:w="0" w14:cap="flat" w14:cmpd="sng" w14:algn="ctr">
            <w14:noFill/>
            <w14:prstDash w14:val="solid"/>
            <w14:bevel/>
          </w14:textOutline>
        </w:rPr>
        <w:t>endorsement</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…of ideologies of individualism” (Rifkin 44).  There is surely ample evidence that Ridge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did </w:t>
      </w:r>
      <w:r w:rsidRPr="00AC7D90">
        <w:rPr>
          <w:rFonts w:ascii="Times New Roman" w:eastAsia="Arial Unicode MS" w:hAnsi="Times New Roman" w:cs="Arial Unicode MS"/>
          <w:color w:val="000000"/>
          <w:u w:color="000000"/>
          <w:bdr w:val="nil"/>
          <w:lang w:val="it-IT"/>
          <w14:textOutline w14:w="0" w14:cap="flat" w14:cmpd="sng" w14:algn="ctr">
            <w14:noFill/>
            <w14:prstDash w14:val="solid"/>
            <w14:bevel/>
          </w14:textOutline>
        </w:rPr>
        <w:t xml:space="preserve">endorse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“the prevailing individualism of mid-century U.S. culture” (Rowe 117), however, as Mark Rifkin reminds us, such endorsement does not necessarily foreclose the possibility of anti-imperialist or even anti-American critique (43-44, 50n23).</w:t>
      </w:r>
      <w:r w:rsidRPr="00AC7D90">
        <w:rPr>
          <w:rFonts w:ascii="Times New Roman" w:hAnsi="Times New Roman" w:cs="Times New Roman"/>
          <w:color w:val="000000"/>
          <w:u w:color="000000"/>
          <w:bdr w:val="nil"/>
          <w:vertAlign w:val="superscript"/>
          <w14:textOutline w14:w="0" w14:cap="flat" w14:cmpd="sng" w14:algn="ctr">
            <w14:noFill/>
            <w14:prstDash w14:val="solid"/>
            <w14:bevel/>
          </w14:textOutline>
        </w:rPr>
        <w:footnoteReference w:id="29"/>
      </w:r>
    </w:p>
    <w:p w14:paraId="0CF0DF60" w14:textId="77777777" w:rsidR="00AC7D90" w:rsidRPr="00AC7D90" w:rsidRDefault="00AC7D90" w:rsidP="00AC7D90">
      <w:pPr>
        <w:pBdr>
          <w:top w:val="nil"/>
          <w:left w:val="nil"/>
          <w:bottom w:val="nil"/>
          <w:right w:val="nil"/>
          <w:between w:val="nil"/>
          <w:bar w:val="nil"/>
        </w:pBdr>
        <w:spacing w:before="200" w:line="480" w:lineRule="auto"/>
        <w:rPr>
          <w:rFonts w:ascii="Times New Roman"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ab/>
        <w:t xml:space="preserve">Rather than retreading theories of laughter that privilege readings of Murieta’s romantic individualism by emphasizing Murieta “as an </w:t>
      </w:r>
      <w:r w:rsidRPr="00AC7D90">
        <w:rPr>
          <w:rFonts w:ascii="Times New Roman" w:eastAsia="Arial Unicode MS" w:hAnsi="Times New Roman" w:cs="Arial Unicode MS"/>
          <w:i/>
          <w:iCs/>
          <w:color w:val="000000"/>
          <w:u w:color="000000"/>
          <w:bdr w:val="nil"/>
          <w:lang w:val="pt-PT"/>
          <w14:textOutline w14:w="0" w14:cap="flat" w14:cmpd="sng" w14:algn="ctr">
            <w14:noFill/>
            <w14:prstDash w14:val="solid"/>
            <w14:bevel/>
          </w14:textOutline>
        </w:rPr>
        <w:t xml:space="preserve">individual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subject or object, in relation to laughter” (Emmerson 2084), I want to explore geographer Phil Emmerson’s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 xml:space="preserve">ideas about “transpersonal laughter” and its capacity to “enact re/deterritorializations” (2095). Emmerson’s work investigates what laughter does when we divorce it from the causality of humor. Humor and laughter, he argues, too regularly elide each other and are studied as two sides of the same phenomenon, reducing laughter to the mere “representation” of humor. Turning this around, Emmerson claims that “laughter itself is not reducible [to] the intentionality of a pre-existing (humorous) subject, but rather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produces the subject through its occurrence</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(2085, emphasis mine). This insight leads Emmerson to name laughter as “</w:t>
      </w:r>
      <w:r w:rsidRPr="00AC7D90">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transpersonal,</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meaning that laughter, instead of being conceptualized as the individual body’s response to funny stimuli, is in excess of the body, “overflowing the bounds of the body as [it] projects sound outwards, but also exceeding representation through generating affective intra/inter-actions within and between different bodies” (2085). Unlike other theories of humor that claim to chart the effects of laughter on the self, Emmerson shows us how laughter reconstitutes space and recharts social relations by actually generating new social subjectivities (2085). Mobilizing the </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Deleuzian</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concept of the “refrain” </w:t>
      </w:r>
      <w:r w:rsidRPr="00AC7D90">
        <w:rPr>
          <w:rFonts w:ascii="Times New Roman" w:eastAsia="Arial Unicode MS" w:hAnsi="Times New Roman" w:cs="Arial Unicode MS"/>
          <w:color w:val="000000"/>
          <w:u w:color="000000"/>
          <w:bdr w:val="nil"/>
          <w:lang w:val="it-IT"/>
          <w14:textOutline w14:w="0" w14:cap="flat" w14:cmpd="sng" w14:algn="ctr">
            <w14:noFill/>
            <w14:prstDash w14:val="solid"/>
            <w14:bevel/>
          </w14:textOutline>
        </w:rPr>
        <w:t xml:space="preserve">(a nonrepresentational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“anything that adds structure to an otherwise chaotic world”) Emmerson further posits that laughter has the capacity to “</w:t>
      </w:r>
      <w:r w:rsidRPr="00AC7D90">
        <w:rPr>
          <w:rFonts w:ascii="Times New Roman" w:eastAsia="Arial Unicode MS" w:hAnsi="Times New Roman" w:cs="Arial Unicode MS"/>
          <w:color w:val="000000"/>
          <w:u w:color="000000"/>
          <w:bdr w:val="nil"/>
          <w:lang w:val="pt-PT"/>
          <w14:textOutline w14:w="0" w14:cap="flat" w14:cmpd="sng" w14:algn="ctr">
            <w14:noFill/>
            <w14:prstDash w14:val="solid"/>
            <w14:bevel/>
          </w14:textOutline>
        </w:rPr>
        <w:t>deterritorialize</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and “</w:t>
      </w:r>
      <w:r w:rsidRPr="00AC7D90">
        <w:rPr>
          <w:rFonts w:ascii="Times New Roman" w:eastAsia="Arial Unicode MS" w:hAnsi="Times New Roman" w:cs="Arial Unicode MS"/>
          <w:color w:val="000000"/>
          <w:u w:color="000000"/>
          <w:bdr w:val="nil"/>
          <w:lang w:val="pt-PT"/>
          <w14:textOutline w14:w="0" w14:cap="flat" w14:cmpd="sng" w14:algn="ctr">
            <w14:noFill/>
            <w14:prstDash w14:val="solid"/>
            <w14:bevel/>
          </w14:textOutline>
        </w:rPr>
        <w:t>reterritorialize</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existing regimes of space time (2086). In other words, laughter is “capable of drawing bodies together and pushing them apart…in ways that interrupt the actual and assumed/imagined power geometries generated by humor” (2095).</w:t>
      </w:r>
    </w:p>
    <w:p w14:paraId="0FB62FE8" w14:textId="77777777" w:rsidR="00AC7D90" w:rsidRPr="00AC7D90" w:rsidRDefault="00AC7D90" w:rsidP="00AC7D90">
      <w:pPr>
        <w:pBdr>
          <w:top w:val="nil"/>
          <w:left w:val="nil"/>
          <w:bottom w:val="nil"/>
          <w:right w:val="nil"/>
          <w:between w:val="nil"/>
          <w:bar w:val="nil"/>
        </w:pBdr>
        <w:spacing w:before="200" w:line="480" w:lineRule="auto"/>
        <w:ind w:firstLine="720"/>
        <w:rPr>
          <w:rFonts w:ascii="Times New Roman"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 xml:space="preserve">There are some issues with applying Emmerson’s thought to a work like </w:t>
      </w:r>
      <w:proofErr w:type="spellStart"/>
      <w:r w:rsidRPr="00AC7D90">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Joaquin</w:t>
      </w:r>
      <w:proofErr w:type="spellEnd"/>
      <w:r w:rsidRPr="00AC7D90">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 xml:space="preserve"> Murieta</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The main issue, as mentioned above, is that one of Emmerson’s main concerns is to study “nonrepresentational” laughter as an analytical category separated from humor. In a novel, all laughter is representational insofar as it is always an aesthetic choice. The kind of spontaneous, contagious laughter Emmerson charts in certain social situations cannot exist on the page. It may not always have to be a response to humor, but when a character laughs, it is always representational. However, this does not discount the possibilities Emmerson opens for us. Indeed, Emmerson opens up moments of laughter in any text and demonstrates that, beyond an obligatory gesture to mark humor, laughter can mean and do multiple things at once. Nevertheless, Emmerson’s ideas allow us to consider instances of textual/representational laughter anew and to imagine new possibilities for the social and political assemblages such laughter creates. </w:t>
      </w:r>
    </w:p>
    <w:p w14:paraId="5B589C70" w14:textId="77777777" w:rsidR="00AC7D90" w:rsidRPr="00AC7D90" w:rsidRDefault="00AC7D90" w:rsidP="00AC7D90">
      <w:pPr>
        <w:pBdr>
          <w:top w:val="nil"/>
          <w:left w:val="nil"/>
          <w:bottom w:val="nil"/>
          <w:right w:val="nil"/>
          <w:between w:val="nil"/>
          <w:bar w:val="nil"/>
        </w:pBdr>
        <w:spacing w:before="200" w:line="480" w:lineRule="auto"/>
        <w:rPr>
          <w:rFonts w:ascii="Times New Roman" w:eastAsia="Arial Unicode MS" w:hAnsi="Times New Roman" w:cs="Arial Unicode MS"/>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ab/>
        <w:t xml:space="preserve">Though Emmerson does not develop his thought in this direction, I build upon his ideas by claiming that transpersonal laughter may be imagined as interrupting the “power geometries” imposed upon space by imperial agents and policies. If, as Andrew Hebard argues in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The Poetics of Sovereignty in American Literature, 1885-1910</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(2013), the nation-state’s control over space must be imagined, enunciated, and represented both physically and textually, often through the erasure and appropriation of Indigenous history and land claim, then Emmerson allows us to see how laughter can disrupt and reconfigure both kinds of representations of sovereignty to imagine alternative geographies and resist settler colonial erasures. For instance, in her essay about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Algonquian laughter in Mary Rowlandson’s captivity narrative, Laura Arnold notes that “Algonquian muffled laughter” opens up dialogic space in the text, “</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unsettl</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ing</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and contradict[</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ing</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Rowlandson’s” rigidly monologic “Puritan-centered vision of events” (3). The laughter of Rowlandson’s captors refutes Puritan land claims, “For if Rowlandson were to acknowledge Algonquian social conventions surrounding status, reciprocity, and adoption,” cultural differences traced in the laughter recorded in Rowlandson’</w:t>
      </w:r>
      <w:r w:rsidRPr="00AC7D90">
        <w:rPr>
          <w:rFonts w:ascii="Times New Roman" w:eastAsia="Arial Unicode MS" w:hAnsi="Times New Roman" w:cs="Arial Unicode MS"/>
          <w:color w:val="000000"/>
          <w:u w:color="000000"/>
          <w:bdr w:val="nil"/>
          <w:lang w:val="fr-FR"/>
          <w14:textOutline w14:w="0" w14:cap="flat" w14:cmpd="sng" w14:algn="ctr">
            <w14:noFill/>
            <w14:prstDash w14:val="solid"/>
            <w14:bevel/>
          </w14:textOutline>
        </w:rPr>
        <w:t xml:space="preserve">s </w:t>
      </w:r>
      <w:proofErr w:type="spellStart"/>
      <w:r w:rsidRPr="00AC7D90">
        <w:rPr>
          <w:rFonts w:ascii="Times New Roman" w:eastAsia="Arial Unicode MS" w:hAnsi="Times New Roman" w:cs="Arial Unicode MS"/>
          <w:color w:val="000000"/>
          <w:u w:color="000000"/>
          <w:bdr w:val="nil"/>
          <w:lang w:val="fr-FR"/>
          <w14:textOutline w14:w="0" w14:cap="flat" w14:cmpd="sng" w14:algn="ctr">
            <w14:noFill/>
            <w14:prstDash w14:val="solid"/>
            <w14:bevel/>
          </w14:textOutline>
        </w:rPr>
        <w:t>text</w:t>
      </w:r>
      <w:proofErr w:type="spellEnd"/>
      <w:r w:rsidRPr="00AC7D90">
        <w:rPr>
          <w:rFonts w:ascii="Times New Roman" w:eastAsia="Arial Unicode MS" w:hAnsi="Times New Roman" w:cs="Arial Unicode MS"/>
          <w:color w:val="000000"/>
          <w:u w:color="000000"/>
          <w:bdr w:val="nil"/>
          <w:lang w:val="fr-FR"/>
          <w14:textOutline w14:w="0" w14:cap="flat" w14:cmpd="sng" w14:algn="ctr">
            <w14:noFill/>
            <w14:prstDash w14:val="solid"/>
            <w14:bevel/>
          </w14:textOutline>
        </w:rPr>
        <w:t xml:space="preserve">,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“she would as good as admit the land she travels on is Algonquian, not British” (22). Thus, as I would argue, while Algonquian laughter “</w:t>
      </w:r>
      <w:r w:rsidRPr="00AC7D90">
        <w:rPr>
          <w:rFonts w:ascii="Times New Roman" w:eastAsia="Arial Unicode MS" w:hAnsi="Times New Roman" w:cs="Arial Unicode MS"/>
          <w:color w:val="000000"/>
          <w:u w:color="000000"/>
          <w:bdr w:val="nil"/>
          <w:lang w:val="pt-PT"/>
          <w14:textOutline w14:w="0" w14:cap="flat" w14:cmpd="sng" w14:algn="ctr">
            <w14:noFill/>
            <w14:prstDash w14:val="solid"/>
            <w14:bevel/>
          </w14:textOutline>
        </w:rPr>
        <w:t>deterritorializes</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the power geometries between Algonquian and British presumed by the settler colonial logics of Rowlandson’</w:t>
      </w:r>
      <w:r w:rsidRPr="00AC7D90">
        <w:rPr>
          <w:rFonts w:ascii="Times New Roman" w:eastAsia="Arial Unicode MS" w:hAnsi="Times New Roman" w:cs="Arial Unicode MS"/>
          <w:color w:val="000000"/>
          <w:u w:color="000000"/>
          <w:bdr w:val="nil"/>
          <w:lang w:val="fr-FR"/>
          <w14:textOutline w14:w="0" w14:cap="flat" w14:cmpd="sng" w14:algn="ctr">
            <w14:noFill/>
            <w14:prstDash w14:val="solid"/>
            <w14:bevel/>
          </w14:textOutline>
        </w:rPr>
        <w:t xml:space="preserve">s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Puritan worldview, it reterritorializes in a literal sense the land across which the text travels, reaffirming Algonquian land tenure through its recognition of Algonquian cultural practices derived from the land itself.   </w:t>
      </w:r>
    </w:p>
    <w:p w14:paraId="717667A0" w14:textId="77777777" w:rsidR="00AC7D90" w:rsidRPr="00AC7D90" w:rsidRDefault="00AC7D90" w:rsidP="00AC7D90">
      <w:pPr>
        <w:pBdr>
          <w:top w:val="nil"/>
          <w:left w:val="nil"/>
          <w:bottom w:val="nil"/>
          <w:right w:val="nil"/>
          <w:between w:val="nil"/>
          <w:bar w:val="nil"/>
        </w:pBdr>
        <w:spacing w:before="200" w:line="480" w:lineRule="auto"/>
        <w:ind w:firstLine="720"/>
        <w:rPr>
          <w:rFonts w:ascii="Times New Roman"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Likewise, the laughter in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Joaquin Murieta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disrupt the racial hierarchies imposed in the land by the novel’s Americans. The resultant, decentered power relations embodied by Murieta’s gang and other Indigenous figures in the novel, such as the fictional Tejons, indicate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Joaquin Murieta</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’s communitism. The “</w:t>
      </w:r>
      <w:proofErr w:type="spellStart"/>
      <w:r w:rsidRPr="00AC7D90">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Tejon</w:t>
      </w:r>
      <w:proofErr w:type="spellEnd"/>
      <w:r w:rsidRPr="00AC7D90">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 xml:space="preserve"> </w:t>
      </w:r>
      <w:proofErr w:type="spellStart"/>
      <w:r w:rsidRPr="00AC7D90">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Nation</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whom Mark Rifkin identifies as a fictionalized version of the Miwoks, a nation Indigenous to California, are contracted by a group of Americans to track down Murieta and reclaim some horses that Murieta and his band have stolen from a nearby rancho. Though they outsmarted and outran the Americans, the Tejons successfully capture the outlaws and strip them of their clothes, jewelry, horses, and weapons. “Never were men so completely humiliated,”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 xml:space="preserve">Ridge writes of Murieta’s capture. “The poor, miserable, cowardly Tejons had achieved a greater triumph over them than all the Americans put together! Joaquin looked grim for a while, but finally burst out into a loud laugh at his ridiculous position, and ever afterwards endured his captivity with a quiet smile” (38). A Freudian reading would perhaps interpret Murieta’s laughter as giving vent to an impotent rage, but more interesting is the way that his laughter reconfigures the racial dynamics of his encounter with the Tejons. </w:t>
      </w:r>
    </w:p>
    <w:p w14:paraId="66725763" w14:textId="77777777" w:rsidR="00AC7D90" w:rsidRPr="00AC7D90" w:rsidRDefault="00AC7D90" w:rsidP="00AC7D90">
      <w:pPr>
        <w:pBdr>
          <w:top w:val="nil"/>
          <w:left w:val="nil"/>
          <w:bottom w:val="nil"/>
          <w:right w:val="nil"/>
          <w:between w:val="nil"/>
          <w:bar w:val="nil"/>
        </w:pBdr>
        <w:spacing w:before="200" w:line="480" w:lineRule="auto"/>
        <w:ind w:firstLine="720"/>
        <w:rPr>
          <w:rFonts w:ascii="Times New Roman" w:hAnsi="Times New Roman" w:cs="Times New Roman"/>
          <w:color w:val="000000"/>
          <w:u w:color="000000"/>
          <w:bdr w:val="nil"/>
          <w14:textOutline w14:w="0" w14:cap="flat" w14:cmpd="sng" w14:algn="ctr">
            <w14:noFill/>
            <w14:prstDash w14:val="solid"/>
            <w14:bevel/>
          </w14:textOutline>
        </w:rPr>
      </w:pP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Mureita’s</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laughter </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deterritorializes</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the relationship between the Tejons, Americans, and Murieta’s gang. At the beginning of this scene, as Americans approach Sepatarra in the Tejon town, the novel’s language reflects their perspective, describing the Tejons through racist references to their “swarthy” skin, unappetizing forage, and cowardliness. “They soon reached the capital, which consisted of twenty or thirty very picture-</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esque</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looking bark huts scattered along the side of a hill, in front of the largest of which they found old Sepatarra, seated upon his haunches in all the grandeur of ‘naked majesty,’ enjoying a very luxurious repast of roasted acorns and dried </w:t>
      </w:r>
      <w:proofErr w:type="gram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angle-worms</w:t>
      </w:r>
      <w:proofErr w:type="gram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(36). Ridge’s ironic rendering of the Tejons is dominated by references to visuality. Ridge’s choice of the word “picture-</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esque</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to describe the Tejon domiciles signals that we are seeing things from the American’s visual perspective and thus receiving information that has been filtered through a racializing American lens. Their gaze lingers on Sepatarra’s posture and note his nudity before noticing the food he is eating, all of which is processed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 xml:space="preserve">through the nineteenth-century American </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savagist</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dichotomy.</w:t>
      </w:r>
      <w:r w:rsidRPr="00AC7D90">
        <w:rPr>
          <w:rFonts w:ascii="Times New Roman" w:hAnsi="Times New Roman" w:cs="Times New Roman"/>
          <w:color w:val="000000"/>
          <w:u w:color="000000"/>
          <w:bdr w:val="nil"/>
          <w:vertAlign w:val="superscript"/>
          <w14:textOutline w14:w="0" w14:cap="flat" w14:cmpd="sng" w14:algn="ctr">
            <w14:noFill/>
            <w14:prstDash w14:val="solid"/>
            <w14:bevel/>
          </w14:textOutline>
        </w:rPr>
        <w:footnoteReference w:id="30"/>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Rendering the Americans’ savagism ironically is a double-edged technique for Ridge. On the one hand, it strengthens our sense of taking the Americans’ perspective by implicitly glorifying Euro-American civilization. Sepatarra’s nudity, for instance, rather than being processed as an anthropological detail becomes ironized as "naked majesty,” which emphasizes the Americans’ sense of cultural and political supremacy over Indigenous traditions of governance on display in the town. On the other hand, however, Ridge’s irony perpetuates the ignorant chauvinism it satirizes, obscuring what his true feelings on the subject might be. This switching between perspectives—already difficult to track because of Ridge’s irony—is made even more difficult because of his frequent use of free-indirect discourse in the first half of the novel. It is also, therefore, problematic to try to distinguish between views that Ridge may have felt himself and those that he intends us to see as belonging to a certain character. </w:t>
      </w:r>
    </w:p>
    <w:p w14:paraId="4B8F7151" w14:textId="77777777" w:rsidR="00AC7D90" w:rsidRPr="00AC7D90" w:rsidRDefault="00AC7D90" w:rsidP="00AC7D90">
      <w:pPr>
        <w:pBdr>
          <w:top w:val="nil"/>
          <w:left w:val="nil"/>
          <w:bottom w:val="nil"/>
          <w:right w:val="nil"/>
          <w:between w:val="nil"/>
          <w:bar w:val="nil"/>
        </w:pBdr>
        <w:spacing w:before="200" w:line="480" w:lineRule="auto"/>
        <w:ind w:firstLine="720"/>
        <w:rPr>
          <w:rFonts w:ascii="Times New Roman" w:eastAsia="Arial Unicode MS" w:hAnsi="Times New Roman" w:cs="Arial Unicode MS"/>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Ridge’s irony establishes one kind of “refrain” over the scene, which is to say that it arranges the power dynamics between the actors of the scene in a certain way, made intelligible to a reading audience by virtue of his appropriation of the language of savagism. When the scene shifts from the Americans’ encounter with the Tejons to focus on the Tejons’ encounter with Murieta resulting in Murieta’s capture, Murieta’s laughter marks a moment in the text akin to when a film camera breaks the cinematic “180-degree rule,” crossing an invisible axis between two subjects and disorienting the viewer by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 xml:space="preserve">disrupting the positions of a scene’s visual reference points. His laughter disrupts the power dynamics of the previous scene and rearranges them in a new configuration whereby the Tejons are now on equal ground with, if not superior to, Murieta. Ridge’s announcement (we sense from Murieta’s perspective now) that “The poor, miserable, cowardly Tejons had achieved a greater triumph over them than all the Americans put together!” is structured as a punch line to the foregoing scenes. The rehearsal of all of the Americans’ </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savagist</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assumptions about the Tejons piles irony on irony, until the significance of that perspective collapses under the circumstances of their repetition: the display of the Tejon’s strategy, military ability, diplomacy, and </w:t>
      </w:r>
      <w:proofErr w:type="gram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newly-acquired</w:t>
      </w:r>
      <w:proofErr w:type="gram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material wealth. Murieta’s “loud laugh” </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deterritorializes</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the relationship between the Tejons, Americans, and Mexicans, temporarily disrupting the hierarchical worldview of white supremacy to chart a new geography of relations that recognizes the strategic superiority of the Tejons’ “cowardly cunning,” even over the master strategist himself.</w:t>
      </w:r>
    </w:p>
    <w:p w14:paraId="58FB1008" w14:textId="77777777" w:rsidR="00AC7D90" w:rsidRPr="00AC7D90" w:rsidRDefault="00AC7D90" w:rsidP="00AC7D90">
      <w:pPr>
        <w:pBdr>
          <w:top w:val="nil"/>
          <w:left w:val="nil"/>
          <w:bottom w:val="nil"/>
          <w:right w:val="nil"/>
          <w:between w:val="nil"/>
          <w:bar w:val="nil"/>
        </w:pBdr>
        <w:spacing w:before="200" w:line="480" w:lineRule="auto"/>
        <w:ind w:firstLine="720"/>
        <w:rPr>
          <w:rFonts w:ascii="Times New Roman" w:eastAsia="Arial Unicode MS" w:hAnsi="Times New Roman" w:cs="Arial Unicode MS"/>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lang w:val="it-IT"/>
          <w14:textOutline w14:w="0" w14:cap="flat" w14:cmpd="sng" w14:algn="ctr">
            <w14:noFill/>
            <w14:prstDash w14:val="solid"/>
            <w14:bevel/>
          </w14:textOutline>
        </w:rPr>
        <w:t xml:space="preserve">This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encounter with the Tejons illustrates a moment of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Joaquin Murieta</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’s communitism in its prioritization of justice as a restoration of balance rather than as a punitive act of state violence.</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The humor of Sepatarra’s captivity of Murieta balances out the idea of Murieta as a romantic, infallible, criminal genius, a vision of Murieta that originates in American </w:t>
      </w:r>
      <w:proofErr w:type="gram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newspapers</w:t>
      </w:r>
      <w:proofErr w:type="gram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but that Murieta plays into for the survival of his community. As Murieta’s grimness gives way to amusement, his “loud laugh” reveals another facet of his leadership skills and respect for Indigenous traditions. For instance, his response to being beaten by the Americans is to wage war, but his response to the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 xml:space="preserve">ceremonial beatings Sepatarra orders for him is to “laugh </w:t>
      </w:r>
      <w:proofErr w:type="gram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prodigiously—declaring</w:t>
      </w:r>
      <w:proofErr w:type="gram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upon his honor as a man that not a hair of old Sepatarra’s head should be harmed” (40). The difference is that the Americans’ behavior is a violation of his rights while Sepatarra’s “decent and thorough flogging” is an act meant to restore balance by seeing “the ends of justice satisfied” (39). </w:t>
      </w:r>
    </w:p>
    <w:p w14:paraId="32A2FA6B" w14:textId="77777777" w:rsidR="00AC7D90" w:rsidRPr="00AC7D90" w:rsidRDefault="00AC7D90" w:rsidP="00AC7D90">
      <w:pPr>
        <w:pBdr>
          <w:top w:val="nil"/>
          <w:left w:val="nil"/>
          <w:bottom w:val="nil"/>
          <w:right w:val="nil"/>
          <w:between w:val="nil"/>
          <w:bar w:val="nil"/>
        </w:pBdr>
        <w:spacing w:before="200" w:line="480" w:lineRule="auto"/>
        <w:ind w:firstLine="720"/>
        <w:rPr>
          <w:rFonts w:ascii="Times New Roman"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Justice is one form of balance; humor is another. Joaquin’s laughing acceptance of the Tejon law while he is in their captivity contrasts sharply with the Americans’ disdain for Tejon culture. The Americans who turn their nose up at Sepatarra’s hospitality cannot imagine crossing the cultural divide that they imagine separates them from the natives. Conversely, Murieta accepts the terms of his captivity, including his ceremonial flogging, as in total accordance with the values the novel constantly identifies with the ideal American civilization: courage, honor, justice, and fairness. Murieta’s good humor in this scene exemplifies the virtues that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should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govern all scenes of encounter across the multiple theaters of U.S. expansion. The distance between Murieta’s laughter and the Americans’ scorn precisely indexes the novel’s critique of U.S. colonialism and, more specifically, the ideology of xenophobic white supremacy that undergirds it. </w:t>
      </w:r>
    </w:p>
    <w:p w14:paraId="316DA9D9" w14:textId="77777777" w:rsidR="00AC7D90" w:rsidRPr="00AC7D90" w:rsidRDefault="00AC7D90" w:rsidP="00AC7D90">
      <w:pPr>
        <w:pBdr>
          <w:top w:val="nil"/>
          <w:left w:val="nil"/>
          <w:bottom w:val="nil"/>
          <w:right w:val="nil"/>
          <w:between w:val="nil"/>
          <w:bar w:val="nil"/>
        </w:pBdr>
        <w:spacing w:before="200" w:line="480" w:lineRule="auto"/>
        <w:rPr>
          <w:rFonts w:ascii="Times New Roman"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lang w:val="de-DE"/>
          <w14:textOutline w14:w="0" w14:cap="flat" w14:cmpd="sng" w14:algn="ctr">
            <w14:noFill/>
            <w14:prstDash w14:val="solid"/>
            <w14:bevel/>
          </w14:textOutline>
        </w:rPr>
        <w:t xml:space="preserve">        </w:t>
      </w:r>
      <w:r w:rsidRPr="00AC7D90">
        <w:rPr>
          <w:rFonts w:ascii="Times New Roman" w:eastAsia="Arial Unicode MS" w:hAnsi="Times New Roman" w:cs="Arial Unicode MS"/>
          <w:color w:val="000000"/>
          <w:u w:color="000000"/>
          <w:bdr w:val="nil"/>
          <w:lang w:val="de-DE"/>
          <w14:textOutline w14:w="0" w14:cap="flat" w14:cmpd="sng" w14:algn="ctr">
            <w14:noFill/>
            <w14:prstDash w14:val="solid"/>
            <w14:bevel/>
          </w14:textOutline>
        </w:rPr>
        <w:tab/>
        <w:t xml:space="preserve">Such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“de/re-territorialization” via laughter is almost literally thematized a few paragraphs later when, after having been beaten and then freed by Sepatarra, Murieta and his band of followers wind their way back to their isolated mountain camp. Naked, unarmed, and bedraggled, they present quite the spectacle to Mountain Jim, one of Murieta’</w:t>
      </w:r>
      <w:r w:rsidRPr="00AC7D90">
        <w:rPr>
          <w:rFonts w:ascii="Times New Roman" w:eastAsia="Arial Unicode MS" w:hAnsi="Times New Roman" w:cs="Arial Unicode MS"/>
          <w:color w:val="000000"/>
          <w:u w:color="000000"/>
          <w:bdr w:val="nil"/>
          <w:lang w:val="fr-FR"/>
          <w14:textOutline w14:w="0" w14:cap="flat" w14:cmpd="sng" w14:algn="ctr">
            <w14:noFill/>
            <w14:prstDash w14:val="solid"/>
            <w14:bevel/>
          </w14:textOutline>
        </w:rPr>
        <w:t>s lieutenants:</w:t>
      </w:r>
    </w:p>
    <w:p w14:paraId="5719AE8A" w14:textId="77777777" w:rsidR="00AC7D90" w:rsidRPr="00AC7D90" w:rsidRDefault="00AC7D90" w:rsidP="00AC7D90">
      <w:pPr>
        <w:pBdr>
          <w:top w:val="nil"/>
          <w:left w:val="nil"/>
          <w:bottom w:val="nil"/>
          <w:right w:val="nil"/>
          <w:between w:val="nil"/>
          <w:bar w:val="nil"/>
        </w:pBdr>
        <w:spacing w:before="200" w:line="480" w:lineRule="auto"/>
        <w:ind w:left="720"/>
        <w:rPr>
          <w:rFonts w:ascii="Times New Roman"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 xml:space="preserve">After a day or two’s travel, Joaquin and party arrived, nearly worn out, in the vicinity of San Francisco Rancho at the head of the Tejon Pass where they met with Mountain Jim, one of their confederates, who had been out upon his “own hook” robbing and stealing for a few weeks then passed. He was astounded at the spectacle which they presented, and begged Joaquin to allow him the privilege of laughing one hearty laugh before he listened to any explanation of the mystery. The privilege was readily granted, and the jolly bandit went through the performance with great zest and unction, making the woods echo and re-echo with his most refreshing peals of merriment. The women hid themselves in the brush, and were like </w:t>
      </w:r>
      <w:proofErr w:type="gram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mother</w:t>
      </w:r>
      <w:proofErr w:type="gram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Eve when she sinned—conscious of their nakedness without being told of it. (41) </w:t>
      </w:r>
    </w:p>
    <w:p w14:paraId="0F49D3A1" w14:textId="77777777" w:rsidR="00AC7D90" w:rsidRPr="00AC7D90" w:rsidRDefault="00AC7D90" w:rsidP="005D0244">
      <w:pPr>
        <w:pBdr>
          <w:top w:val="nil"/>
          <w:left w:val="nil"/>
          <w:bottom w:val="nil"/>
          <w:right w:val="nil"/>
          <w:between w:val="nil"/>
          <w:bar w:val="nil"/>
        </w:pBdr>
        <w:spacing w:line="480" w:lineRule="auto"/>
        <w:rPr>
          <w:rFonts w:ascii="Times New Roman"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John Carlos Rowe contends that Ridge’s novel “</w:t>
      </w:r>
      <w:r w:rsidRPr="00AC7D90">
        <w:rPr>
          <w:rFonts w:ascii="Times New Roman" w:eastAsia="Arial Unicode MS" w:hAnsi="Times New Roman" w:cs="Arial Unicode MS"/>
          <w:color w:val="000000"/>
          <w:u w:color="000000"/>
          <w:bdr w:val="nil"/>
          <w:lang w:val="pt-PT"/>
          <w14:textOutline w14:w="0" w14:cap="flat" w14:cmpd="sng" w14:algn="ctr">
            <w14:noFill/>
            <w14:prstDash w14:val="solid"/>
            <w14:bevel/>
          </w14:textOutline>
        </w:rPr>
        <w:t>condemn[s] cooperative labor,</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that, “frustrated in his efforts to realize his identity as an individual…Joaquin becomes a tyrant” (109). It is possible to read this scene as evidence in support of Rowe, that Murieta’s reappearance in camp and the brief series of events it initiates on Murieta’s behalf point to the power of Murieta’s personality over his men. After all, Jim’s laughter is heavily mediated; his “peals of merriment” are described as a “performance” which may only begin with Murieta’s “</w:t>
      </w:r>
      <w:r w:rsidRPr="00AC7D90">
        <w:rPr>
          <w:rFonts w:ascii="Times New Roman" w:eastAsia="Arial Unicode MS" w:hAnsi="Times New Roman" w:cs="Arial Unicode MS"/>
          <w:color w:val="000000"/>
          <w:u w:color="000000"/>
          <w:bdr w:val="nil"/>
          <w:lang w:val="it-IT"/>
          <w14:textOutline w14:w="0" w14:cap="flat" w14:cmpd="sng" w14:algn="ctr">
            <w14:noFill/>
            <w14:prstDash w14:val="solid"/>
            <w14:bevel/>
          </w14:textOutline>
        </w:rPr>
        <w:t>permission.</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From this perspective, Jim’s laughter re-territorializes the power relations between Murieta and his men that had been disrupted by his captivity among the Tejons. But this is not the whole picture. To reiterate Emmerson’s key insight about laughter: it is transpersonal, meaning that instead of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 xml:space="preserve">apprehending it as the ego’s response to conditions outside the body, laughter exceeds the body and, in fact, finds its primary significance beyond the individual in the ways that it configures the space and relations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between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bodies. When Jim’s laughter “echoes and re-echoes” through the surrounding area, suffusing the landscape with “peals of merriment,” it temporarily reconfigures the space and the relations between him, Murieta, and the other bodies in the scene.</w:t>
      </w:r>
    </w:p>
    <w:p w14:paraId="1E4885C2" w14:textId="77777777" w:rsidR="00AC7D90" w:rsidRPr="00AC7D90" w:rsidRDefault="00AC7D90" w:rsidP="005D0244">
      <w:pPr>
        <w:pBdr>
          <w:top w:val="nil"/>
          <w:left w:val="nil"/>
          <w:bottom w:val="nil"/>
          <w:right w:val="nil"/>
          <w:between w:val="nil"/>
          <w:bar w:val="nil"/>
        </w:pBdr>
        <w:spacing w:line="480" w:lineRule="auto"/>
        <w:rPr>
          <w:rFonts w:ascii="Times New Roman"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ab/>
        <w:t>Although Murieta “allows” Jim’s laughter to happen, thus seeming to grant him some level of control over it, laughter itself seems to spread far beyond Murieta’s immediate encounter with Jim, exceeding the power relation between two bodies it supposedly marks.</w:t>
      </w:r>
      <w:r w:rsidRPr="00AC7D90">
        <w:rPr>
          <w:rFonts w:ascii="Times New Roman" w:hAnsi="Times New Roman" w:cs="Times New Roman"/>
          <w:color w:val="000000"/>
          <w:u w:color="000000"/>
          <w:bdr w:val="nil"/>
          <w:vertAlign w:val="superscript"/>
          <w14:textOutline w14:w="0" w14:cap="flat" w14:cmpd="sng" w14:algn="ctr">
            <w14:noFill/>
            <w14:prstDash w14:val="solid"/>
            <w14:bevel/>
          </w14:textOutline>
        </w:rPr>
        <w:footnoteReference w:id="31"/>
      </w:r>
      <w:r w:rsidRPr="00AC7D90">
        <w:rPr>
          <w:rFonts w:ascii="Times New Roman" w:eastAsia="Arial Unicode MS" w:hAnsi="Times New Roman" w:cs="Arial Unicode MS"/>
          <w:color w:val="000000"/>
          <w:u w:color="000000"/>
          <w:bdr w:val="nil"/>
          <w:lang w:val="it-IT"/>
          <w14:textOutline w14:w="0" w14:cap="flat" w14:cmpd="sng" w14:algn="ctr">
            <w14:noFill/>
            <w14:prstDash w14:val="solid"/>
            <w14:bevel/>
          </w14:textOutline>
        </w:rPr>
        <w:t xml:space="preserve"> Murieta</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’s return to camp, a refrain in the novel that typically reinscribes Murieta’s central authority over the criminal organization he is said to control, instead here becomes a demonstration of the true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decentralized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power of the organization. Immediately, the scene de-emphasizes Murieta’s tyrannical authority. Mountain Jim is designated “one of their confederates, who had been out upon his ‘own hook’ robbing and stealing.” This is one of two places in the novel Ridge uses the word “</w:t>
      </w:r>
      <w:r w:rsidRPr="00AC7D90">
        <w:rPr>
          <w:rFonts w:ascii="Times New Roman" w:eastAsia="Arial Unicode MS" w:hAnsi="Times New Roman" w:cs="Arial Unicode MS"/>
          <w:color w:val="000000"/>
          <w:u w:color="000000"/>
          <w:bdr w:val="nil"/>
          <w:lang w:val="it-IT"/>
          <w14:textOutline w14:w="0" w14:cap="flat" w14:cmpd="sng" w14:algn="ctr">
            <w14:noFill/>
            <w14:prstDash w14:val="solid"/>
            <w14:bevel/>
          </w14:textOutline>
        </w:rPr>
        <w:t>confederate</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(both instances in reference to Jim) which designates Jim as an ally on equal grounds with, rather than a pledged subordinate to, Murieta. Moreover, through the second-person plural pronoun </w:t>
      </w:r>
      <w:proofErr w:type="spellStart"/>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their</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this equality of stature is extended to the entire band, not just to Jim himself. Next, it matters that Jim was “out on his ‘own hook.’” Murieta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may be the presiding genius over the enterprise, but its success (and Joaquin’s terrific reputation) depends largely on his independent allies’ coordinated efforts. Indeed, it is suggested in the opening pages of the book that part of Murieta’s fearsomeness comes from the fact that he seems to be able to travel vast distances nearly instantaneously, a feat which Ridge puts down to there being in fact more than one “</w:t>
      </w:r>
      <w:r w:rsidRPr="00AC7D90">
        <w:rPr>
          <w:rFonts w:ascii="Times New Roman" w:eastAsia="Arial Unicode MS" w:hAnsi="Times New Roman" w:cs="Arial Unicode MS"/>
          <w:color w:val="000000"/>
          <w:u w:color="000000"/>
          <w:bdr w:val="nil"/>
          <w:lang w:val="pt-PT"/>
          <w14:textOutline w14:w="0" w14:cap="flat" w14:cmpd="sng" w14:algn="ctr">
            <w14:noFill/>
            <w14:prstDash w14:val="solid"/>
            <w14:bevel/>
          </w14:textOutline>
        </w:rPr>
        <w:t>Joaquin</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in the gang. These efforts go on in Murieta’</w:t>
      </w:r>
      <w:r w:rsidRPr="00AC7D90">
        <w:rPr>
          <w:rFonts w:ascii="Times New Roman" w:eastAsia="Arial Unicode MS" w:hAnsi="Times New Roman" w:cs="Arial Unicode MS"/>
          <w:color w:val="000000"/>
          <w:u w:color="000000"/>
          <w:bdr w:val="nil"/>
          <w:lang w:val="fr-FR"/>
          <w14:textOutline w14:w="0" w14:cap="flat" w14:cmpd="sng" w14:algn="ctr">
            <w14:noFill/>
            <w14:prstDash w14:val="solid"/>
            <w14:bevel/>
          </w14:textOutline>
        </w:rPr>
        <w:t>s absence</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—and, the novel’s ending suggests, for some time after his death—and contribute to the welfare of the whole.</w:t>
      </w:r>
    </w:p>
    <w:p w14:paraId="5F4014C7" w14:textId="77777777" w:rsidR="00AC7D90" w:rsidRPr="00AC7D90" w:rsidRDefault="00AC7D90" w:rsidP="005D0244">
      <w:pPr>
        <w:pBdr>
          <w:top w:val="nil"/>
          <w:left w:val="nil"/>
          <w:bottom w:val="nil"/>
          <w:right w:val="nil"/>
          <w:between w:val="nil"/>
          <w:bar w:val="nil"/>
        </w:pBdr>
        <w:spacing w:line="480" w:lineRule="auto"/>
        <w:rPr>
          <w:rFonts w:ascii="Times New Roman"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ab/>
        <w:t xml:space="preserve">Moreover, Murieta’s reappearance on the scene does not refocus the episode of Jim’s laughter on its presumptive hero but sets off a series of events that further demonstrates a decentralized, communal ethos. After his raid, Mountain Jim provides the “naked and defenceless” group with clothing, horses, and weapons—“in an instant,” Ridge writes, “transformed into a powerful and dreaded outlaw; and this by the efficiency of that combination which his own daring genius had set on foot and successfully maintained” (41-42). This picture of Murieta’s operations indicates an important foundational ethos of communal care and mutual aid: an ethos, I will argue below, is grounded in Cherokee ethics. Having seemingly recovered from his humiliation and dispatched some men to organize further “outfits” in the surrounding area, Murieta and Mountain Jim go out to recover what they assume is the body of their partner (and Murieta’s brother-in-law), Reyes, whom they had previously left for dead. However, they discover Reyes “not only alive, but able to sit up. His faithful mistress had supplied him with the only food she could obtain…a sweet-smelling root which grows in great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 xml:space="preserve">abundance all over that region…and also some red berries which grew on the bushes around her” (42). The roots that Carmelita used to sustain Reyes recall the foraging practices of the so-called “digger” Indians and the acorns and angle worms eaten by the Tejons. Moreover, that Ridge should assign Carmelita as the obtainer of the salutary roots points back to his Cherokee roots where sustenance practices were divided according to gender and women were responsible for foraging and gathering while men hunted. According to the </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savagist</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discourse of the period (some of which is detectable in Ridge’s language) such traditional practices were derided as “</w:t>
      </w:r>
      <w:proofErr w:type="spellStart"/>
      <w:r w:rsidRPr="00AC7D90">
        <w:rPr>
          <w:rFonts w:ascii="Times New Roman" w:eastAsia="Arial Unicode MS" w:hAnsi="Times New Roman" w:cs="Arial Unicode MS"/>
          <w:color w:val="000000"/>
          <w:u w:color="000000"/>
          <w:bdr w:val="nil"/>
          <w:lang w:val="fr-FR"/>
          <w14:textOutline w14:w="0" w14:cap="flat" w14:cmpd="sng" w14:algn="ctr">
            <w14:noFill/>
            <w14:prstDash w14:val="solid"/>
            <w14:bevel/>
          </w14:textOutline>
        </w:rPr>
        <w:t>savage</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compared to the “civilized” cultivation of livestock and European style of farming. However, here such sustenance practices are part of an array of signs that indicate the communal ethos undergirding Murieta’</w:t>
      </w:r>
      <w:r w:rsidRPr="00AC7D90">
        <w:rPr>
          <w:rFonts w:ascii="Times New Roman" w:eastAsia="Arial Unicode MS" w:hAnsi="Times New Roman" w:cs="Arial Unicode MS"/>
          <w:color w:val="000000"/>
          <w:u w:color="000000"/>
          <w:bdr w:val="nil"/>
          <w:lang w:val="pt-PT"/>
          <w14:textOutline w14:w="0" w14:cap="flat" w14:cmpd="sng" w14:algn="ctr">
            <w14:noFill/>
            <w14:prstDash w14:val="solid"/>
            <w14:bevel/>
          </w14:textOutline>
        </w:rPr>
        <w:t xml:space="preserve">s confederation. </w:t>
      </w:r>
    </w:p>
    <w:p w14:paraId="7E2DAD3D" w14:textId="39D77DD9" w:rsidR="00AC7D90" w:rsidRDefault="00AC7D90" w:rsidP="005D0244">
      <w:pPr>
        <w:pBdr>
          <w:top w:val="nil"/>
          <w:left w:val="nil"/>
          <w:bottom w:val="nil"/>
          <w:right w:val="nil"/>
          <w:between w:val="nil"/>
          <w:bar w:val="nil"/>
        </w:pBdr>
        <w:spacing w:line="480" w:lineRule="auto"/>
        <w:rPr>
          <w:rFonts w:ascii="Times New Roman" w:eastAsia="Arial Unicode MS" w:hAnsi="Times New Roman" w:cs="Arial Unicode MS"/>
          <w:color w:val="000000"/>
          <w:u w:color="000000"/>
          <w:bdr w:val="nil"/>
          <w14:textOutline w14:w="0" w14:cap="flat" w14:cmpd="sng" w14:algn="ctr">
            <w14:noFill/>
            <w14:prstDash w14:val="solid"/>
            <w14:bevel/>
          </w14:textOutline>
        </w:rPr>
      </w:pPr>
      <w:r w:rsidRPr="00AC7D90">
        <w:rPr>
          <w:rFonts w:ascii="Times New Roman" w:hAnsi="Times New Roman" w:cs="Times New Roman"/>
          <w:color w:val="000000"/>
          <w:u w:color="000000"/>
          <w:bdr w:val="nil"/>
          <w14:textOutline w14:w="0" w14:cap="flat" w14:cmpd="sng" w14:algn="ctr">
            <w14:noFill/>
            <w14:prstDash w14:val="solid"/>
            <w14:bevel/>
          </w14:textOutline>
        </w:rPr>
        <w:tab/>
        <w:t xml:space="preserve">While these moments of laughter indicate the resilience of communal Cherokee values in </w:t>
      </w:r>
      <w:proofErr w:type="spellStart"/>
      <w:r w:rsidRPr="00AC7D90">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Joaquin</w:t>
      </w:r>
      <w:proofErr w:type="spellEnd"/>
      <w:r w:rsidRPr="00AC7D90">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 xml:space="preserve"> Murieta</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particularly the core values of kinship, reciprocity, justice, and balance, they also point to the most important and enduring value that the Cherokees share with all Indigenous peoples: their continuous and persevering connection to their lands. Just as the “muffled Algonquin laughter” that Laura Arnold traces unsettles the Puritan land claims that undergird Mary Rowlandson’s captivity narrative, so the laughter of Murieta’s clan sounds again and again their resistance to the articulation of American land claim over California. After all, the </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originary</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violence that motivates the entire plot of the novel is about land, and Murieta’s subsequent reign of terror is a total refusal to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acculturate to American values of capital and private property.</w:t>
      </w:r>
      <w:r w:rsidRPr="00AC7D90">
        <w:rPr>
          <w:rFonts w:ascii="Times New Roman" w:hAnsi="Times New Roman" w:cs="Times New Roman"/>
          <w:color w:val="000000"/>
          <w:u w:color="000000"/>
          <w:bdr w:val="nil"/>
          <w:vertAlign w:val="superscript"/>
          <w14:textOutline w14:w="0" w14:cap="flat" w14:cmpd="sng" w14:algn="ctr">
            <w14:noFill/>
            <w14:prstDash w14:val="solid"/>
            <w14:bevel/>
          </w14:textOutline>
        </w:rPr>
        <w:footnoteReference w:id="32"/>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Laughter’s reterritorialization of Murieta’s clan from a hierarchy of bandits to a confederacy of equals sharing food and spoils simultaneously </w:t>
      </w:r>
      <w:proofErr w:type="spellStart"/>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deterritorializes</w:t>
      </w:r>
      <w:proofErr w:type="spellEnd"/>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California as an American “</w:t>
      </w:r>
      <w:r w:rsidRPr="00AC7D90">
        <w:rPr>
          <w:rFonts w:ascii="Times New Roman" w:eastAsia="Arial Unicode MS" w:hAnsi="Times New Roman" w:cs="Arial Unicode MS"/>
          <w:color w:val="000000"/>
          <w:u w:color="000000"/>
          <w:bdr w:val="nil"/>
          <w:lang w:val="it-IT"/>
          <w14:textOutline w14:w="0" w14:cap="flat" w14:cmpd="sng" w14:algn="ctr">
            <w14:noFill/>
            <w14:prstDash w14:val="solid"/>
            <w14:bevel/>
          </w14:textOutline>
        </w:rPr>
        <w:t>conquest,</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imagining a more egalitarian, perhaps more totally and radically free, land in its stead.</w:t>
      </w:r>
    </w:p>
    <w:p w14:paraId="161FAC79" w14:textId="2D815BC2" w:rsidR="00AC7D90" w:rsidRPr="001D2535" w:rsidRDefault="008752E7" w:rsidP="001D2535">
      <w:pPr>
        <w:pStyle w:val="Heading2"/>
        <w:spacing w:line="480" w:lineRule="auto"/>
        <w:jc w:val="center"/>
        <w:rPr>
          <w:rStyle w:val="None"/>
          <w:rFonts w:ascii="Times New Roman" w:hAnsi="Times New Roman" w:cs="Times New Roman"/>
          <w:b/>
          <w:bCs/>
          <w:color w:val="auto"/>
          <w:sz w:val="24"/>
          <w:szCs w:val="24"/>
        </w:rPr>
      </w:pPr>
      <w:bookmarkStart w:id="17" w:name="_Toc169279172"/>
      <w:r w:rsidRPr="001D2535">
        <w:rPr>
          <w:rStyle w:val="None"/>
          <w:rFonts w:ascii="Times New Roman" w:hAnsi="Times New Roman" w:cs="Times New Roman"/>
          <w:b/>
          <w:bCs/>
          <w:color w:val="auto"/>
          <w:sz w:val="24"/>
          <w:szCs w:val="24"/>
        </w:rPr>
        <w:t>Indigenizing Whiteness in Old Southwestern Humor</w:t>
      </w:r>
      <w:bookmarkEnd w:id="17"/>
    </w:p>
    <w:p w14:paraId="3A34C91E" w14:textId="59506FBA" w:rsidR="00AC7D90" w:rsidRPr="00AC7D90" w:rsidRDefault="00AC7D90" w:rsidP="001D2535">
      <w:pPr>
        <w:pBdr>
          <w:top w:val="nil"/>
          <w:left w:val="nil"/>
          <w:bottom w:val="nil"/>
          <w:right w:val="nil"/>
          <w:between w:val="nil"/>
          <w:bar w:val="nil"/>
        </w:pBdr>
        <w:spacing w:line="480" w:lineRule="auto"/>
        <w:rPr>
          <w:rFonts w:ascii="Times New Roman" w:eastAsia="Arial Unicode MS" w:hAnsi="Times New Roman" w:cs="Times New Roman"/>
          <w:color w:val="000000"/>
          <w:u w:color="000000"/>
          <w:bdr w:val="nil"/>
          <w14:textOutline w14:w="0" w14:cap="flat" w14:cmpd="sng" w14:algn="ctr">
            <w14:noFill/>
            <w14:prstDash w14:val="solid"/>
            <w14:bevel/>
          </w14:textOutline>
        </w:rPr>
      </w:pPr>
      <w:r>
        <w:rPr>
          <w:rFonts w:ascii="Times New Roman" w:hAnsi="Times New Roman" w:cs="Times New Roman"/>
          <w:color w:val="000000"/>
          <w:u w:color="000000"/>
          <w:bdr w:val="nil"/>
          <w14:textOutline w14:w="0" w14:cap="flat" w14:cmpd="sng" w14:algn="ctr">
            <w14:noFill/>
            <w14:prstDash w14:val="solid"/>
            <w14:bevel/>
          </w14:textOutline>
        </w:rPr>
        <w:tab/>
      </w:r>
      <w:r w:rsidRPr="00AC7D90">
        <w:rPr>
          <w:rFonts w:ascii="Times New Roman" w:hAnsi="Times New Roman" w:cs="Times New Roman"/>
          <w:color w:val="000000"/>
          <w:u w:color="000000"/>
          <w:bdr w:val="nil"/>
          <w14:textOutline w14:w="0" w14:cap="flat" w14:cmpd="sng" w14:algn="ctr">
            <w14:noFill/>
            <w14:prstDash w14:val="solid"/>
            <w14:bevel/>
          </w14:textOutline>
        </w:rPr>
        <w:t xml:space="preserve">Through the example of George Washington Harris’s </w:t>
      </w:r>
      <w:r w:rsidRPr="00AC7D90">
        <w:rPr>
          <w:rFonts w:ascii="Times New Roman" w:hAnsi="Times New Roman" w:cs="Times New Roman"/>
          <w:i/>
          <w:iCs/>
          <w:color w:val="000000"/>
          <w:u w:color="000000"/>
          <w:bdr w:val="nil"/>
          <w14:textOutline w14:w="0" w14:cap="flat" w14:cmpd="sng" w14:algn="ctr">
            <w14:noFill/>
            <w14:prstDash w14:val="solid"/>
            <w14:bevel/>
          </w14:textOutline>
        </w:rPr>
        <w:t xml:space="preserve">Sut Lovingood </w:t>
      </w:r>
      <w:r w:rsidRPr="00AC7D90">
        <w:rPr>
          <w:rFonts w:ascii="Times New Roman" w:hAnsi="Times New Roman" w:cs="Times New Roman"/>
          <w:color w:val="000000"/>
          <w:u w:color="000000"/>
          <w:bdr w:val="nil"/>
          <w14:textOutline w14:w="0" w14:cap="flat" w14:cmpd="sng" w14:algn="ctr">
            <w14:noFill/>
            <w14:prstDash w14:val="solid"/>
            <w14:bevel/>
          </w14:textOutline>
        </w:rPr>
        <w:t xml:space="preserve">story “Razor-Grinder in a Thunderstorm,” </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we can see how the nostalgic and violent Southern identity envisioned in this instance of Old Southwestern Humor engages narratives of Removal and appropriates Cherokee signifiers of resistance. As pointed out in this chapter’s introduction, Gina Caison describes how, historically, narratives of Southern regional identity have been bound up with foundational myths of loss as well as structures of feeling that naturalize white settlers’ belonging to the land. As the stories white Southerners told each other justified a collective sense of attachment to the land that became “the South,” they erased the Native history in the region and ignored contemporary Indigenous resistance to the settlers’ ongoing land theft. As part of this erasure, settler narratives of Southern belonging appropriate the signifiers of historical </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lastRenderedPageBreak/>
        <w:t>Native resistance in order to strengthen white Americans’ sense of their own romantic indigeneity in the land. “Razor-Grinder in a Thunderstorm” demonstrates this complex process and shows the role that the violent humor played in Old Southwest Humor’s formulation of Southern identity.</w:t>
      </w:r>
    </w:p>
    <w:p w14:paraId="16145D97" w14:textId="77777777" w:rsidR="00AC7D90" w:rsidRPr="00AC7D90" w:rsidRDefault="00AC7D90" w:rsidP="00AC7D90">
      <w:pPr>
        <w:pBdr>
          <w:top w:val="nil"/>
          <w:left w:val="nil"/>
          <w:bottom w:val="nil"/>
          <w:right w:val="nil"/>
          <w:between w:val="nil"/>
          <w:bar w:val="nil"/>
        </w:pBdr>
        <w:spacing w:line="480" w:lineRule="auto"/>
        <w:rPr>
          <w:rFonts w:ascii="Times New Roman" w:eastAsia="Arial Unicode MS"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ab/>
        <w:t xml:space="preserve">Considered by many critics to be exemplary of Old Southwest Humor, the </w:t>
      </w:r>
      <w:r w:rsidRPr="00AC7D90">
        <w:rPr>
          <w:rFonts w:ascii="Times New Roman" w:eastAsia="Arial Unicode MS" w:hAnsi="Times New Roman" w:cs="Times New Roman"/>
          <w:i/>
          <w:iCs/>
          <w:color w:val="000000"/>
          <w:u w:color="000000"/>
          <w:bdr w:val="nil"/>
          <w14:textOutline w14:w="0" w14:cap="flat" w14:cmpd="sng" w14:algn="ctr">
            <w14:noFill/>
            <w14:prstDash w14:val="solid"/>
            <w14:bevel/>
          </w14:textOutline>
        </w:rPr>
        <w:t xml:space="preserve">Sut Lovingood </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tales present the customs and dialect of rural, lower-class, white East Tennessee society through the eyes of the irascible trickster-narrator Sut Lovingood. Sut is a Tennessee “</w:t>
      </w:r>
      <w:r w:rsidRPr="00AC7D90">
        <w:rPr>
          <w:rFonts w:ascii="Times New Roman" w:eastAsia="Arial Unicode MS" w:hAnsi="Times New Roman" w:cs="Times New Roman"/>
          <w:color w:val="000000"/>
          <w:u w:color="000000"/>
          <w:bdr w:val="nil"/>
          <w:lang w:val="fr-FR"/>
          <w14:textOutline w14:w="0" w14:cap="flat" w14:cmpd="sng" w14:algn="ctr">
            <w14:noFill/>
            <w14:prstDash w14:val="solid"/>
            <w14:bevel/>
          </w14:textOutline>
        </w:rPr>
        <w:t>native,</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born and raised in the landscape where his stories take place. As with many stories from the Old Southwest Humor, Sut’s tales are recorded and presented by George, the genteel representative of the cosmopolitan reader, who may be based on Harris himself.</w:t>
      </w:r>
      <w:r w:rsidRPr="00AC7D90">
        <w:rPr>
          <w:rFonts w:ascii="Times New Roman" w:eastAsia="Arial Unicode MS" w:hAnsi="Times New Roman" w:cs="Times New Roman"/>
          <w:color w:val="000000"/>
          <w:u w:color="000000"/>
          <w:bdr w:val="nil"/>
          <w:vertAlign w:val="superscript"/>
          <w14:textOutline w14:w="0" w14:cap="flat" w14:cmpd="sng" w14:algn="ctr">
            <w14:noFill/>
            <w14:prstDash w14:val="solid"/>
            <w14:bevel/>
          </w14:textOutline>
        </w:rPr>
        <w:footnoteReference w:id="33"/>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The first Sut story, “The Snake-Bit Irishman,” was printed in the </w:t>
      </w:r>
      <w:r w:rsidRPr="00AC7D90">
        <w:rPr>
          <w:rFonts w:ascii="Times New Roman" w:eastAsia="Arial Unicode MS" w:hAnsi="Times New Roman" w:cs="Times New Roman"/>
          <w:i/>
          <w:iCs/>
          <w:color w:val="000000"/>
          <w:u w:color="000000"/>
          <w:bdr w:val="nil"/>
          <w14:textOutline w14:w="0" w14:cap="flat" w14:cmpd="sng" w14:algn="ctr">
            <w14:noFill/>
            <w14:prstDash w14:val="solid"/>
            <w14:bevel/>
          </w14:textOutline>
        </w:rPr>
        <w:t xml:space="preserve">Spirit of the Times </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in 1846. Most of Harris’s other Sut stories were printed between 1854-1869 in local papers like the Nashville </w:t>
      </w:r>
      <w:r w:rsidRPr="00AC7D90">
        <w:rPr>
          <w:rFonts w:ascii="Times New Roman" w:eastAsia="Arial Unicode MS" w:hAnsi="Times New Roman" w:cs="Times New Roman"/>
          <w:i/>
          <w:iCs/>
          <w:color w:val="000000"/>
          <w:u w:color="000000"/>
          <w:bdr w:val="nil"/>
          <w14:textOutline w14:w="0" w14:cap="flat" w14:cmpd="sng" w14:algn="ctr">
            <w14:noFill/>
            <w14:prstDash w14:val="solid"/>
            <w14:bevel/>
          </w14:textOutline>
        </w:rPr>
        <w:t>Union and American</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though a few appeared in the </w:t>
      </w:r>
      <w:r w:rsidRPr="00AC7D90">
        <w:rPr>
          <w:rFonts w:ascii="Times New Roman" w:eastAsia="Arial Unicode MS" w:hAnsi="Times New Roman" w:cs="Times New Roman"/>
          <w:i/>
          <w:iCs/>
          <w:color w:val="000000"/>
          <w:u w:color="000000"/>
          <w:bdr w:val="nil"/>
          <w14:textOutline w14:w="0" w14:cap="flat" w14:cmpd="sng" w14:algn="ctr">
            <w14:noFill/>
            <w14:prstDash w14:val="solid"/>
            <w14:bevel/>
          </w14:textOutline>
        </w:rPr>
        <w:t xml:space="preserve">New York Atlas </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and other papers outside of the South.</w:t>
      </w:r>
      <w:r w:rsidRPr="00AC7D90">
        <w:rPr>
          <w:rFonts w:ascii="Times New Roman" w:eastAsia="Arial Unicode MS" w:hAnsi="Times New Roman" w:cs="Times New Roman"/>
          <w:color w:val="000000"/>
          <w:u w:color="000000"/>
          <w:bdr w:val="nil"/>
          <w:vertAlign w:val="superscript"/>
          <w14:textOutline w14:w="0" w14:cap="flat" w14:cmpd="sng" w14:algn="ctr">
            <w14:noFill/>
            <w14:prstDash w14:val="solid"/>
            <w14:bevel/>
          </w14:textOutline>
        </w:rPr>
        <w:footnoteReference w:id="34"/>
      </w:r>
      <w:r w:rsidRPr="00AC7D90">
        <w:rPr>
          <w:rFonts w:ascii="Times New Roman" w:eastAsia="Arial Unicode MS" w:hAnsi="Times New Roman" w:cs="Times New Roman"/>
          <w:i/>
          <w:iCs/>
          <w:color w:val="000000"/>
          <w:u w:color="000000"/>
          <w:bdr w:val="nil"/>
          <w14:textOutline w14:w="0" w14:cap="flat" w14:cmpd="sng" w14:algn="ctr">
            <w14:noFill/>
            <w14:prstDash w14:val="solid"/>
            <w14:bevel/>
          </w14:textOutline>
        </w:rPr>
        <w:t xml:space="preserve"> </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“Razor-Grinder in a Thunderstorm” appears to have been first published in Harris’s 1867 book-length collection of original </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lastRenderedPageBreak/>
        <w:t xml:space="preserve">and reprinted Sut stories, </w:t>
      </w:r>
      <w:r w:rsidRPr="00AC7D90">
        <w:rPr>
          <w:rFonts w:ascii="Times New Roman" w:eastAsia="Arial Unicode MS" w:hAnsi="Times New Roman" w:cs="Times New Roman"/>
          <w:i/>
          <w:iCs/>
          <w:color w:val="000000"/>
          <w:u w:color="000000"/>
          <w:bdr w:val="nil"/>
          <w14:textOutline w14:w="0" w14:cap="flat" w14:cmpd="sng" w14:algn="ctr">
            <w14:noFill/>
            <w14:prstDash w14:val="solid"/>
            <w14:bevel/>
          </w14:textOutline>
        </w:rPr>
        <w:t>Sut Lovingood: Yarns Spun by a “</w:t>
      </w:r>
      <w:proofErr w:type="spellStart"/>
      <w:r w:rsidRPr="00AC7D90">
        <w:rPr>
          <w:rFonts w:ascii="Times New Roman" w:eastAsia="Arial Unicode MS" w:hAnsi="Times New Roman" w:cs="Times New Roman"/>
          <w:i/>
          <w:iCs/>
          <w:color w:val="000000"/>
          <w:u w:color="000000"/>
          <w:bdr w:val="nil"/>
          <w14:textOutline w14:w="0" w14:cap="flat" w14:cmpd="sng" w14:algn="ctr">
            <w14:noFill/>
            <w14:prstDash w14:val="solid"/>
            <w14:bevel/>
          </w14:textOutline>
        </w:rPr>
        <w:t>Nat’ral</w:t>
      </w:r>
      <w:proofErr w:type="spellEnd"/>
      <w:r w:rsidRPr="00AC7D90">
        <w:rPr>
          <w:rFonts w:ascii="Times New Roman" w:eastAsia="Arial Unicode MS" w:hAnsi="Times New Roman" w:cs="Times New Roman"/>
          <w:i/>
          <w:iCs/>
          <w:color w:val="000000"/>
          <w:u w:color="000000"/>
          <w:bdr w:val="nil"/>
          <w14:textOutline w14:w="0" w14:cap="flat" w14:cmpd="sng" w14:algn="ctr">
            <w14:noFill/>
            <w14:prstDash w14:val="solid"/>
            <w14:bevel/>
          </w14:textOutline>
        </w:rPr>
        <w:t xml:space="preserve"> Born </w:t>
      </w:r>
      <w:proofErr w:type="spellStart"/>
      <w:r w:rsidRPr="00AC7D90">
        <w:rPr>
          <w:rFonts w:ascii="Times New Roman" w:eastAsia="Arial Unicode MS" w:hAnsi="Times New Roman" w:cs="Times New Roman"/>
          <w:i/>
          <w:iCs/>
          <w:color w:val="000000"/>
          <w:u w:color="000000"/>
          <w:bdr w:val="nil"/>
          <w14:textOutline w14:w="0" w14:cap="flat" w14:cmpd="sng" w14:algn="ctr">
            <w14:noFill/>
            <w14:prstDash w14:val="solid"/>
            <w14:bevel/>
          </w14:textOutline>
        </w:rPr>
        <w:t>Durn’d</w:t>
      </w:r>
      <w:proofErr w:type="spellEnd"/>
      <w:r w:rsidRPr="00AC7D90">
        <w:rPr>
          <w:rFonts w:ascii="Times New Roman" w:eastAsia="Arial Unicode MS" w:hAnsi="Times New Roman" w:cs="Times New Roman"/>
          <w:i/>
          <w:iCs/>
          <w:color w:val="000000"/>
          <w:u w:color="000000"/>
          <w:bdr w:val="nil"/>
          <w14:textOutline w14:w="0" w14:cap="flat" w14:cmpd="sng" w14:algn="ctr">
            <w14:noFill/>
            <w14:prstDash w14:val="solid"/>
            <w14:bevel/>
          </w14:textOutline>
        </w:rPr>
        <w:t xml:space="preserve"> Fool</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hereafter called </w:t>
      </w:r>
      <w:r w:rsidRPr="00AC7D90">
        <w:rPr>
          <w:rFonts w:ascii="Times New Roman" w:eastAsia="Arial Unicode MS" w:hAnsi="Times New Roman" w:cs="Times New Roman"/>
          <w:i/>
          <w:iCs/>
          <w:color w:val="000000"/>
          <w:u w:color="000000"/>
          <w:bdr w:val="nil"/>
          <w14:textOutline w14:w="0" w14:cap="flat" w14:cmpd="sng" w14:algn="ctr">
            <w14:noFill/>
            <w14:prstDash w14:val="solid"/>
            <w14:bevel/>
          </w14:textOutline>
        </w:rPr>
        <w:t>Yarns</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
    <w:p w14:paraId="26572D98" w14:textId="77777777" w:rsidR="00AC7D90" w:rsidRPr="00AC7D90" w:rsidRDefault="00AC7D90" w:rsidP="00AC7D90">
      <w:pPr>
        <w:pBdr>
          <w:top w:val="nil"/>
          <w:left w:val="nil"/>
          <w:bottom w:val="nil"/>
          <w:right w:val="nil"/>
          <w:between w:val="nil"/>
          <w:bar w:val="nil"/>
        </w:pBdr>
        <w:spacing w:line="480" w:lineRule="auto"/>
        <w:ind w:firstLine="720"/>
        <w:rPr>
          <w:rFonts w:ascii="Times New Roman"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Like most of Harris’s yarns, “Razor-Grinder” is </w:t>
      </w:r>
      <w:proofErr w:type="gram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short</w:t>
      </w:r>
      <w:proofErr w:type="gram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and its plot is easily summarized. Sut encounters George, the narrator, shaving in “a scrap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ove</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lookin</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-glass” and, noticing the razor’s dullness, suggests to George that “Bake Boyd’s man” would’ve been able to sharpen it for him (59).</w:t>
      </w:r>
      <w:r w:rsidRPr="00AC7D90">
        <w:rPr>
          <w:rFonts w:ascii="Times New Roman" w:eastAsia="Arial Unicode MS" w:hAnsi="Times New Roman" w:cs="Times New Roman"/>
          <w:color w:val="000000"/>
          <w:u w:color="000000"/>
          <w:bdr w:val="nil"/>
          <w:vertAlign w:val="superscript"/>
          <w14:textOutline w14:w="0" w14:cap="flat" w14:cmpd="sng" w14:algn="ctr">
            <w14:noFill/>
            <w14:prstDash w14:val="solid"/>
            <w14:bevel/>
          </w14:textOutline>
        </w:rPr>
        <w:footnoteReference w:id="35"/>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Boyd’s man was a “</w:t>
      </w:r>
      <w:proofErr w:type="spellStart"/>
      <w:r w:rsidRPr="00AC7D90">
        <w:rPr>
          <w:rFonts w:ascii="Times New Roman" w:eastAsia="Arial Unicode MS" w:hAnsi="Times New Roman" w:cs="Times New Roman"/>
          <w:color w:val="000000"/>
          <w:u w:color="000000"/>
          <w:bdr w:val="nil"/>
          <w:lang w:val="es-ES_tradnl"/>
          <w14:textOutline w14:w="0" w14:cap="flat" w14:cmpd="sng" w14:algn="ctr">
            <w14:noFill/>
            <w14:prstDash w14:val="solid"/>
            <w14:bevel/>
          </w14:textOutline>
        </w:rPr>
        <w:t>mighty</w:t>
      </w:r>
      <w:proofErr w:type="spellEnd"/>
      <w:r w:rsidRPr="00AC7D90">
        <w:rPr>
          <w:rFonts w:ascii="Times New Roman" w:eastAsia="Arial Unicode MS" w:hAnsi="Times New Roman" w:cs="Times New Roman"/>
          <w:color w:val="000000"/>
          <w:u w:color="000000"/>
          <w:bdr w:val="nil"/>
          <w:lang w:val="es-ES_tradnl"/>
          <w14:textOutline w14:w="0" w14:cap="flat" w14:cmpd="sng" w14:algn="ctr">
            <w14:noFill/>
            <w14:prstDash w14:val="solid"/>
            <w14:bevel/>
          </w14:textOutline>
        </w:rPr>
        <w:t xml:space="preserve"> mean </w:t>
      </w:r>
      <w:proofErr w:type="spellStart"/>
      <w:r w:rsidRPr="00AC7D90">
        <w:rPr>
          <w:rFonts w:ascii="Times New Roman" w:eastAsia="Arial Unicode MS" w:hAnsi="Times New Roman" w:cs="Times New Roman"/>
          <w:color w:val="000000"/>
          <w:u w:color="000000"/>
          <w:bdr w:val="nil"/>
          <w:lang w:val="es-ES_tradnl"/>
          <w14:textOutline w14:w="0" w14:cap="flat" w14:cmpd="sng" w14:algn="ctr">
            <w14:noFill/>
            <w14:prstDash w14:val="solid"/>
            <w14:bevel/>
          </w14:textOutline>
        </w:rPr>
        <w:t>Yankee</w:t>
      </w:r>
      <w:proofErr w:type="spellEnd"/>
      <w:r w:rsidRPr="00AC7D90">
        <w:rPr>
          <w:rFonts w:ascii="Times New Roman" w:eastAsia="Arial Unicode MS" w:hAnsi="Times New Roman" w:cs="Times New Roman"/>
          <w:color w:val="000000"/>
          <w:u w:color="000000"/>
          <w:bdr w:val="nil"/>
          <w:lang w:val="es-ES_tradnl"/>
          <w14:textOutline w14:w="0" w14:cap="flat" w14:cmpd="sng" w14:algn="ctr">
            <w14:noFill/>
            <w14:prstDash w14:val="solid"/>
            <w14:bevel/>
          </w14:textOutline>
        </w:rPr>
        <w:t xml:space="preserve"> </w:t>
      </w:r>
      <w:proofErr w:type="spellStart"/>
      <w:r w:rsidRPr="00AC7D90">
        <w:rPr>
          <w:rFonts w:ascii="Times New Roman" w:eastAsia="Arial Unicode MS" w:hAnsi="Times New Roman" w:cs="Times New Roman"/>
          <w:color w:val="000000"/>
          <w:u w:color="000000"/>
          <w:bdr w:val="nil"/>
          <w:lang w:val="es-ES_tradnl"/>
          <w14:textOutline w14:w="0" w14:cap="flat" w14:cmpd="sng" w14:algn="ctr">
            <w14:noFill/>
            <w14:prstDash w14:val="solid"/>
            <w14:bevel/>
          </w14:textOutline>
        </w:rPr>
        <w:t>rayshure</w:t>
      </w:r>
      <w:proofErr w:type="spellEnd"/>
      <w:r w:rsidRPr="00AC7D90">
        <w:rPr>
          <w:rFonts w:ascii="Times New Roman" w:eastAsia="Arial Unicode MS" w:hAnsi="Times New Roman" w:cs="Times New Roman"/>
          <w:color w:val="000000"/>
          <w:u w:color="000000"/>
          <w:bdr w:val="nil"/>
          <w:lang w:val="es-ES_tradnl"/>
          <w14:textOutline w14:w="0" w14:cap="flat" w14:cmpd="sng" w14:algn="ctr">
            <w14:noFill/>
            <w14:prstDash w14:val="solid"/>
            <w14:bevel/>
          </w14:textOutline>
        </w:rPr>
        <w:t xml:space="preserve"> [</w:t>
      </w:r>
      <w:proofErr w:type="spellStart"/>
      <w:r w:rsidRPr="00AC7D90">
        <w:rPr>
          <w:rFonts w:ascii="Times New Roman" w:eastAsia="Arial Unicode MS" w:hAnsi="Times New Roman" w:cs="Times New Roman"/>
          <w:color w:val="000000"/>
          <w:u w:color="000000"/>
          <w:bdr w:val="nil"/>
          <w:lang w:val="es-ES_tradnl"/>
          <w14:textOutline w14:w="0" w14:cap="flat" w14:cmpd="sng" w14:algn="ctr">
            <w14:noFill/>
            <w14:prstDash w14:val="solid"/>
            <w14:bevel/>
          </w14:textOutline>
        </w:rPr>
        <w:t>razor</w:t>
      </w:r>
      <w:proofErr w:type="spellEnd"/>
      <w:r w:rsidRPr="00AC7D90">
        <w:rPr>
          <w:rFonts w:ascii="Times New Roman" w:eastAsia="Arial Unicode MS" w:hAnsi="Times New Roman" w:cs="Times New Roman"/>
          <w:color w:val="000000"/>
          <w:u w:color="000000"/>
          <w:bdr w:val="nil"/>
          <w:lang w:val="es-ES_tradnl"/>
          <w14:textOutline w14:w="0" w14:cap="flat" w14:cmpd="sng" w14:algn="ctr">
            <w14:noFill/>
            <w14:prstDash w14:val="solid"/>
            <w14:bevel/>
          </w14:textOutline>
        </w:rPr>
        <w:t xml:space="preserve">] </w:t>
      </w:r>
      <w:proofErr w:type="spellStart"/>
      <w:r w:rsidRPr="00AC7D90">
        <w:rPr>
          <w:rFonts w:ascii="Times New Roman" w:eastAsia="Arial Unicode MS" w:hAnsi="Times New Roman" w:cs="Times New Roman"/>
          <w:color w:val="000000"/>
          <w:u w:color="000000"/>
          <w:bdr w:val="nil"/>
          <w:lang w:val="es-ES_tradnl"/>
          <w14:textOutline w14:w="0" w14:cap="flat" w14:cmpd="sng" w14:algn="ctr">
            <w14:noFill/>
            <w14:prstDash w14:val="solid"/>
            <w14:bevel/>
          </w14:textOutline>
        </w:rPr>
        <w:t>grinder</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who, years before, had turned up in Knoxville and set up shop with his grinding “</w:t>
      </w:r>
      <w:r w:rsidRPr="00AC7D90">
        <w:rPr>
          <w:rFonts w:ascii="Times New Roman" w:eastAsia="Arial Unicode MS" w:hAnsi="Times New Roman" w:cs="Times New Roman"/>
          <w:color w:val="000000"/>
          <w:u w:color="000000"/>
          <w:bdr w:val="nil"/>
          <w:lang w:val="nl-NL"/>
          <w14:textOutline w14:w="0" w14:cap="flat" w14:cmpd="sng" w14:algn="ctr">
            <w14:noFill/>
            <w14:prstDash w14:val="solid"/>
            <w14:bevel/>
          </w14:textOutline>
        </w:rPr>
        <w:t>mersheen</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(59).</w:t>
      </w:r>
      <w:r w:rsidRPr="00AC7D90">
        <w:rPr>
          <w:rFonts w:ascii="Times New Roman" w:eastAsia="Arial Unicode MS" w:hAnsi="Times New Roman" w:cs="Times New Roman"/>
          <w:color w:val="000000"/>
          <w:u w:color="000000"/>
          <w:bdr w:val="nil"/>
          <w:vertAlign w:val="superscript"/>
          <w14:textOutline w14:w="0" w14:cap="flat" w14:cmpd="sng" w14:algn="ctr">
            <w14:noFill/>
            <w14:prstDash w14:val="solid"/>
            <w14:bevel/>
          </w14:textOutline>
        </w:rPr>
        <w:footnoteReference w:id="36"/>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Sut disdainfully recalls that the unpalatable Yankee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thort</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that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hissef</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an’ [his] mercheen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cummanded</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the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respeck</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an’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submishun</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ove</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the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poperlashun</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whatever he went” (59). Boyd, who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wer</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pow’fully</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pursessed</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wif</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the devil,” decides to humiliate the pompous razor-grinder and comes up with a plan. He convinces the Yankee that there is a profit to be made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lecturin</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ontu</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the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skyance</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[science]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ove</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roofErr w:type="spellStart"/>
      <w:proofErr w:type="gram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raysure-sharpenin</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w:t>
      </w:r>
      <w:proofErr w:type="gram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(60). Driven by his stereotypical love of profits, the Yankee is </w:t>
      </w:r>
      <w:proofErr w:type="gram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convinced</w:t>
      </w:r>
      <w:proofErr w:type="gram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and Boyd advertises the lecture around Knoxville. As a local crowd gathers to witness what Boyd has planned, the Yankee employs Boyd to sit behind him, </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lastRenderedPageBreak/>
        <w:t>hidden from the audience, to feed him lines from his prepared lecture notes in case the “</w:t>
      </w:r>
      <w:r w:rsidRPr="00AC7D90">
        <w:rPr>
          <w:rFonts w:ascii="Times New Roman" w:eastAsia="Arial Unicode MS" w:hAnsi="Times New Roman" w:cs="Times New Roman"/>
          <w:color w:val="000000"/>
          <w:u w:color="000000"/>
          <w:bdr w:val="nil"/>
          <w:lang w:val="nl-NL"/>
          <w14:textOutline w14:w="0" w14:cap="flat" w14:cmpd="sng" w14:algn="ctr">
            <w14:noFill/>
            <w14:prstDash w14:val="solid"/>
            <w14:bevel/>
          </w14:textOutline>
        </w:rPr>
        <w:t>lecterin-mersheen</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forgets his material (61). Sure enough, halfway through the lecture, the razor-grinder does forget his lines. He appeals to Boyd, who begins to recite the next lines in a whisper. The lecturer urges him to speak “louder and plainer,” at which point Boyd,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instid</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ove</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duin</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better, got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wus</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—sot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intu</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readin</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in sum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furrin</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tung, sorter like Cherokee,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wif</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a sprinkle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ove</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Irish” (61). Stymied, the razor-grinder stalls in his lecture until, at a signal from Boyd, accomplices placed outside the church set off a large brass cannon “full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tu</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the muzzle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wif</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powder an’ red clay” (61). At the same time, Joe Jackson, who is hidden in the ceiling over the Yankee’s head, drenches the stunned lecturer with “a half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barril</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full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ove</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wartur</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polluted from the carcass of “a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misfortinant</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dead sow” (61). Startled by the sudden cacophony and doused in foul muck, the Yankee stoically suspends his lecture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owin</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tu</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the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inclumency</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ove</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the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nite</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and, Sut relates, is never seen in town again (62). Once Sut finishes his yarn, “a fat-headed young man” asks whether “anybody laughed at the unfortunate man that night Mr. Lovingood?” (62). As he stalks off, Sut mutters with “supreme contempt,” “Yu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mus</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be a dam fool” (62). </w:t>
      </w:r>
      <w:r w:rsidRPr="00AC7D90">
        <w:rPr>
          <w:rFonts w:ascii="Times New Roman" w:hAnsi="Times New Roman" w:cs="Times New Roman"/>
          <w:color w:val="000000"/>
          <w:u w:color="000000"/>
          <w:bdr w:val="nil"/>
          <w14:textOutline w14:w="0" w14:cap="flat" w14:cmpd="sng" w14:algn="ctr">
            <w14:noFill/>
            <w14:prstDash w14:val="solid"/>
            <w14:bevel/>
          </w14:textOutline>
        </w:rPr>
        <w:tab/>
      </w:r>
    </w:p>
    <w:p w14:paraId="797CDB7C" w14:textId="77777777" w:rsidR="00AC7D90" w:rsidRPr="00AC7D90" w:rsidRDefault="00AC7D90" w:rsidP="00AC7D90">
      <w:pPr>
        <w:pBdr>
          <w:top w:val="nil"/>
          <w:left w:val="nil"/>
          <w:bottom w:val="nil"/>
          <w:right w:val="nil"/>
          <w:between w:val="nil"/>
          <w:bar w:val="nil"/>
        </w:pBdr>
        <w:spacing w:line="480" w:lineRule="auto"/>
        <w:ind w:firstLine="720"/>
        <w:rPr>
          <w:rFonts w:ascii="Times New Roman" w:eastAsia="Arial Unicode MS"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Boyd’s denigration and violent expulsion of the Yankee peddler from his East Tennessee community structures “</w:t>
      </w:r>
      <w:r w:rsidRPr="00AC7D90">
        <w:rPr>
          <w:rFonts w:ascii="Times New Roman" w:eastAsia="Arial Unicode MS" w:hAnsi="Times New Roman" w:cs="Times New Roman"/>
          <w:color w:val="000000"/>
          <w:u w:color="000000"/>
          <w:bdr w:val="nil"/>
          <w:lang w:val="de-DE"/>
          <w14:textOutline w14:w="0" w14:cap="flat" w14:cmpd="sng" w14:algn="ctr">
            <w14:noFill/>
            <w14:prstDash w14:val="solid"/>
            <w14:bevel/>
          </w14:textOutline>
        </w:rPr>
        <w:t>Razor-Grinder in a Thunderstorm</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’s” sense of exclusive Southern identity. The story’s stock confrontation between the “native” Southerner and the opportunistic Northern outsider rehearses common cultural scripts that, after 1865, assisted in the solidification of a resistant Southern regional identity. Harris’s razor-grinder collapses the antebellum figure of the Yankee peddler and the Reconstruction-era </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lastRenderedPageBreak/>
        <w:t>carpetbagger. The carpetbagger emerged in the postwar Southern press as a symbol of “white southerners' outrage at radical government” and came to represent the former Confederacy’s resistance to what they perceived to be illegitimate Reconstruction state governments (Tunnell 791). Like the carpetbaggers vilified throughout the postwar South, Harris’s razor-grinder is seen by Boyd and Sut as an unwelcome and exploitative force of change infiltrating the South from without. Sut justifies the razor-grinder’s expulsion from the region specifically on account of the Yankee’s sense of superiority, that he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thort</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that </w:t>
      </w:r>
      <w:proofErr w:type="gram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hisself</w:t>
      </w:r>
      <w:proofErr w:type="gram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an’ mercheen commanded the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respeck</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an’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submishun</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ove</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the </w:t>
      </w:r>
      <w:proofErr w:type="spellStart"/>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popularshun</w:t>
      </w:r>
      <w:proofErr w:type="spellEnd"/>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(Harris 59). The image of the South’s “submission” to the North in the Civil War was a powerful negative image in postwar Southern memory and discrediting it became a central element of the Lost Cause myth. Expelling the razor-grinder, then, stands a radical act of Southern self-definition, a rejection of the notion that the region had ever or </w:t>
      </w:r>
      <w:r w:rsidRPr="00AC7D90">
        <w:rPr>
          <w:rFonts w:ascii="Times New Roman" w:eastAsia="Arial Unicode MS" w:hAnsi="Times New Roman" w:cs="Times New Roman"/>
          <w:i/>
          <w:iCs/>
          <w:color w:val="000000"/>
          <w:u w:color="000000"/>
          <w:bdr w:val="nil"/>
          <w14:textOutline w14:w="0" w14:cap="flat" w14:cmpd="sng" w14:algn="ctr">
            <w14:noFill/>
            <w14:prstDash w14:val="solid"/>
            <w14:bevel/>
          </w14:textOutline>
        </w:rPr>
        <w:t xml:space="preserve">would </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ever bow to Yankee culture. Boyd’s and Sut’s violent humor can thus also be understood as part of the story’s anti-Reconstruction politics. “Razor-Grinder” fits into the pattern of exclusionary and defensive violence that Andrew Silver claims separates Harris’s postwar Sut stories from his antebellum sketches. According to Silver, many of the Sut Lovingood stories written after 1865 “begin with a threat to Sut’s community and end with Sut and other accomplices humiliating and exiling that threat and preserving a newly purified community in the process” (53). Sut’s retelling of Boyd’s practical joke transforms the Yankee razor-grinder’s humiliation into comedy, bolstering </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lastRenderedPageBreak/>
        <w:t>his Southern audience’s sense of superiority at the expense of the expelled Northerner. Thus, humor becomes the means of regional purification in the story.</w:t>
      </w:r>
      <w:r w:rsidRPr="00AC7D90">
        <w:rPr>
          <w:rFonts w:ascii="Times New Roman" w:eastAsia="Arial Unicode MS" w:hAnsi="Times New Roman" w:cs="Times New Roman"/>
          <w:color w:val="000000"/>
          <w:u w:color="000000"/>
          <w:bdr w:val="nil"/>
          <w14:textOutline w14:w="0" w14:cap="flat" w14:cmpd="sng" w14:algn="ctr">
            <w14:noFill/>
            <w14:prstDash w14:val="solid"/>
            <w14:bevel/>
          </w14:textOutline>
        </w:rPr>
        <w:tab/>
      </w:r>
    </w:p>
    <w:p w14:paraId="45FD17E3" w14:textId="77777777" w:rsidR="00AC7D90" w:rsidRPr="00AC7D90" w:rsidRDefault="00AC7D90" w:rsidP="00AC7D90">
      <w:pPr>
        <w:spacing w:line="480" w:lineRule="auto"/>
        <w:ind w:firstLine="20"/>
        <w:rPr>
          <w:rFonts w:ascii="Times New Roman" w:hAnsi="Times New Roman" w:cs="Times New Roman"/>
        </w:rPr>
      </w:pPr>
      <w:r w:rsidRPr="00AC7D90">
        <w:rPr>
          <w:rFonts w:ascii="Times New Roman" w:hAnsi="Times New Roman" w:cs="Times New Roman"/>
          <w:color w:val="000000"/>
        </w:rPr>
        <w:tab/>
        <w:t xml:space="preserve">Furthermore, allusions in the story to Cherokee culture link the Southerners’ resistance to Yankee exploitation to a history of Native resistance to U.S. colonialism in the South that the story uses to legitimize the Southerners’ cause. The most obvious instance of this is when Boyd speaks a language “sorter like Cherokee” to interrupt the Yankee’s lecture. The story uses the Cherokee language as a metaphor for abstruse gibberish that derails the Yankee’s metaphysical discourse. However, in order for Boyd’s tactic to remain intelligible to the reader, the Cherokee language cannot be emptied of meaning but must remain legible as a sign of resistance. In the debates surrounding Removal, advocates for the Cherokee Nation pointed to the Cherokees’ widespread adoption of the syllabary, the written form of the Cherokee language developed by Sequoyah in the 1820s, as evidence of the Nation’s sovereignty. Somewhat problematically, such arguments usually used the Cherokees’ literacy as evidence of the people’s ability to “improve” themselves according to Western standards. As Elias Boudinot argues in the </w:t>
      </w:r>
      <w:r w:rsidRPr="00AC7D90">
        <w:rPr>
          <w:rFonts w:ascii="Times New Roman" w:hAnsi="Times New Roman" w:cs="Times New Roman"/>
          <w:i/>
          <w:iCs/>
          <w:color w:val="000000"/>
        </w:rPr>
        <w:t>Cherokee Phoenix</w:t>
      </w:r>
      <w:r w:rsidRPr="00AC7D90">
        <w:rPr>
          <w:rFonts w:ascii="Times New Roman" w:hAnsi="Times New Roman" w:cs="Times New Roman"/>
          <w:color w:val="000000"/>
        </w:rPr>
        <w:t>, the syllabary is a sign of “progress” among the Cherokee and also a sign of the Nation’s social and cultural equality with the U.S. When Thomas Jefferson “</w:t>
      </w:r>
      <w:r w:rsidRPr="00AC7D90">
        <w:rPr>
          <w:rFonts w:ascii="Times New Roman" w:hAnsi="Times New Roman" w:cs="Times New Roman"/>
          <w:color w:val="000000"/>
          <w:shd w:val="clear" w:color="auto" w:fill="FFFFFF"/>
        </w:rPr>
        <w:t xml:space="preserve">advised us to make laws and government—we made them, on the model of the American republic. He advised us to have </w:t>
      </w:r>
      <w:proofErr w:type="gramStart"/>
      <w:r w:rsidRPr="00AC7D90">
        <w:rPr>
          <w:rFonts w:ascii="Times New Roman" w:hAnsi="Times New Roman" w:cs="Times New Roman"/>
          <w:color w:val="000000"/>
          <w:shd w:val="clear" w:color="auto" w:fill="FFFFFF"/>
        </w:rPr>
        <w:t>school-houses</w:t>
      </w:r>
      <w:proofErr w:type="gramEnd"/>
      <w:r w:rsidRPr="00AC7D90">
        <w:rPr>
          <w:rFonts w:ascii="Times New Roman" w:hAnsi="Times New Roman" w:cs="Times New Roman"/>
          <w:color w:val="000000"/>
          <w:shd w:val="clear" w:color="auto" w:fill="FFFFFF"/>
        </w:rPr>
        <w:t xml:space="preserve"> and churches—we have them all: we have an alphabet of our own invented within a few years past by an ingenious native (George Guess)—we have learned to read and write…You gave us good </w:t>
      </w:r>
      <w:r w:rsidRPr="00AC7D90">
        <w:rPr>
          <w:rFonts w:ascii="Times New Roman" w:hAnsi="Times New Roman" w:cs="Times New Roman"/>
          <w:color w:val="000000"/>
          <w:shd w:val="clear" w:color="auto" w:fill="FFFFFF"/>
        </w:rPr>
        <w:lastRenderedPageBreak/>
        <w:t xml:space="preserve">advice—we followed it” (“Cherokee Meeting in New Haven,” </w:t>
      </w:r>
      <w:r w:rsidRPr="00AC7D90">
        <w:rPr>
          <w:rFonts w:ascii="Times New Roman" w:hAnsi="Times New Roman" w:cs="Times New Roman"/>
          <w:i/>
          <w:iCs/>
          <w:color w:val="000000"/>
          <w:shd w:val="clear" w:color="auto" w:fill="FFFFFF"/>
        </w:rPr>
        <w:t>Cherokee Phoenix</w:t>
      </w:r>
      <w:r w:rsidRPr="00AC7D90">
        <w:rPr>
          <w:rFonts w:ascii="Times New Roman" w:hAnsi="Times New Roman" w:cs="Times New Roman"/>
          <w:color w:val="000000"/>
          <w:shd w:val="clear" w:color="auto" w:fill="FFFFFF"/>
        </w:rPr>
        <w:t xml:space="preserve">, March 24, 1832). While he appears to comply with the American civilization scheme, Boudinot subtly makes the Cherokees’ achievements in literacy support an argument for Cherokee land claims. “Mr. Jefferson,” he writes, “told [the Cherokees] how much their condition would be improved by agriculture and the arts of civilization—how much more happily they would be—how much more attached to the soil of their fathers—how much more unwilling they would be to leave it—how much more they would rejoice to repose their bones in its bosom, and transmit it to their children.” Thus did Cherokee statesmen like Boudinot and John Ridge point to Cherokee cultural elements like the syllabary to resist the oppression of foreign powers like the state of Georgia, whose justifications for the expulsion of the Cherokee from their homelands rested partly on the assertion of Indigenous cultural inferiority. Boyd’s weaponization of “the </w:t>
      </w:r>
      <w:proofErr w:type="spellStart"/>
      <w:r w:rsidRPr="00AC7D90">
        <w:rPr>
          <w:rFonts w:ascii="Times New Roman" w:hAnsi="Times New Roman" w:cs="Times New Roman"/>
          <w:color w:val="000000"/>
          <w:shd w:val="clear" w:color="auto" w:fill="FFFFFF"/>
        </w:rPr>
        <w:t>infunel</w:t>
      </w:r>
      <w:proofErr w:type="spellEnd"/>
      <w:r w:rsidRPr="00AC7D90">
        <w:rPr>
          <w:rFonts w:ascii="Times New Roman" w:hAnsi="Times New Roman" w:cs="Times New Roman"/>
          <w:color w:val="000000"/>
          <w:shd w:val="clear" w:color="auto" w:fill="FFFFFF"/>
        </w:rPr>
        <w:t xml:space="preserve"> Cherokee” language reveals how the story draws a genealogy back from the Tennessee “natives” to the Native nations (Harris 61). “Razor-Grinder” thus invests Sut’s and Boyd’s defensive Southern identity with a stolen sense of sovereignty located in its use of the Cherokee language.</w:t>
      </w:r>
    </w:p>
    <w:p w14:paraId="45DD824E" w14:textId="77777777" w:rsidR="005D0244" w:rsidRDefault="00AC7D90" w:rsidP="005D0244">
      <w:pPr>
        <w:spacing w:line="480" w:lineRule="auto"/>
        <w:rPr>
          <w:rFonts w:ascii="Times New Roman" w:hAnsi="Times New Roman" w:cs="Times New Roman"/>
          <w:color w:val="000000"/>
          <w:shd w:val="clear" w:color="auto" w:fill="FFFFFF"/>
        </w:rPr>
      </w:pPr>
      <w:r w:rsidRPr="00AC7D90">
        <w:rPr>
          <w:rFonts w:ascii="Times New Roman" w:hAnsi="Times New Roman" w:cs="Times New Roman"/>
          <w:color w:val="000000"/>
          <w:shd w:val="clear" w:color="auto" w:fill="FFFFFF"/>
        </w:rPr>
        <w:tab/>
        <w:t xml:space="preserve">While Boyd’s use of the Cherokee language as a method of resistance proclaims a sense of regional exceptionalism, the nostalgia of this and other Sut stories further implies a sense of white indigeneity in the land that strengthens the story’s vision of Southern sovereignty. In another Sut story, “Eaves-Dropping a Lodge of Free-Masons,” included after “Razor-Grinder” in </w:t>
      </w:r>
      <w:r w:rsidRPr="00AC7D90">
        <w:rPr>
          <w:rFonts w:ascii="Times New Roman" w:hAnsi="Times New Roman" w:cs="Times New Roman"/>
          <w:i/>
          <w:iCs/>
          <w:color w:val="000000"/>
          <w:shd w:val="clear" w:color="auto" w:fill="FFFFFF"/>
        </w:rPr>
        <w:t>Yarns</w:t>
      </w:r>
      <w:r w:rsidRPr="00AC7D90">
        <w:rPr>
          <w:rFonts w:ascii="Times New Roman" w:hAnsi="Times New Roman" w:cs="Times New Roman"/>
          <w:color w:val="000000"/>
          <w:shd w:val="clear" w:color="auto" w:fill="FFFFFF"/>
        </w:rPr>
        <w:t xml:space="preserve">, the narrator George begins to wax poetically about the “Knoxville [of] thirty-five years ago” (101). The long passage is filled with </w:t>
      </w:r>
      <w:r w:rsidRPr="00AC7D90">
        <w:rPr>
          <w:rFonts w:ascii="Times New Roman" w:hAnsi="Times New Roman" w:cs="Times New Roman"/>
          <w:color w:val="000000"/>
          <w:shd w:val="clear" w:color="auto" w:fill="FFFFFF"/>
        </w:rPr>
        <w:lastRenderedPageBreak/>
        <w:t xml:space="preserve">nostalgic sentiment. George conjures up picturesque descriptions of local sites, landmarks, and persons, only to then banish them to the past. In one such telling instance, the narrator describes a phantasmal procession of figures attached to the settlement of East Tennessee and his sense of them is </w:t>
      </w:r>
      <w:proofErr w:type="spellStart"/>
      <w:r w:rsidRPr="00AC7D90">
        <w:rPr>
          <w:rFonts w:ascii="Times New Roman" w:hAnsi="Times New Roman" w:cs="Times New Roman"/>
          <w:color w:val="000000"/>
          <w:shd w:val="clear" w:color="auto" w:fill="FFFFFF"/>
        </w:rPr>
        <w:t>limned</w:t>
      </w:r>
      <w:proofErr w:type="spellEnd"/>
      <w:r w:rsidRPr="00AC7D90">
        <w:rPr>
          <w:rFonts w:ascii="Times New Roman" w:hAnsi="Times New Roman" w:cs="Times New Roman"/>
          <w:color w:val="000000"/>
          <w:shd w:val="clear" w:color="auto" w:fill="FFFFFF"/>
        </w:rPr>
        <w:t xml:space="preserve"> with retrospective awe: </w:t>
      </w:r>
    </w:p>
    <w:p w14:paraId="65BCC2E7" w14:textId="1EB94D77" w:rsidR="00AC7D90" w:rsidRPr="00AC7D90" w:rsidRDefault="00AC7D90" w:rsidP="005D0244">
      <w:pPr>
        <w:spacing w:line="480" w:lineRule="auto"/>
        <w:ind w:left="720"/>
        <w:rPr>
          <w:rFonts w:ascii="Times New Roman" w:hAnsi="Times New Roman" w:cs="Times New Roman"/>
          <w:color w:val="000000"/>
          <w:shd w:val="clear" w:color="auto" w:fill="FFFFFF"/>
        </w:rPr>
      </w:pPr>
      <w:r w:rsidRPr="00AC7D90">
        <w:rPr>
          <w:rFonts w:ascii="Times New Roman" w:hAnsi="Times New Roman" w:cs="Times New Roman"/>
          <w:color w:val="000000"/>
          <w:shd w:val="clear" w:color="auto" w:fill="FFFFFF"/>
        </w:rPr>
        <w:t xml:space="preserve">But even now, and here in the thickening twilight, I see gliding past in misty ranks, the forms of [Andrew] Jackson, Hu Lawson White, the Williamses, the </w:t>
      </w:r>
      <w:proofErr w:type="spellStart"/>
      <w:r w:rsidRPr="00AC7D90">
        <w:rPr>
          <w:rFonts w:ascii="Times New Roman" w:hAnsi="Times New Roman" w:cs="Times New Roman"/>
          <w:color w:val="000000"/>
          <w:shd w:val="clear" w:color="auto" w:fill="FFFFFF"/>
        </w:rPr>
        <w:t>Dunlaps</w:t>
      </w:r>
      <w:proofErr w:type="spellEnd"/>
      <w:r w:rsidRPr="00AC7D90">
        <w:rPr>
          <w:rFonts w:ascii="Times New Roman" w:hAnsi="Times New Roman" w:cs="Times New Roman"/>
          <w:color w:val="000000"/>
          <w:shd w:val="clear" w:color="auto" w:fill="FFFFFF"/>
        </w:rPr>
        <w:t xml:space="preserve">, Haywood, Peck, Powell, McKinny, Pleasant Miller, the Andersons, Carrick White and Mynott Scott. In my boyish eyes they seemed giants, and manhood's more discriminating gaze sees them undiminished. The quiet grave has long ago claimed the last of the band, but memory preserves their fame, and deeds of well-doing. (101) </w:t>
      </w:r>
    </w:p>
    <w:p w14:paraId="158E132E" w14:textId="77777777" w:rsidR="00AC7D90" w:rsidRPr="00AC7D90" w:rsidRDefault="00AC7D90" w:rsidP="00AC7D90">
      <w:pPr>
        <w:spacing w:line="480" w:lineRule="auto"/>
        <w:rPr>
          <w:rFonts w:ascii="Times New Roman" w:hAnsi="Times New Roman" w:cs="Times New Roman"/>
          <w:color w:val="000000"/>
          <w:shd w:val="clear" w:color="auto" w:fill="FFFFFF"/>
        </w:rPr>
      </w:pPr>
      <w:r w:rsidRPr="00AC7D90">
        <w:rPr>
          <w:rFonts w:ascii="Times New Roman" w:hAnsi="Times New Roman" w:cs="Times New Roman"/>
          <w:color w:val="000000"/>
          <w:shd w:val="clear" w:color="auto" w:fill="FFFFFF"/>
        </w:rPr>
        <w:t>Here, George constructs a genealogy that naturalizes white, American land claim in the South through the associations of kinship. Through the nostalgic lens of his “boyish eyes,” Southern history becomes atemporal, a mythic time of “giants” that seems to begin with Andrew Jackson. Importantly, the patriarchs of this lineage: Andrew Jackson, Hugh Lawson White, John Williams, Pleasant Miller, are all figures who played active roles in the dispossession of Native nations in the South. Hugh Lawson White served as a U.S. Senator from Tennessee (1825-1840) and was chairman of the Committee on Indian Affairs during the passage of the Indian Removal Act of 1830.</w:t>
      </w:r>
      <w:r w:rsidRPr="00AC7D90">
        <w:rPr>
          <w:rFonts w:ascii="Times New Roman" w:hAnsi="Times New Roman" w:cs="Times New Roman"/>
          <w:color w:val="000000"/>
          <w:shd w:val="clear" w:color="auto" w:fill="FFFFFF"/>
          <w:vertAlign w:val="superscript"/>
        </w:rPr>
        <w:footnoteReference w:id="37"/>
      </w:r>
      <w:r w:rsidRPr="00AC7D90">
        <w:rPr>
          <w:rFonts w:ascii="Times New Roman" w:hAnsi="Times New Roman" w:cs="Times New Roman"/>
          <w:color w:val="000000"/>
          <w:shd w:val="clear" w:color="auto" w:fill="FFFFFF"/>
        </w:rPr>
        <w:t xml:space="preserve"> John W. Williams and </w:t>
      </w:r>
      <w:r w:rsidRPr="00AC7D90">
        <w:rPr>
          <w:rFonts w:ascii="Times New Roman" w:hAnsi="Times New Roman" w:cs="Times New Roman"/>
          <w:color w:val="000000"/>
          <w:shd w:val="clear" w:color="auto" w:fill="FFFFFF"/>
        </w:rPr>
        <w:lastRenderedPageBreak/>
        <w:t>Pleasant Miller, both of whom represented Tennessee in the federal government, participated in the United States’s military activities against the Seminoles and Muscogees in 1812-14.</w:t>
      </w:r>
      <w:r w:rsidRPr="00AC7D90">
        <w:rPr>
          <w:rFonts w:ascii="Times New Roman" w:hAnsi="Times New Roman" w:cs="Times New Roman"/>
          <w:color w:val="000000"/>
          <w:shd w:val="clear" w:color="auto" w:fill="FFFFFF"/>
          <w:vertAlign w:val="superscript"/>
        </w:rPr>
        <w:footnoteReference w:id="38"/>
      </w:r>
      <w:r w:rsidRPr="00AC7D90">
        <w:rPr>
          <w:rFonts w:ascii="Times New Roman" w:hAnsi="Times New Roman" w:cs="Times New Roman"/>
          <w:color w:val="000000"/>
          <w:shd w:val="clear" w:color="auto" w:fill="FFFFFF"/>
        </w:rPr>
        <w:t xml:space="preserve"> In its simultaneous evocation and erasure of the history of Removal, George’s nostalgic vision dissociates the historical settlement of East Tennessee from the violent dispossession of its Native inhabitants and naturalizes white land claim in the South. </w:t>
      </w:r>
    </w:p>
    <w:p w14:paraId="3F67ADC2" w14:textId="77777777" w:rsidR="005D0244" w:rsidRDefault="00AC7D90" w:rsidP="005D0244">
      <w:pPr>
        <w:spacing w:line="480" w:lineRule="auto"/>
        <w:rPr>
          <w:rFonts w:ascii="Times New Roman" w:hAnsi="Times New Roman" w:cs="Times New Roman"/>
          <w:color w:val="000000"/>
          <w:shd w:val="clear" w:color="auto" w:fill="FFFFFF"/>
        </w:rPr>
      </w:pPr>
      <w:r w:rsidRPr="00AC7D90">
        <w:rPr>
          <w:rFonts w:ascii="Times New Roman" w:hAnsi="Times New Roman" w:cs="Times New Roman"/>
          <w:color w:val="000000"/>
          <w:shd w:val="clear" w:color="auto" w:fill="FFFFFF"/>
        </w:rPr>
        <w:tab/>
        <w:t xml:space="preserve"> As the passage continues, a narrative of Southern loss coalesces with appropriated signifiers of the history of Removal, solidifying the defiant white Southern identity in </w:t>
      </w:r>
      <w:r w:rsidRPr="00AC7D90">
        <w:rPr>
          <w:rFonts w:ascii="Times New Roman" w:hAnsi="Times New Roman" w:cs="Times New Roman"/>
          <w:i/>
          <w:iCs/>
          <w:color w:val="000000"/>
          <w:shd w:val="clear" w:color="auto" w:fill="FFFFFF"/>
        </w:rPr>
        <w:t>Yarns</w:t>
      </w:r>
      <w:r w:rsidRPr="00AC7D90">
        <w:rPr>
          <w:rFonts w:ascii="Times New Roman" w:hAnsi="Times New Roman" w:cs="Times New Roman"/>
          <w:color w:val="000000"/>
          <w:shd w:val="clear" w:color="auto" w:fill="FFFFFF"/>
        </w:rPr>
        <w:t>. George concludes his reminiscences: “The march of improvement first, then the march and crash of armies, have nearly swept away those, to me, almost sacred places. But they and those who ‘were boys then,’ still have a place in memory that time nor distance can take, nor the pressing, crowding, bleeding events of now dim…” (102). Here Sut interrupts him, taking over the rest of “</w:t>
      </w:r>
      <w:proofErr w:type="gramStart"/>
      <w:r w:rsidRPr="00AC7D90">
        <w:rPr>
          <w:rFonts w:ascii="Times New Roman" w:hAnsi="Times New Roman" w:cs="Times New Roman"/>
          <w:color w:val="000000"/>
          <w:shd w:val="clear" w:color="auto" w:fill="FFFFFF"/>
        </w:rPr>
        <w:t>Eaves-Dropping</w:t>
      </w:r>
      <w:proofErr w:type="gramEnd"/>
      <w:r w:rsidRPr="00AC7D90">
        <w:rPr>
          <w:rFonts w:ascii="Times New Roman" w:hAnsi="Times New Roman" w:cs="Times New Roman"/>
          <w:color w:val="000000"/>
          <w:shd w:val="clear" w:color="auto" w:fill="FFFFFF"/>
        </w:rPr>
        <w:t>.” It is significant that the historical ruptures that threaten to separate George and those of his generation from the ahistorical South of their boyhood, “The march of improvement first, then the march and crash of armies,” echo protests from John Ross and other representatives of the Cherokee Nation about the process of Removal. In “The Memorial and Protest of the Cherokee Nation,” delivered to Congress in 1836 to protest of the signing of the Treaty of New Echota, John Ross recounts a similar history:</w:t>
      </w:r>
    </w:p>
    <w:p w14:paraId="562E136E" w14:textId="7AC0541C" w:rsidR="00AC7D90" w:rsidRPr="00AC7D90" w:rsidRDefault="00AC7D90" w:rsidP="005D0244">
      <w:pPr>
        <w:spacing w:line="480" w:lineRule="auto"/>
        <w:ind w:left="720"/>
        <w:rPr>
          <w:rFonts w:ascii="Times New Roman" w:hAnsi="Times New Roman" w:cs="Times New Roman"/>
          <w:color w:val="000000"/>
          <w:shd w:val="clear" w:color="auto" w:fill="FFFFFF"/>
        </w:rPr>
      </w:pPr>
      <w:r w:rsidRPr="00AC7D90">
        <w:rPr>
          <w:rFonts w:ascii="Times New Roman" w:hAnsi="Times New Roman" w:cs="Times New Roman"/>
          <w:color w:val="000000"/>
          <w:shd w:val="clear" w:color="auto" w:fill="FFFFFF"/>
        </w:rPr>
        <w:lastRenderedPageBreak/>
        <w:t>The Cherokees were happy and prosperous under a scrupulous observance of treaty stipulations by the government of the United States, and …made rapid advances in civilization, morals, and in the arts and sciences. Little did they anticipate…they were to be despoiled by their guardian, to become strangers and wanderers in the land of their fathers, forced to return to the savage life, and to seek a new home in the wilds of the far west, and that without their consent… (Ross 17)</w:t>
      </w:r>
    </w:p>
    <w:p w14:paraId="40AC3ED3" w14:textId="77777777" w:rsidR="00AC7D90" w:rsidRPr="00AC7D90" w:rsidRDefault="00AC7D90" w:rsidP="005D0244">
      <w:pPr>
        <w:spacing w:line="480" w:lineRule="auto"/>
        <w:rPr>
          <w:rFonts w:ascii="Times New Roman" w:hAnsi="Times New Roman" w:cs="Times New Roman"/>
          <w:color w:val="000000"/>
          <w:shd w:val="clear" w:color="auto" w:fill="FFFFFF"/>
        </w:rPr>
      </w:pPr>
      <w:r w:rsidRPr="00AC7D90">
        <w:rPr>
          <w:rFonts w:ascii="Times New Roman" w:hAnsi="Times New Roman" w:cs="Times New Roman"/>
          <w:color w:val="000000"/>
          <w:shd w:val="clear" w:color="auto" w:fill="FFFFFF"/>
        </w:rPr>
        <w:t xml:space="preserve">George’s nostalgia maps the trauma of Removal onto his sense of Southern identity. He appropriates the Cherokees’ defiance to amplify the sense of Knoxville’s local resistance to </w:t>
      </w:r>
      <w:proofErr w:type="spellStart"/>
      <w:r w:rsidRPr="00AC7D90">
        <w:rPr>
          <w:rFonts w:ascii="Times New Roman" w:hAnsi="Times New Roman" w:cs="Times New Roman"/>
          <w:color w:val="000000"/>
          <w:shd w:val="clear" w:color="auto" w:fill="FFFFFF"/>
        </w:rPr>
        <w:t>extraregional</w:t>
      </w:r>
      <w:proofErr w:type="spellEnd"/>
      <w:r w:rsidRPr="00AC7D90">
        <w:rPr>
          <w:rFonts w:ascii="Times New Roman" w:hAnsi="Times New Roman" w:cs="Times New Roman"/>
          <w:color w:val="000000"/>
          <w:shd w:val="clear" w:color="auto" w:fill="FFFFFF"/>
        </w:rPr>
        <w:t xml:space="preserve"> influences and the continuity of a unique local culture. Ironically, in appropriating these Native signifiers, George assumes the total success of Removal and does not mention Native peoples’ ongoing resistance to colonialism in the South far beyond the Removal “period.”</w:t>
      </w:r>
    </w:p>
    <w:p w14:paraId="2AF2F2A8" w14:textId="77777777" w:rsidR="00AC7D90" w:rsidRPr="00AC7D90" w:rsidRDefault="00AC7D90" w:rsidP="005D0244">
      <w:pPr>
        <w:spacing w:line="480" w:lineRule="auto"/>
        <w:rPr>
          <w:rFonts w:ascii="Times New Roman" w:hAnsi="Times New Roman" w:cs="Times New Roman"/>
        </w:rPr>
      </w:pPr>
      <w:r w:rsidRPr="00AC7D90">
        <w:rPr>
          <w:rFonts w:ascii="Times New Roman" w:hAnsi="Times New Roman" w:cs="Times New Roman"/>
          <w:color w:val="000000"/>
          <w:shd w:val="clear" w:color="auto" w:fill="FFFFFF"/>
        </w:rPr>
        <w:tab/>
        <w:t xml:space="preserve">Likewise, </w:t>
      </w:r>
      <w:r w:rsidRPr="00AC7D90">
        <w:rPr>
          <w:rFonts w:ascii="Times New Roman" w:hAnsi="Times New Roman" w:cs="Times New Roman"/>
        </w:rPr>
        <w:t xml:space="preserve">Boyd’s Cherokee speech can be understood as part of “Razor-Grinder’s” desire to recover an idealized Southern past, then we can see how that story enacts the logic of the red state, erasing the Native agent from the history of the region in order to indigenize Sut and his fellow white Southerners as the true “natives” of the land. “Razor-Grinder” is a story of removal. However, Boyd’s expulsion of the Yankee from the land is a defensive purging, presented very differently here than the greed that motivated the whites’ theft of the southeast nations’ lands. In their defensive posture and sense of loss, Harris’s Southerners imagine themselves as a people whose homelands and </w:t>
      </w:r>
      <w:r w:rsidRPr="00AC7D90">
        <w:rPr>
          <w:rFonts w:ascii="Times New Roman" w:hAnsi="Times New Roman" w:cs="Times New Roman"/>
        </w:rPr>
        <w:lastRenderedPageBreak/>
        <w:t xml:space="preserve">way of life are threatened by encroaching outsiders who seek to remake the South in their image. In effect, they cast themselves as Cherokees in a restaging of the drama of Removal. In so doing, they transform the Cherokees into symbols of romantic pathos and righteousness, symbols which the Southerners can affiliate with their own fight without having to confront the actual trauma of dispossession and removal in the South. </w:t>
      </w:r>
    </w:p>
    <w:p w14:paraId="63526CAF" w14:textId="2C1EA0D3" w:rsidR="003075D5" w:rsidRDefault="003075D5" w:rsidP="003075D5">
      <w:pPr>
        <w:pStyle w:val="Body"/>
        <w:spacing w:line="480" w:lineRule="auto"/>
        <w:ind w:firstLine="720"/>
        <w:rPr>
          <w:rStyle w:val="None"/>
          <w:rFonts w:ascii="Times New Roman" w:eastAsia="Times New Roman" w:hAnsi="Times New Roman" w:cs="Times New Roman"/>
          <w:sz w:val="24"/>
          <w:szCs w:val="24"/>
        </w:rPr>
      </w:pPr>
      <w:bookmarkStart w:id="18" w:name="_Hlk168344677"/>
      <w:r w:rsidRPr="003075D5">
        <w:rPr>
          <w:rFonts w:ascii="Times New Roman" w:hAnsi="Times New Roman"/>
          <w:sz w:val="24"/>
          <w:szCs w:val="24"/>
        </w:rPr>
        <w:t xml:space="preserve">As Gina Caison </w:t>
      </w:r>
      <w:r>
        <w:rPr>
          <w:rFonts w:ascii="Times New Roman" w:hAnsi="Times New Roman"/>
          <w:sz w:val="24"/>
          <w:szCs w:val="24"/>
        </w:rPr>
        <w:t>reminds us</w:t>
      </w:r>
      <w:r w:rsidRPr="003075D5">
        <w:rPr>
          <w:rFonts w:ascii="Times New Roman" w:hAnsi="Times New Roman"/>
          <w:sz w:val="24"/>
          <w:szCs w:val="24"/>
        </w:rPr>
        <w:t xml:space="preserve">, we “should remain attuned to the significant differences between the use of the past to commit colonial violence and the retelling of stories to survive” (159). </w:t>
      </w:r>
      <w:r w:rsidRPr="003075D5">
        <w:rPr>
          <w:rFonts w:ascii="Times New Roman" w:hAnsi="Times New Roman" w:cs="Times New Roman"/>
          <w:color w:val="auto"/>
          <w:sz w:val="24"/>
          <w:szCs w:val="24"/>
          <w14:textOutline w14:w="0" w14:cap="rnd" w14:cmpd="sng" w14:algn="ctr">
            <w14:noFill/>
            <w14:prstDash w14:val="solid"/>
            <w14:bevel/>
          </w14:textOutline>
        </w:rPr>
        <w:t xml:space="preserve">Comparing </w:t>
      </w:r>
      <w:proofErr w:type="spellStart"/>
      <w:r w:rsidRPr="003075D5">
        <w:rPr>
          <w:rFonts w:ascii="Times New Roman" w:hAnsi="Times New Roman" w:cs="Times New Roman"/>
          <w:i/>
          <w:iCs/>
          <w:color w:val="auto"/>
          <w:sz w:val="24"/>
          <w:szCs w:val="24"/>
          <w:lang w:val="es-ES_tradnl"/>
          <w14:textOutline w14:w="0" w14:cap="rnd" w14:cmpd="sng" w14:algn="ctr">
            <w14:noFill/>
            <w14:prstDash w14:val="solid"/>
            <w14:bevel/>
          </w14:textOutline>
        </w:rPr>
        <w:t>Joaquin</w:t>
      </w:r>
      <w:proofErr w:type="spellEnd"/>
      <w:r w:rsidRPr="003075D5">
        <w:rPr>
          <w:rFonts w:ascii="Times New Roman" w:hAnsi="Times New Roman" w:cs="Times New Roman"/>
          <w:i/>
          <w:iCs/>
          <w:color w:val="auto"/>
          <w:sz w:val="24"/>
          <w:szCs w:val="24"/>
          <w:lang w:val="es-ES_tradnl"/>
          <w14:textOutline w14:w="0" w14:cap="rnd" w14:cmpd="sng" w14:algn="ctr">
            <w14:noFill/>
            <w14:prstDash w14:val="solid"/>
            <w14:bevel/>
          </w14:textOutline>
        </w:rPr>
        <w:t xml:space="preserve"> Murieta </w:t>
      </w:r>
      <w:r w:rsidRPr="003075D5">
        <w:rPr>
          <w:rFonts w:ascii="Times New Roman" w:hAnsi="Times New Roman" w:cs="Times New Roman"/>
          <w:color w:val="auto"/>
          <w:sz w:val="24"/>
          <w:szCs w:val="24"/>
          <w14:textOutline w14:w="0" w14:cap="rnd" w14:cmpd="sng" w14:algn="ctr">
            <w14:noFill/>
            <w14:prstDash w14:val="solid"/>
            <w14:bevel/>
          </w14:textOutline>
        </w:rPr>
        <w:t xml:space="preserve">to Sut Lovingood not only highlights the stakes of Caison’s distinction, </w:t>
      </w:r>
      <w:proofErr w:type="gramStart"/>
      <w:r w:rsidRPr="003075D5">
        <w:rPr>
          <w:rFonts w:ascii="Times New Roman" w:hAnsi="Times New Roman" w:cs="Times New Roman"/>
          <w:color w:val="auto"/>
          <w:sz w:val="24"/>
          <w:szCs w:val="24"/>
          <w14:textOutline w14:w="0" w14:cap="rnd" w14:cmpd="sng" w14:algn="ctr">
            <w14:noFill/>
            <w14:prstDash w14:val="solid"/>
            <w14:bevel/>
          </w14:textOutline>
        </w:rPr>
        <w:t>it</w:t>
      </w:r>
      <w:proofErr w:type="gramEnd"/>
      <w:r w:rsidRPr="003075D5">
        <w:rPr>
          <w:rFonts w:ascii="Times New Roman" w:hAnsi="Times New Roman" w:cs="Times New Roman"/>
          <w:color w:val="auto"/>
          <w:sz w:val="24"/>
          <w:szCs w:val="24"/>
          <w14:textOutline w14:w="0" w14:cap="rnd" w14:cmpd="sng" w14:algn="ctr">
            <w14:noFill/>
            <w14:prstDash w14:val="solid"/>
            <w14:bevel/>
          </w14:textOutline>
        </w:rPr>
        <w:t xml:space="preserve"> also helps us to focus </w:t>
      </w:r>
      <w:r>
        <w:rPr>
          <w:rFonts w:ascii="Times New Roman" w:hAnsi="Times New Roman" w:cs="Times New Roman"/>
          <w:color w:val="auto"/>
          <w:sz w:val="24"/>
          <w:szCs w:val="24"/>
          <w14:textOutline w14:w="0" w14:cap="rnd" w14:cmpd="sng" w14:algn="ctr">
            <w14:noFill/>
            <w14:prstDash w14:val="solid"/>
            <w14:bevel/>
          </w14:textOutline>
        </w:rPr>
        <w:t xml:space="preserve">on the ideological ends of humor in Ridge’s and </w:t>
      </w:r>
      <w:r w:rsidRPr="003075D5">
        <w:rPr>
          <w:rFonts w:ascii="Times New Roman" w:hAnsi="Times New Roman" w:cs="Times New Roman"/>
          <w:color w:val="auto"/>
          <w:sz w:val="24"/>
          <w:szCs w:val="24"/>
          <w14:textOutline w14:w="0" w14:cap="rnd" w14:cmpd="sng" w14:algn="ctr">
            <w14:noFill/>
            <w14:prstDash w14:val="solid"/>
            <w14:bevel/>
          </w14:textOutline>
        </w:rPr>
        <w:t>Harris’s work</w:t>
      </w:r>
      <w:r>
        <w:rPr>
          <w:rFonts w:ascii="Times New Roman" w:hAnsi="Times New Roman" w:cs="Times New Roman"/>
          <w:color w:val="auto"/>
          <w:sz w:val="24"/>
          <w:szCs w:val="24"/>
          <w14:textOutline w14:w="0" w14:cap="rnd" w14:cmpd="sng" w14:algn="ctr">
            <w14:noFill/>
            <w14:prstDash w14:val="solid"/>
            <w14:bevel/>
          </w14:textOutline>
        </w:rPr>
        <w:t>.</w:t>
      </w:r>
      <w:r w:rsidRPr="003075D5">
        <w:rPr>
          <w:rFonts w:ascii="Times New Roman" w:hAnsi="Times New Roman" w:cs="Times New Roman"/>
          <w:color w:val="auto"/>
          <w:sz w:val="24"/>
          <w:szCs w:val="24"/>
          <w14:textOutline w14:w="0" w14:cap="rnd" w14:cmpd="sng" w14:algn="ctr">
            <w14:noFill/>
            <w14:prstDash w14:val="solid"/>
            <w14:bevel/>
          </w14:textOutline>
        </w:rPr>
        <w:t xml:space="preserve"> </w:t>
      </w:r>
      <w:bookmarkEnd w:id="18"/>
      <w:r>
        <w:rPr>
          <w:rStyle w:val="None"/>
          <w:rFonts w:ascii="Times New Roman" w:hAnsi="Times New Roman"/>
          <w:sz w:val="24"/>
          <w:szCs w:val="24"/>
        </w:rPr>
        <w:t>“</w:t>
      </w:r>
      <w:r>
        <w:rPr>
          <w:rStyle w:val="None"/>
          <w:rFonts w:ascii="Times New Roman" w:hAnsi="Times New Roman"/>
          <w:sz w:val="24"/>
          <w:szCs w:val="24"/>
          <w:lang w:val="de-DE"/>
        </w:rPr>
        <w:t>Razor-Grinder in a Thunderstorm</w:t>
      </w:r>
      <w:r>
        <w:rPr>
          <w:rStyle w:val="None"/>
          <w:rFonts w:ascii="Times New Roman" w:hAnsi="Times New Roman"/>
          <w:sz w:val="24"/>
          <w:szCs w:val="24"/>
        </w:rPr>
        <w:t xml:space="preserve">” engages with histories of Native resistance to colonialism, embedded in Boyd’s appropriation of the Cherokee language, in order to give shape and coherence to a sense of defiant, postwar Southern identity. </w:t>
      </w:r>
      <w:proofErr w:type="spellStart"/>
      <w:r w:rsidRPr="003075D5">
        <w:rPr>
          <w:rStyle w:val="None"/>
          <w:rFonts w:ascii="Times New Roman" w:hAnsi="Times New Roman"/>
          <w:i/>
          <w:iCs/>
          <w:sz w:val="24"/>
          <w:szCs w:val="24"/>
          <w:lang w:val="es-ES_tradnl"/>
        </w:rPr>
        <w:t>Joaquin</w:t>
      </w:r>
      <w:proofErr w:type="spellEnd"/>
      <w:r w:rsidRPr="003075D5">
        <w:rPr>
          <w:rStyle w:val="None"/>
          <w:rFonts w:ascii="Times New Roman" w:hAnsi="Times New Roman"/>
          <w:i/>
          <w:iCs/>
          <w:sz w:val="24"/>
          <w:szCs w:val="24"/>
          <w:lang w:val="es-ES_tradnl"/>
        </w:rPr>
        <w:t xml:space="preserve"> Murieta</w:t>
      </w:r>
      <w:r>
        <w:rPr>
          <w:rStyle w:val="None"/>
          <w:rFonts w:ascii="Times New Roman" w:hAnsi="Times New Roman"/>
          <w:sz w:val="24"/>
          <w:szCs w:val="24"/>
          <w:lang w:val="es-ES_tradnl"/>
        </w:rPr>
        <w:t xml:space="preserve"> </w:t>
      </w:r>
      <w:r>
        <w:rPr>
          <w:rStyle w:val="None"/>
          <w:rFonts w:ascii="Times New Roman" w:hAnsi="Times New Roman"/>
          <w:sz w:val="24"/>
          <w:szCs w:val="24"/>
        </w:rPr>
        <w:t xml:space="preserve">upsets this settler colonial temporality by weaving Cherokee values into his resistance narrative, insisting on the failure of Removal to destroy Cherokee culture and inscribe American ownership on the land. </w:t>
      </w:r>
    </w:p>
    <w:p w14:paraId="6C2057A7" w14:textId="4768CC62" w:rsidR="00287C65" w:rsidRDefault="003075D5" w:rsidP="003075D5">
      <w:pPr>
        <w:pStyle w:val="Body"/>
        <w:spacing w:line="480" w:lineRule="auto"/>
        <w:rPr>
          <w:rStyle w:val="None"/>
          <w:rFonts w:ascii="Times New Roman" w:hAnsi="Times New Roman"/>
          <w:sz w:val="24"/>
          <w:szCs w:val="24"/>
        </w:rPr>
      </w:pPr>
      <w:r>
        <w:rPr>
          <w:rStyle w:val="None"/>
          <w:rFonts w:ascii="Times New Roman" w:eastAsia="Times New Roman" w:hAnsi="Times New Roman" w:cs="Times New Roman"/>
          <w:sz w:val="24"/>
          <w:szCs w:val="24"/>
        </w:rPr>
        <w:tab/>
        <w:t xml:space="preserve">Attention to laughter in both texts, then, points to how Ridge encodes within </w:t>
      </w:r>
      <w:proofErr w:type="spellStart"/>
      <w:r w:rsidRPr="003075D5">
        <w:rPr>
          <w:rStyle w:val="None"/>
          <w:rFonts w:ascii="Times New Roman" w:hAnsi="Times New Roman"/>
          <w:i/>
          <w:iCs/>
          <w:sz w:val="24"/>
          <w:szCs w:val="24"/>
          <w:lang w:val="es-ES_tradnl"/>
        </w:rPr>
        <w:t>Joaquin</w:t>
      </w:r>
      <w:proofErr w:type="spellEnd"/>
      <w:r w:rsidRPr="003075D5">
        <w:rPr>
          <w:rStyle w:val="None"/>
          <w:rFonts w:ascii="Times New Roman" w:hAnsi="Times New Roman"/>
          <w:i/>
          <w:iCs/>
          <w:sz w:val="24"/>
          <w:szCs w:val="24"/>
          <w:lang w:val="es-ES_tradnl"/>
        </w:rPr>
        <w:t xml:space="preserve"> Murieta</w:t>
      </w:r>
      <w:r>
        <w:rPr>
          <w:rStyle w:val="None"/>
          <w:rFonts w:ascii="Times New Roman" w:hAnsi="Times New Roman"/>
          <w:sz w:val="24"/>
          <w:szCs w:val="24"/>
          <w:lang w:val="es-ES_tradnl"/>
        </w:rPr>
        <w:t xml:space="preserve"> </w:t>
      </w:r>
      <w:r>
        <w:rPr>
          <w:rStyle w:val="None"/>
          <w:rFonts w:ascii="Times New Roman" w:hAnsi="Times New Roman"/>
          <w:sz w:val="24"/>
          <w:szCs w:val="24"/>
        </w:rPr>
        <w:t xml:space="preserve">Cherokee resistance to colonialism that speaks back to and against the efforts of the Old Southwest Humorists to use laughter to impose a structure of settler colonial domination and a sense of white indigeneity on stolen Native land. </w:t>
      </w:r>
      <w:proofErr w:type="spellStart"/>
      <w:r w:rsidRPr="003075D5">
        <w:rPr>
          <w:rStyle w:val="None"/>
          <w:rFonts w:ascii="Times New Roman" w:hAnsi="Times New Roman"/>
          <w:i/>
          <w:iCs/>
          <w:sz w:val="24"/>
          <w:szCs w:val="24"/>
          <w:lang w:val="es-ES_tradnl"/>
        </w:rPr>
        <w:t>Joaquin</w:t>
      </w:r>
      <w:proofErr w:type="spellEnd"/>
      <w:r w:rsidRPr="003075D5">
        <w:rPr>
          <w:rStyle w:val="None"/>
          <w:rFonts w:ascii="Times New Roman" w:hAnsi="Times New Roman"/>
          <w:i/>
          <w:iCs/>
          <w:sz w:val="24"/>
          <w:szCs w:val="24"/>
          <w:lang w:val="es-ES_tradnl"/>
        </w:rPr>
        <w:t xml:space="preserve"> Murieta</w:t>
      </w:r>
      <w:r>
        <w:rPr>
          <w:rStyle w:val="None"/>
          <w:rFonts w:ascii="Times New Roman" w:hAnsi="Times New Roman"/>
          <w:sz w:val="24"/>
          <w:szCs w:val="24"/>
          <w:lang w:val="es-ES_tradnl"/>
        </w:rPr>
        <w:t xml:space="preserve"> </w:t>
      </w:r>
      <w:r>
        <w:rPr>
          <w:rStyle w:val="None"/>
          <w:rFonts w:ascii="Times New Roman" w:hAnsi="Times New Roman"/>
          <w:sz w:val="24"/>
          <w:szCs w:val="24"/>
        </w:rPr>
        <w:t xml:space="preserve">collapses the geographic and temporal distance between the Old Southwest and the new southwest of California, restaging Cherokee resistance to land theft and Removal </w:t>
      </w:r>
      <w:r>
        <w:rPr>
          <w:rStyle w:val="None"/>
          <w:rFonts w:ascii="Times New Roman" w:hAnsi="Times New Roman"/>
          <w:sz w:val="24"/>
          <w:szCs w:val="24"/>
        </w:rPr>
        <w:lastRenderedPageBreak/>
        <w:t xml:space="preserve">and speaking directly against regionalist writers in and beyond the U.S. South whose red state fantasies sought to erase Indigenous history or laugh it away. </w:t>
      </w:r>
      <w:proofErr w:type="spellStart"/>
      <w:r>
        <w:rPr>
          <w:rStyle w:val="None"/>
          <w:rFonts w:ascii="Times New Roman" w:hAnsi="Times New Roman"/>
          <w:sz w:val="24"/>
          <w:szCs w:val="24"/>
          <w:lang w:val="es-ES_tradnl"/>
        </w:rPr>
        <w:t>Joaquin</w:t>
      </w:r>
      <w:proofErr w:type="spellEnd"/>
      <w:r>
        <w:rPr>
          <w:rStyle w:val="None"/>
          <w:rFonts w:ascii="Times New Roman" w:hAnsi="Times New Roman"/>
          <w:sz w:val="24"/>
          <w:szCs w:val="24"/>
          <w:lang w:val="es-ES_tradnl"/>
        </w:rPr>
        <w:t xml:space="preserve"> Murieta </w:t>
      </w:r>
      <w:r>
        <w:rPr>
          <w:rStyle w:val="None"/>
          <w:rFonts w:ascii="Times New Roman" w:hAnsi="Times New Roman"/>
          <w:sz w:val="24"/>
          <w:szCs w:val="24"/>
        </w:rPr>
        <w:t xml:space="preserve">laughs back. </w:t>
      </w:r>
    </w:p>
    <w:p w14:paraId="1A759C9A" w14:textId="77777777" w:rsidR="00287C65" w:rsidRDefault="00287C65">
      <w:pPr>
        <w:spacing w:after="160" w:line="259" w:lineRule="auto"/>
        <w:rPr>
          <w:rStyle w:val="None"/>
          <w:rFonts w:ascii="Times New Roman" w:eastAsia="Arial Unicode MS" w:hAnsi="Times New Roman" w:cs="Arial Unicode MS"/>
          <w:color w:val="000000"/>
          <w:u w:color="000000"/>
          <w:bdr w:val="nil"/>
          <w14:textOutline w14:w="0" w14:cap="flat" w14:cmpd="sng" w14:algn="ctr">
            <w14:noFill/>
            <w14:prstDash w14:val="solid"/>
            <w14:bevel/>
          </w14:textOutline>
        </w:rPr>
      </w:pPr>
      <w:r>
        <w:rPr>
          <w:rStyle w:val="None"/>
          <w:rFonts w:ascii="Times New Roman" w:hAnsi="Times New Roman"/>
        </w:rPr>
        <w:br w:type="page"/>
      </w:r>
    </w:p>
    <w:p w14:paraId="32BF9EDB" w14:textId="685FAE08" w:rsidR="00287C65" w:rsidRPr="00287C65" w:rsidRDefault="00287C65" w:rsidP="00287C65">
      <w:pPr>
        <w:pStyle w:val="Heading1"/>
        <w:spacing w:line="480" w:lineRule="auto"/>
        <w:jc w:val="center"/>
        <w:rPr>
          <w:rFonts w:ascii="Times New Roman" w:hAnsi="Times New Roman" w:cs="Times New Roman"/>
          <w:color w:val="auto"/>
          <w:sz w:val="24"/>
          <w:szCs w:val="24"/>
        </w:rPr>
      </w:pPr>
      <w:bookmarkStart w:id="19" w:name="_Toc169279173"/>
      <w:r>
        <w:rPr>
          <w:rFonts w:ascii="Times New Roman" w:hAnsi="Times New Roman" w:cs="Times New Roman"/>
          <w:b/>
          <w:bCs/>
          <w:color w:val="auto"/>
          <w:sz w:val="24"/>
          <w:szCs w:val="24"/>
        </w:rPr>
        <w:lastRenderedPageBreak/>
        <w:t xml:space="preserve">CHAPTER 3 </w:t>
      </w:r>
      <w:r>
        <w:rPr>
          <w:rFonts w:ascii="Times New Roman" w:hAnsi="Times New Roman" w:cs="Times New Roman"/>
          <w:b/>
          <w:bCs/>
          <w:color w:val="auto"/>
          <w:sz w:val="24"/>
          <w:szCs w:val="24"/>
        </w:rPr>
        <w:br/>
        <w:t>WINNEMUCCA HOPKINS AND TWAIN ON TOUR:</w:t>
      </w:r>
      <w:r>
        <w:rPr>
          <w:rFonts w:ascii="Times New Roman" w:hAnsi="Times New Roman" w:cs="Times New Roman"/>
          <w:b/>
          <w:bCs/>
          <w:color w:val="auto"/>
          <w:sz w:val="24"/>
          <w:szCs w:val="24"/>
        </w:rPr>
        <w:br/>
        <w:t>BODIES, COMEDY, AND THE (RE)MAPPING OF NATIVE SPACE</w:t>
      </w:r>
      <w:bookmarkEnd w:id="19"/>
    </w:p>
    <w:p w14:paraId="47353649"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In their lecture tours in the late nineteenth century, Sarah Winnemucca Hopkins (Northern Paiute) and Mark Twain both demonstrated the rhetorical power of humor. As a young, single woman, Sarah Winnemucca performed on the stages of non-Native mining settlements with her father, staging tableaux vivants and translating her father’s speeches for white audiences. In 1879 and then again in 1883 as a married woman, Winnemucca Hopkins</w:t>
      </w:r>
      <w:commentRangeStart w:id="20"/>
      <w:commentRangeEnd w:id="20"/>
      <w:r w:rsidRPr="004E06DE">
        <w:rPr>
          <w:rStyle w:val="CommentReference"/>
          <w:rFonts w:eastAsiaTheme="majorEastAsia"/>
        </w:rPr>
        <w:commentReference w:id="20"/>
      </w:r>
      <w:r w:rsidRPr="004E06DE">
        <w:rPr>
          <w:rFonts w:ascii="Times New Roman" w:hAnsi="Times New Roman" w:cs="Times New Roman"/>
        </w:rPr>
        <w:t xml:space="preserve"> took to lecturing as a way to raise awareness about the Northern Paiutes’ suffering under the oppression of corrupt agents of the Bureau of Indian Affairs (BIA) and the injustice with which her people were treated following the 1878 Bannock War. Winnemucca Hopkins lectured in San Francisco and Carson City before making her way east and touring up and down the major cities of the east coast, where she spoke to crowds associated with various reform movements. Even as she addressed these somber subjects, Hopkin understood the power of humor to break through non-Natives’ expectations of Native speechmaking and to amplify her message. </w:t>
      </w:r>
    </w:p>
    <w:p w14:paraId="5F7068CE"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Contemporary with Winnemucca Hopkins, Mark Twain used lecturing to make a living and promote himself as the preeminent American humorist. Primarily known today for his novels such as </w:t>
      </w:r>
      <w:r w:rsidRPr="004E06DE">
        <w:rPr>
          <w:rFonts w:ascii="Times New Roman" w:hAnsi="Times New Roman" w:cs="Times New Roman"/>
          <w:i/>
          <w:iCs/>
        </w:rPr>
        <w:t xml:space="preserve">Huckleberry Finn </w:t>
      </w:r>
      <w:r w:rsidRPr="004E06DE">
        <w:rPr>
          <w:rFonts w:ascii="Times New Roman" w:hAnsi="Times New Roman" w:cs="Times New Roman"/>
        </w:rPr>
        <w:t xml:space="preserve">(1884), </w:t>
      </w:r>
      <w:proofErr w:type="spellStart"/>
      <w:r w:rsidRPr="004E06DE">
        <w:rPr>
          <w:rFonts w:ascii="Times New Roman" w:hAnsi="Times New Roman" w:cs="Times New Roman"/>
          <w:i/>
          <w:iCs/>
        </w:rPr>
        <w:t>Pudd’nhead</w:t>
      </w:r>
      <w:proofErr w:type="spellEnd"/>
      <w:r w:rsidRPr="004E06DE">
        <w:rPr>
          <w:rFonts w:ascii="Times New Roman" w:hAnsi="Times New Roman" w:cs="Times New Roman"/>
          <w:i/>
          <w:iCs/>
        </w:rPr>
        <w:t xml:space="preserve"> Wilson </w:t>
      </w:r>
      <w:r w:rsidRPr="004E06DE">
        <w:rPr>
          <w:rFonts w:ascii="Times New Roman" w:hAnsi="Times New Roman" w:cs="Times New Roman"/>
        </w:rPr>
        <w:t xml:space="preserve">(1893), and </w:t>
      </w:r>
      <w:r w:rsidRPr="004E06DE">
        <w:rPr>
          <w:rFonts w:ascii="Times New Roman" w:hAnsi="Times New Roman" w:cs="Times New Roman"/>
          <w:i/>
          <w:iCs/>
        </w:rPr>
        <w:t xml:space="preserve">A Connecticut Yankee in King Arthur’s Court </w:t>
      </w:r>
      <w:r w:rsidRPr="004E06DE">
        <w:rPr>
          <w:rFonts w:ascii="Times New Roman" w:hAnsi="Times New Roman" w:cs="Times New Roman"/>
        </w:rPr>
        <w:t xml:space="preserve">(1889), lecturing was Twain’s “alternative career.” Twain delivered hundreds of lectures across the United States and England </w:t>
      </w:r>
      <w:r w:rsidRPr="004E06DE">
        <w:rPr>
          <w:rFonts w:ascii="Times New Roman" w:hAnsi="Times New Roman" w:cs="Times New Roman"/>
        </w:rPr>
        <w:lastRenderedPageBreak/>
        <w:t xml:space="preserve">between 1866 and 1891. While Winnemucca Hopkins’s style hewed closer to the majority of nineteenth-century orators who sought to morally instruct their audiences, Twain delivered “humorous lectures” in the style of fellow western humorists Josh Billings, Petroleum V. Nasby, Dan De Quille, and Artemus Ward. There was seldom a moral lesson to his lectures; rather, he sought simply to entertain his audiences, to make money, and, later, to boost sales of his forthcoming books. Quoting a review of a Twain lecture printed in a Buffalo, New York newspaper, scholar Fred Lorch writes that his lectures were “deliberately designed, cold-blooded nonsense…If it made you laugh it was a success. And if some, as they expressed it, were ‘mad at themselves for laughing at such nonsense,’ the lecture was all the greater success” (“Sandwich Islands” 319). </w:t>
      </w:r>
    </w:p>
    <w:p w14:paraId="7671A251"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tab/>
        <w:t xml:space="preserve">Despite the differences in the aims of their humor, Winnemucca Hopkins’s and Twain’s methods for provoking their audiences’ laughter were remarkably similar. Both practiced an embodied form of physical comedy that elevated and, reportedly, outshone their more </w:t>
      </w:r>
      <w:proofErr w:type="gramStart"/>
      <w:r w:rsidRPr="004E06DE">
        <w:rPr>
          <w:rFonts w:ascii="Times New Roman" w:hAnsi="Times New Roman" w:cs="Times New Roman"/>
        </w:rPr>
        <w:t>verbally-focused</w:t>
      </w:r>
      <w:proofErr w:type="gramEnd"/>
      <w:r w:rsidRPr="004E06DE">
        <w:rPr>
          <w:rFonts w:ascii="Times New Roman" w:hAnsi="Times New Roman" w:cs="Times New Roman"/>
        </w:rPr>
        <w:t xml:space="preserve"> sarcastic or witty jokes. Twain called this dimension of his humor his “manner” and deemed it all-important. According to contemporary newspaper reports, on stage he spoke slowly with an affected drawl that emphasized his Missouri upbringing and training amongst the “sagebrush humorists” of the west. He also made great use of the pause, “that impressive, eloquent, and geometrically progressive silence which often accomplished far more than the most felicitous combination of words” (Lorch, </w:t>
      </w:r>
      <w:r w:rsidRPr="004E06DE">
        <w:rPr>
          <w:rFonts w:ascii="Times New Roman" w:hAnsi="Times New Roman" w:cs="Times New Roman"/>
          <w:i/>
          <w:iCs/>
        </w:rPr>
        <w:t xml:space="preserve">Trouble </w:t>
      </w:r>
      <w:r w:rsidRPr="004E06DE">
        <w:rPr>
          <w:rFonts w:ascii="Times New Roman" w:hAnsi="Times New Roman" w:cs="Times New Roman"/>
        </w:rPr>
        <w:t xml:space="preserve">156). Winnemucca Hopkins likewise used her body and voice to amplify the spoken material of her lectures. For instance, she embellished her account of Malheur </w:t>
      </w:r>
      <w:r w:rsidRPr="004E06DE">
        <w:rPr>
          <w:rFonts w:ascii="Times New Roman" w:hAnsi="Times New Roman" w:cs="Times New Roman"/>
        </w:rPr>
        <w:lastRenderedPageBreak/>
        <w:t xml:space="preserve">Reservation Agent William Rinehart’s perfidy with a pantomime of Rinehart kneeling down with one hand lifted in prayer and the other groping around to pick up loose change. Since detailing Rinehart’s corruption was a hallmark of her act whenever she spoke, it is likely that Winnemucca Hopkins performed this “bit of mischievous sarcasm” before many audiences (qtd. in Carpenter and Sorisio, 97). Reporting on one of her lectures in 1879, the </w:t>
      </w:r>
      <w:r w:rsidRPr="004E06DE">
        <w:rPr>
          <w:rFonts w:ascii="Times New Roman" w:hAnsi="Times New Roman" w:cs="Times New Roman"/>
          <w:i/>
          <w:iCs/>
        </w:rPr>
        <w:t xml:space="preserve">San Fransisco Chronicle </w:t>
      </w:r>
      <w:r w:rsidRPr="004E06DE">
        <w:rPr>
          <w:rFonts w:ascii="Times New Roman" w:hAnsi="Times New Roman" w:cs="Times New Roman"/>
        </w:rPr>
        <w:t xml:space="preserve">highlighted the joke and noted that it “brought the house down” (97). Winnemucca Hopkins used her body as an expressive tool for more than humor. Many newspaper reporters noted her “gracefulness and [the] dramatic effect of her gestures,” suggesting that Winnemucca Hopkins moved around the stage and used her body to add pathos to sentimental moments of her lectures (108). </w:t>
      </w:r>
    </w:p>
    <w:p w14:paraId="006CE475"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In this chapter I will examine humorous moments from Winnemucca Hopkins’s lectures—we might call them “jokes” in her “routine”—that serve to critique and resist containment in its various guises. They span the breadth of her brief lecturing career, 1879-1884, and while not exhaustive, provide examples of how Winnemucca Hopkins analyzed </w:t>
      </w:r>
      <w:proofErr w:type="gramStart"/>
      <w:r w:rsidRPr="004E06DE">
        <w:rPr>
          <w:rFonts w:ascii="Times New Roman" w:hAnsi="Times New Roman" w:cs="Times New Roman"/>
        </w:rPr>
        <w:t>the her</w:t>
      </w:r>
      <w:proofErr w:type="gramEnd"/>
      <w:r w:rsidRPr="004E06DE">
        <w:rPr>
          <w:rFonts w:ascii="Times New Roman" w:hAnsi="Times New Roman" w:cs="Times New Roman"/>
        </w:rPr>
        <w:t xml:space="preserve"> own and others’ Native and non-Native bodies as sites of critical humorous intervention. One question driving my exploration is “What was at stake for both of these people in staging their bodies in this way?” Specifically, Winnemucca Hopkins joked about bodies in order to untangle the morass of colonial systems of containment and to engage her non-Native audiences in imagining new futures for Northern Paiutes. In her study of Winnemucca Hopkins’s stage humor, Cari M. Carpenter describes the double-edged nature of Winnemucca Hopkins’s physical comedy. </w:t>
      </w:r>
      <w:r w:rsidRPr="004E06DE">
        <w:rPr>
          <w:rFonts w:ascii="Times New Roman" w:hAnsi="Times New Roman" w:cs="Times New Roman"/>
        </w:rPr>
        <w:lastRenderedPageBreak/>
        <w:t>Carpenter explains that while her physical “humor…surprised Winnemucca’s audience,</w:t>
      </w:r>
      <w:r w:rsidRPr="004E06DE">
        <w:rPr>
          <w:rStyle w:val="FootnoteReference"/>
          <w:rFonts w:ascii="Times New Roman" w:eastAsiaTheme="majorEastAsia" w:hAnsi="Times New Roman" w:cs="Times New Roman"/>
        </w:rPr>
        <w:footnoteReference w:id="39"/>
      </w:r>
      <w:r w:rsidRPr="004E06DE">
        <w:rPr>
          <w:rFonts w:ascii="Times New Roman" w:hAnsi="Times New Roman" w:cs="Times New Roman"/>
        </w:rPr>
        <w:t xml:space="preserve"> allowing her to mount a forceful critique. Yet this also highlighted the Native woman’s body, the very site that was the target of racialized and sexualized violence in the nineteenth century” (Carpenter, “Choking” 20). Carpenter’s point is well taken. As Stephanie Nohelani Teves points out, in settler colonial ideology, “violence against the land is figured as normative and it is conjoined with images of violence against women’s bodies,” especially the bodies of Indigenous women (59). </w:t>
      </w:r>
    </w:p>
    <w:p w14:paraId="6C8506B0"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Winnemucca Hopkins was acutely aware of her body’s importance as a site of colonial domination. She came of age in a time where her people’s homelands were being reinscribed as territories by U.S. officials. The laws of the newly established “Nevada </w:t>
      </w:r>
      <w:r w:rsidRPr="004E06DE">
        <w:rPr>
          <w:rFonts w:ascii="Times New Roman" w:hAnsi="Times New Roman" w:cs="Times New Roman"/>
        </w:rPr>
        <w:lastRenderedPageBreak/>
        <w:t xml:space="preserve">Territory” that encompassed </w:t>
      </w:r>
      <w:proofErr w:type="spellStart"/>
      <w:r w:rsidRPr="004E06DE">
        <w:rPr>
          <w:rFonts w:ascii="Times New Roman" w:hAnsi="Times New Roman" w:cs="Times New Roman"/>
        </w:rPr>
        <w:t>Kooyooe</w:t>
      </w:r>
      <w:proofErr w:type="spellEnd"/>
      <w:r w:rsidRPr="004E06DE">
        <w:rPr>
          <w:rFonts w:ascii="Times New Roman" w:hAnsi="Times New Roman" w:cs="Times New Roman"/>
        </w:rPr>
        <w:t xml:space="preserve"> </w:t>
      </w:r>
      <w:proofErr w:type="spellStart"/>
      <w:r w:rsidRPr="004E06DE">
        <w:rPr>
          <w:rFonts w:ascii="Times New Roman" w:hAnsi="Times New Roman" w:cs="Times New Roman"/>
        </w:rPr>
        <w:t>Panunadu</w:t>
      </w:r>
      <w:proofErr w:type="spellEnd"/>
      <w:r w:rsidRPr="004E06DE">
        <w:rPr>
          <w:rStyle w:val="FootnoteReference"/>
          <w:rFonts w:ascii="Times New Roman" w:eastAsiaTheme="majorEastAsia" w:hAnsi="Times New Roman" w:cs="Times New Roman"/>
        </w:rPr>
        <w:footnoteReference w:id="40"/>
      </w:r>
      <w:r w:rsidRPr="004E06DE">
        <w:rPr>
          <w:rFonts w:ascii="Times New Roman" w:hAnsi="Times New Roman" w:cs="Times New Roman"/>
        </w:rPr>
        <w:t xml:space="preserve"> directly legislated the reproduction of Native women by distinguishing whites from “Indians” based on blood quantum. Such definitions, though arbitrary, had drastic consequences for all those racialized under the law. Furthermore, Winnemucca Hopkins witnessed </w:t>
      </w:r>
      <w:proofErr w:type="spellStart"/>
      <w:proofErr w:type="gramStart"/>
      <w:r w:rsidRPr="004E06DE">
        <w:rPr>
          <w:rFonts w:ascii="Times New Roman" w:hAnsi="Times New Roman" w:cs="Times New Roman"/>
        </w:rPr>
        <w:t>first hand</w:t>
      </w:r>
      <w:proofErr w:type="spellEnd"/>
      <w:proofErr w:type="gramEnd"/>
      <w:r w:rsidRPr="004E06DE">
        <w:rPr>
          <w:rFonts w:ascii="Times New Roman" w:hAnsi="Times New Roman" w:cs="Times New Roman"/>
        </w:rPr>
        <w:t xml:space="preserve"> settlers’ sexual violence against Native women. In her lectures and her book </w:t>
      </w:r>
      <w:r w:rsidRPr="004E06DE">
        <w:rPr>
          <w:rFonts w:ascii="Times New Roman" w:hAnsi="Times New Roman" w:cs="Times New Roman"/>
          <w:i/>
          <w:iCs/>
        </w:rPr>
        <w:t>Life Among the Piutes</w:t>
      </w:r>
      <w:r w:rsidRPr="004E06DE">
        <w:rPr>
          <w:rFonts w:ascii="Times New Roman" w:hAnsi="Times New Roman" w:cs="Times New Roman"/>
        </w:rPr>
        <w:t xml:space="preserve"> that grew out of them, Winnemucca Hopkins retells the origins of the so-called “Paiute War” or Pyramid Lake War of 1860,</w:t>
      </w:r>
      <w:r w:rsidRPr="004E06DE">
        <w:rPr>
          <w:rStyle w:val="FootnoteReference"/>
          <w:rFonts w:ascii="Times New Roman" w:eastAsiaTheme="majorEastAsia" w:hAnsi="Times New Roman" w:cs="Times New Roman"/>
        </w:rPr>
        <w:footnoteReference w:id="41"/>
      </w:r>
      <w:r w:rsidRPr="004E06DE">
        <w:rPr>
          <w:rFonts w:ascii="Times New Roman" w:hAnsi="Times New Roman" w:cs="Times New Roman"/>
        </w:rPr>
        <w:t xml:space="preserve"> which she locates in the abduction and captivity of two young Paiute girls by a group of white settlers at Williams Station. The men kept the girls bound and gagged on mattresses in a hidden cellar underneath the barn on their property. According to Winnemucca Hopkins, the “war” began after a group of Paiute men murdered the men at Williams Station and rescued the girls. White citizens of the surrounding settlements were alarmed at the seemingly unprovoked outbreak of Native violence and quickly organized volunteer militias to retaliate. While western newspapers </w:t>
      </w:r>
      <w:r w:rsidRPr="004E06DE">
        <w:rPr>
          <w:rFonts w:ascii="Times New Roman" w:hAnsi="Times New Roman" w:cs="Times New Roman"/>
        </w:rPr>
        <w:lastRenderedPageBreak/>
        <w:t xml:space="preserve">avidly followed the violence and reported the death toll, no non-Native outlet mentioned the sexual violence that precipitated everything until Winnemucca Hopkins began telling her version of events onstage in 1879. Such rewriting of local settler histories is a way in which Winnemucca Hopkins’s lectures and writing resist colonial domination. </w:t>
      </w:r>
    </w:p>
    <w:p w14:paraId="465E71E5"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Using her body as an instrument to facilitate the correction of the historical record was an especially potent form of protest, especially so when her protest took the form of critical humor. Humor theorist Nicholas Holm defines critical humor as “</w:t>
      </w:r>
      <w:proofErr w:type="spellStart"/>
      <w:r w:rsidRPr="004E06DE">
        <w:rPr>
          <w:rFonts w:ascii="Times New Roman" w:hAnsi="Times New Roman" w:cs="Times New Roman"/>
        </w:rPr>
        <w:t>humour</w:t>
      </w:r>
      <w:proofErr w:type="spellEnd"/>
      <w:r w:rsidRPr="004E06DE">
        <w:rPr>
          <w:rFonts w:ascii="Times New Roman" w:hAnsi="Times New Roman" w:cs="Times New Roman"/>
        </w:rPr>
        <w:t xml:space="preserve"> as a form of critique” and which is thus supposed to wield some political power or perform some political work (31-2). As Carpenter and Carolyn Sorisio point out in their introduction to </w:t>
      </w:r>
      <w:r w:rsidRPr="004E06DE">
        <w:rPr>
          <w:rFonts w:ascii="Times New Roman" w:hAnsi="Times New Roman" w:cs="Times New Roman"/>
          <w:i/>
          <w:iCs/>
        </w:rPr>
        <w:t>Newspaper Warrior</w:t>
      </w:r>
      <w:r w:rsidRPr="004E06DE">
        <w:rPr>
          <w:rFonts w:ascii="Times New Roman" w:hAnsi="Times New Roman" w:cs="Times New Roman"/>
        </w:rPr>
        <w:t>,</w:t>
      </w:r>
      <w:r w:rsidRPr="004E06DE">
        <w:rPr>
          <w:rFonts w:ascii="Times New Roman" w:hAnsi="Times New Roman" w:cs="Times New Roman"/>
          <w:i/>
          <w:iCs/>
        </w:rPr>
        <w:t xml:space="preserve"> </w:t>
      </w:r>
      <w:r w:rsidRPr="004E06DE">
        <w:rPr>
          <w:rFonts w:ascii="Times New Roman" w:hAnsi="Times New Roman" w:cs="Times New Roman"/>
        </w:rPr>
        <w:t xml:space="preserve">William Rinehart, the appointed agent for the Malheur Reservation, was the most frequent target of Winnemucca Hopkins’s critical humor. More precisely, however, Winnemucca Hopkins’s humor transcends the individual example of Rinehart to aim at what </w:t>
      </w:r>
      <w:proofErr w:type="spellStart"/>
      <w:r w:rsidRPr="004E06DE">
        <w:rPr>
          <w:rFonts w:ascii="Times New Roman" w:hAnsi="Times New Roman" w:cs="Times New Roman"/>
        </w:rPr>
        <w:t>Mishuana</w:t>
      </w:r>
      <w:proofErr w:type="spellEnd"/>
      <w:r w:rsidRPr="004E06DE">
        <w:rPr>
          <w:rFonts w:ascii="Times New Roman" w:hAnsi="Times New Roman" w:cs="Times New Roman"/>
        </w:rPr>
        <w:t xml:space="preserve"> Goeman calls “logics of containment” (“Land as Life” 72). Goeman quotes Kanaka </w:t>
      </w:r>
      <w:proofErr w:type="spellStart"/>
      <w:r w:rsidRPr="004E06DE">
        <w:rPr>
          <w:rFonts w:ascii="Times New Roman" w:hAnsi="Times New Roman" w:cs="Times New Roman"/>
        </w:rPr>
        <w:t>Maoli</w:t>
      </w:r>
      <w:proofErr w:type="spellEnd"/>
      <w:r w:rsidRPr="004E06DE">
        <w:rPr>
          <w:rFonts w:ascii="Times New Roman" w:hAnsi="Times New Roman" w:cs="Times New Roman"/>
        </w:rPr>
        <w:t xml:space="preserve"> scholar Noelani Goodyear-Kaʻōpua who explains that “containment can manifest in geographic forms as reservations or small school spaces, in political forms as legal recognition frameworks that seek to subsume sovereignty within the settler state’s domestic laws, and in ideological forms . . . that [allow] a sprinkling of indigenous history and culture only to maintain its marginality” (qtd. in Goeman, “Land as Life” 72). Beyond referring only to the literal confinement of Indigenous peoples upon reservations (often without regard for bands’ seasonal subsistence patterns, which required them to access different areas at </w:t>
      </w:r>
      <w:r w:rsidRPr="004E06DE">
        <w:rPr>
          <w:rFonts w:ascii="Times New Roman" w:hAnsi="Times New Roman" w:cs="Times New Roman"/>
        </w:rPr>
        <w:lastRenderedPageBreak/>
        <w:t xml:space="preserve">different times of the year) the logics of containment permeate and inform all efforts of settler society to define, control, assimilate, and exterminate Indigenous populations. </w:t>
      </w:r>
    </w:p>
    <w:p w14:paraId="3044290C"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Winnemucca Hopkins’s stated political goals for her lectures were to secure the Northern Paiutes’ right to leave the Yakama Reservation on which they were confined in 1879 and to restore the Malheur Reservation (which had been discontinued and its lands opened to settlement by executive order in 1882) for the Northern Paiutes. These goals were controversial in her time and remain so today. Winnemucca Hopkins repeatedly contended that the Northern Paiutes “should be allowed to go on a good Reservation, they should be taught to build and farm, and educated without the interference of an agent, they could make their own living, and would be glad to do so” (qtd. in Carpenter and Sorisio 93-4). Her language invokes the tropes of the BIA’s and federal government’s program of acculturation and imagines the Northern Paiutes as happy and productive </w:t>
      </w:r>
      <w:proofErr w:type="gramStart"/>
      <w:r w:rsidRPr="004E06DE">
        <w:rPr>
          <w:rFonts w:ascii="Times New Roman" w:hAnsi="Times New Roman" w:cs="Times New Roman"/>
        </w:rPr>
        <w:t>proto-citizens</w:t>
      </w:r>
      <w:proofErr w:type="gramEnd"/>
      <w:r w:rsidRPr="004E06DE">
        <w:rPr>
          <w:rFonts w:ascii="Times New Roman" w:hAnsi="Times New Roman" w:cs="Times New Roman"/>
        </w:rPr>
        <w:t>. However, her claims were not evidence of her endorsement of colonial goals but should rather be viewed as part of a strategy which Goeman calls “(re)mapping” Native spaces (</w:t>
      </w:r>
      <w:r w:rsidRPr="004E06DE">
        <w:rPr>
          <w:rFonts w:ascii="Times New Roman" w:hAnsi="Times New Roman" w:cs="Times New Roman"/>
          <w:i/>
          <w:iCs/>
        </w:rPr>
        <w:t>Mark My Words</w:t>
      </w:r>
      <w:r w:rsidRPr="004E06DE">
        <w:rPr>
          <w:rFonts w:ascii="Times New Roman" w:hAnsi="Times New Roman" w:cs="Times New Roman"/>
        </w:rPr>
        <w:t xml:space="preserve"> 3). </w:t>
      </w:r>
    </w:p>
    <w:p w14:paraId="41E77672"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In Goeman’s definition, (re)mapping is a form of “spatial intervention” through “metaphoric and material capacities of map making” that seeks to unsettle “imperial and colonial geographies” (3). (Re)mapping is a disruptive and critical practice of “spatial decolonization” in which Native women writers use Native epistemologies to supplant imposed colonial geographies and imagine alternative futures for their communities (4). Goeman does not include Winnemucca Hopkins among the Native women writers she </w:t>
      </w:r>
      <w:r w:rsidRPr="004E06DE">
        <w:rPr>
          <w:rFonts w:ascii="Times New Roman" w:hAnsi="Times New Roman" w:cs="Times New Roman"/>
        </w:rPr>
        <w:lastRenderedPageBreak/>
        <w:t xml:space="preserve">studies, but I argue that her concept of (re)mapping allows us to see how Winnemucca Hopkins’s call for “a good Reservation…without the interference of an agent” attempts to reimagine the colonial vision of the reservation as an abject space of policing, management, and containment as a space for her people to begin to build back community amid the ravages of settler colonialism. </w:t>
      </w:r>
    </w:p>
    <w:p w14:paraId="67B7B905" w14:textId="77777777" w:rsidR="00287C65" w:rsidRPr="004E06DE" w:rsidRDefault="00287C65" w:rsidP="00287C65">
      <w:pPr>
        <w:spacing w:line="480" w:lineRule="auto"/>
        <w:ind w:firstLine="720"/>
        <w:rPr>
          <w:rFonts w:ascii="Times New Roman" w:hAnsi="Times New Roman" w:cs="Times New Roman"/>
        </w:rPr>
      </w:pPr>
      <w:proofErr w:type="gramStart"/>
      <w:r w:rsidRPr="004E06DE">
        <w:rPr>
          <w:rFonts w:ascii="Times New Roman" w:hAnsi="Times New Roman" w:cs="Times New Roman"/>
        </w:rPr>
        <w:t>Thus</w:t>
      </w:r>
      <w:proofErr w:type="gramEnd"/>
      <w:r w:rsidRPr="004E06DE">
        <w:rPr>
          <w:rFonts w:ascii="Times New Roman" w:hAnsi="Times New Roman" w:cs="Times New Roman"/>
        </w:rPr>
        <w:t xml:space="preserve"> focused on imagining alternative futures, I see Winnemucca Hopkins’s critical humor as an example of what Nicholas Holm calls “constructive resistance” (42). In his analysis of the political potential of critical humor, Holm calls on students of humor to reevaluate common assumptions about the critical power of humor through “an orientation” in our study of humor “from critique to constructive resistance” (42). Citing sociologists and political theorists, Holm defines critique as a destructive, revelatory act, that “pokes holes” in official dogma with the goal of deconstructing oppressive systems. But while critique has relevance in totalitarian regimes, Holm argues that neoliberal systems of government </w:t>
      </w:r>
      <w:proofErr w:type="gramStart"/>
      <w:r w:rsidRPr="004E06DE">
        <w:rPr>
          <w:rFonts w:ascii="Times New Roman" w:hAnsi="Times New Roman" w:cs="Times New Roman"/>
        </w:rPr>
        <w:t>encourages</w:t>
      </w:r>
      <w:proofErr w:type="gramEnd"/>
      <w:r w:rsidRPr="004E06DE">
        <w:rPr>
          <w:rFonts w:ascii="Times New Roman" w:hAnsi="Times New Roman" w:cs="Times New Roman"/>
        </w:rPr>
        <w:t xml:space="preserve"> and thrive on critique, absorbing critique’s shock to its systems. If our notions of humor’s critical power are to retain any relevance, Holm says, we must attend to critique’s capacity to inspire new alternatives and not simply dismantle present hegemonies. “Conceived in this manner,” he concludes, “we would not be looking to </w:t>
      </w:r>
      <w:proofErr w:type="spellStart"/>
      <w:r w:rsidRPr="004E06DE">
        <w:rPr>
          <w:rFonts w:ascii="Times New Roman" w:hAnsi="Times New Roman" w:cs="Times New Roman"/>
        </w:rPr>
        <w:t>humour</w:t>
      </w:r>
      <w:proofErr w:type="spellEnd"/>
      <w:r w:rsidRPr="004E06DE">
        <w:rPr>
          <w:rFonts w:ascii="Times New Roman" w:hAnsi="Times New Roman" w:cs="Times New Roman"/>
        </w:rPr>
        <w:t xml:space="preserve"> to unsettle, rattle and </w:t>
      </w:r>
      <w:proofErr w:type="spellStart"/>
      <w:r w:rsidRPr="004E06DE">
        <w:rPr>
          <w:rFonts w:ascii="Times New Roman" w:hAnsi="Times New Roman" w:cs="Times New Roman"/>
        </w:rPr>
        <w:t>problematise</w:t>
      </w:r>
      <w:proofErr w:type="spellEnd"/>
      <w:r w:rsidRPr="004E06DE">
        <w:rPr>
          <w:rFonts w:ascii="Times New Roman" w:hAnsi="Times New Roman" w:cs="Times New Roman"/>
        </w:rPr>
        <w:t xml:space="preserve"> the existing arrangements of the world, but as one affective and accessible way by which alternatives might be raised in resistance” (42). I see Holm’s constructive resistance as resonant with Goeman’s concept </w:t>
      </w:r>
      <w:r w:rsidRPr="004E06DE">
        <w:rPr>
          <w:rFonts w:ascii="Times New Roman" w:hAnsi="Times New Roman" w:cs="Times New Roman"/>
        </w:rPr>
        <w:lastRenderedPageBreak/>
        <w:t xml:space="preserve">of (re)mapping; both are radical imaginative practices that transcend and transform colonial constructs to collaboratively imagine liberatory scenarios.      </w:t>
      </w:r>
    </w:p>
    <w:p w14:paraId="0E41EB35"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I situate Hopkin’s physical comedy as an important element in her imaginary (re)mapping of colonial space. As Winnemucca Hopkins manipulates her body on stage, she reclaims it as an eloquent tool of resistance. The archival record testifies to Winnemucca Hopkins’s humorous </w:t>
      </w:r>
      <w:proofErr w:type="gramStart"/>
      <w:r w:rsidRPr="004E06DE">
        <w:rPr>
          <w:rFonts w:ascii="Times New Roman" w:hAnsi="Times New Roman" w:cs="Times New Roman"/>
        </w:rPr>
        <w:t>pantomimes, but</w:t>
      </w:r>
      <w:proofErr w:type="gramEnd"/>
      <w:r w:rsidRPr="004E06DE">
        <w:rPr>
          <w:rFonts w:ascii="Times New Roman" w:hAnsi="Times New Roman" w:cs="Times New Roman"/>
        </w:rPr>
        <w:t xml:space="preserve"> is less clear about the “graceful gestures” with which, according to one eastern paper, Winnemucca Hopkins “emphasized her remarks” (qtd. in Carpenter and Sorisio, 207). It is beyond the scope of my project here to try and recover this intriguing gestural dimension of Winnemucca Hopkins’s lectures. Perhaps Winnemucca Hopkins used a Paiute variation of Great Basin Sign Language or “Hand Talk” to enhance her spoken words.</w:t>
      </w:r>
      <w:r w:rsidRPr="004E06DE">
        <w:rPr>
          <w:rStyle w:val="FootnoteReference"/>
          <w:rFonts w:ascii="Times New Roman" w:eastAsiaTheme="majorEastAsia" w:hAnsi="Times New Roman" w:cs="Times New Roman"/>
        </w:rPr>
        <w:footnoteReference w:id="42"/>
      </w:r>
      <w:r w:rsidRPr="004E06DE">
        <w:rPr>
          <w:rFonts w:ascii="Times New Roman" w:hAnsi="Times New Roman" w:cs="Times New Roman"/>
        </w:rPr>
        <w:t xml:space="preserve"> It is difficult to know, but her use of hand talk during her lectures would signify another dimension of Winnemucca </w:t>
      </w:r>
      <w:r w:rsidRPr="004E06DE">
        <w:rPr>
          <w:rFonts w:ascii="Times New Roman" w:hAnsi="Times New Roman" w:cs="Times New Roman"/>
        </w:rPr>
        <w:lastRenderedPageBreak/>
        <w:t xml:space="preserve">Hopkins’s (re)mapping project as it reclaimed the linguistic space of the lyceum for the expression of Native critique in Indigenous language. </w:t>
      </w:r>
    </w:p>
    <w:p w14:paraId="11E9036F"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When reporters recorded Winnemucca Hopkins’s bodily communication in more detail, as they tended to do with her physical comedy, they point to a dimension of her critique of spatial colonization that recognized Native women’s bodies as a common site of colonial control. Colonial geographic regimes establish reservations in order to police Native populations’ movement and transform space into property based on concepts intimately tied to possessive individuality and the ability of the body to perform labor. Colonial law exercises particular control over Native women’s bodies, since movement in and through these spaces, as well as access to food, water, and material goods within and without them, are further governed by laws that defined Indigeneity by policing Native reproduction. As we shall see, Hopkin’s physical comedy constructively resists colonial biopower by mocking white, imperial bodies. The terms of her mockery are highly contextual, changing as Winnemucca Hopkins moves through regions and addresses different audiences at different times. However, I understand Winnemucca Hopkins’s physical comedy in all its expressive modes as (re)mapping various colonial spatial regimes as reclaimed Native space, the base of Paiute community, culture, and futurity. </w:t>
      </w:r>
    </w:p>
    <w:p w14:paraId="23F4E223" w14:textId="19DE5651"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As in previous chapters, I set my reading of Winnemucca Hopkins’s humor against the example of a contemporary non-Native humorist. In Chapter 1, William Apess (Pequot) and Washington Irving were linked by both publishing, in 1835, books that exemplified Native humor as a subtle discourse able to embed itself and work against </w:t>
      </w:r>
      <w:r w:rsidRPr="004E06DE">
        <w:rPr>
          <w:rFonts w:ascii="Times New Roman" w:hAnsi="Times New Roman" w:cs="Times New Roman"/>
        </w:rPr>
        <w:lastRenderedPageBreak/>
        <w:t xml:space="preserve">colonial genres. In Chapter 2, I analyzed the violent comedy of John Rollin Ridge’s (Cherokee) </w:t>
      </w:r>
      <w:r w:rsidRPr="004E06DE">
        <w:rPr>
          <w:rFonts w:ascii="Times New Roman" w:hAnsi="Times New Roman" w:cs="Times New Roman"/>
          <w:i/>
          <w:iCs/>
        </w:rPr>
        <w:t xml:space="preserve">Adventures of Joaquin Murieta </w:t>
      </w:r>
      <w:r w:rsidRPr="004E06DE">
        <w:rPr>
          <w:rFonts w:ascii="Times New Roman" w:hAnsi="Times New Roman" w:cs="Times New Roman"/>
        </w:rPr>
        <w:t xml:space="preserve">as growing out of and parodying the rewriting of history and land claim in the colonial genres of adventure fiction and Old Southwestern Humor. Sarah Winnemucca Hopkins and Mark Twain, her non-Native contemporary in humorous performance, are intimately linked by shared geographies. The professional personas for which they gained public recognition were shaped by their experiences of the colonial spatial regimes in the west. In what follows, I contemplate Winnemucca Hopkins’s and Twain’s paired trajectories as they cross and re-cross the United States, lecturing in the same cities—sometimes only miles apart—but to vastly different ends. While Winnemucca Hopkins used physical comedy to (re)map colonial spaces such as the reservation as Native space, Twain’s humorous lectures erase Native presence from the landscapes he depicts, making Native space ideologically available for the imaginative reconstruction of postbellum American national identity. I begin below with a brief section outlining Winnemucca Hopkins’s and Twain’s shared geographies, beginning with Twain’s arrival in Northern Paiute homelands in 1864 to Winnemucca Hopkins’s and Twain’s lecture tours in the 1870’s. Next, I turn to analyze the role of physical comedy in Winnemucca Hopkins’s stage performances between 1864 and 1879. Here I argue that Winnemucca Hopkins frequently used her body as an eloquent tool of both critique and creative resistance, imagining alternative futures for her people through physical comedy. Finally, I analyze Mark Twain’s equally common focus on bodies as a source of humor as well as national identity. I examine two of Twain’s major lectures, his </w:t>
      </w:r>
      <w:r w:rsidRPr="004E06DE">
        <w:rPr>
          <w:rFonts w:ascii="Times New Roman" w:hAnsi="Times New Roman" w:cs="Times New Roman"/>
        </w:rPr>
        <w:lastRenderedPageBreak/>
        <w:t>“Sandwich Islands” lecture (1866-68) and “Roughing It”</w:t>
      </w:r>
      <w:r w:rsidRPr="004E06DE">
        <w:rPr>
          <w:rFonts w:ascii="Times New Roman" w:hAnsi="Times New Roman" w:cs="Times New Roman"/>
          <w:i/>
          <w:iCs/>
        </w:rPr>
        <w:t xml:space="preserve"> </w:t>
      </w:r>
      <w:r w:rsidRPr="004E06DE">
        <w:rPr>
          <w:rFonts w:ascii="Times New Roman" w:hAnsi="Times New Roman" w:cs="Times New Roman"/>
        </w:rPr>
        <w:t xml:space="preserve">lecture (1871-72), to argue that Twain erases Native Hawaiian and Indigenous North American bodies from the landscapes he presents so that the white bodies of Twain’s imperial (and predominantly male) audiences might gain coherence and meaning within ideologically “free” space. Thus, as Twain’s humor works to map colonial geographies of dominance onto Native lands of the West and the Pacific,  Winnemucca Hopkins’s humor (re)maps colonized space, creatively redefining Native space to imagine new futures for her people.  </w:t>
      </w:r>
    </w:p>
    <w:p w14:paraId="426D39E4" w14:textId="24ECF8ED" w:rsidR="00287C65" w:rsidRDefault="00287C65" w:rsidP="00287C65">
      <w:pPr>
        <w:pStyle w:val="Heading2"/>
        <w:jc w:val="center"/>
        <w:rPr>
          <w:rFonts w:ascii="Times New Roman" w:hAnsi="Times New Roman" w:cs="Times New Roman"/>
          <w:b/>
          <w:bCs/>
          <w:color w:val="auto"/>
          <w:sz w:val="24"/>
          <w:szCs w:val="24"/>
        </w:rPr>
      </w:pPr>
      <w:bookmarkStart w:id="21" w:name="_Toc169279174"/>
      <w:r w:rsidRPr="00287C65">
        <w:rPr>
          <w:rFonts w:ascii="Times New Roman" w:hAnsi="Times New Roman" w:cs="Times New Roman"/>
          <w:b/>
          <w:bCs/>
          <w:color w:val="auto"/>
          <w:sz w:val="24"/>
          <w:szCs w:val="24"/>
        </w:rPr>
        <w:t>Shared Geographies</w:t>
      </w:r>
      <w:bookmarkEnd w:id="21"/>
    </w:p>
    <w:p w14:paraId="41287DAD" w14:textId="77777777" w:rsidR="00287C65" w:rsidRPr="00287C65" w:rsidRDefault="00287C65" w:rsidP="00287C65"/>
    <w:p w14:paraId="7352B17F"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 Winnemucca Hopkins was born </w:t>
      </w:r>
      <w:proofErr w:type="spellStart"/>
      <w:r w:rsidRPr="004E06DE">
        <w:rPr>
          <w:rFonts w:ascii="Times New Roman" w:hAnsi="Times New Roman" w:cs="Times New Roman"/>
        </w:rPr>
        <w:t>Thocmetony</w:t>
      </w:r>
      <w:proofErr w:type="spellEnd"/>
      <w:r w:rsidRPr="004E06DE">
        <w:rPr>
          <w:rFonts w:ascii="Times New Roman" w:hAnsi="Times New Roman" w:cs="Times New Roman"/>
        </w:rPr>
        <w:t xml:space="preserve"> (“Shell Flower”) to her mother </w:t>
      </w:r>
      <w:proofErr w:type="spellStart"/>
      <w:r w:rsidRPr="004E06DE">
        <w:rPr>
          <w:rFonts w:ascii="Times New Roman" w:hAnsi="Times New Roman" w:cs="Times New Roman"/>
        </w:rPr>
        <w:t>Tuboitony</w:t>
      </w:r>
      <w:proofErr w:type="spellEnd"/>
      <w:r w:rsidRPr="004E06DE">
        <w:rPr>
          <w:rFonts w:ascii="Times New Roman" w:hAnsi="Times New Roman" w:cs="Times New Roman"/>
        </w:rPr>
        <w:t xml:space="preserve"> and her father, whose name may have been </w:t>
      </w:r>
      <w:proofErr w:type="spellStart"/>
      <w:r w:rsidRPr="004E06DE">
        <w:rPr>
          <w:rFonts w:ascii="Times New Roman" w:hAnsi="Times New Roman" w:cs="Times New Roman"/>
        </w:rPr>
        <w:t>Wobitsawahkah</w:t>
      </w:r>
      <w:proofErr w:type="spellEnd"/>
      <w:r w:rsidRPr="004E06DE">
        <w:rPr>
          <w:rFonts w:ascii="Times New Roman" w:hAnsi="Times New Roman" w:cs="Times New Roman"/>
        </w:rPr>
        <w:t xml:space="preserve"> or </w:t>
      </w:r>
      <w:proofErr w:type="spellStart"/>
      <w:r w:rsidRPr="004E06DE">
        <w:rPr>
          <w:rFonts w:ascii="Times New Roman" w:hAnsi="Times New Roman" w:cs="Times New Roman"/>
        </w:rPr>
        <w:t>Mubetawaka</w:t>
      </w:r>
      <w:proofErr w:type="spellEnd"/>
      <w:r w:rsidRPr="004E06DE">
        <w:rPr>
          <w:rFonts w:ascii="Times New Roman" w:hAnsi="Times New Roman" w:cs="Times New Roman"/>
        </w:rPr>
        <w:t xml:space="preserve">, (Ontko 399) but whom non-Natives called “Chief Winnemucca,” the headman of the </w:t>
      </w:r>
      <w:proofErr w:type="spellStart"/>
      <w:r w:rsidRPr="004E06DE">
        <w:rPr>
          <w:rFonts w:ascii="Times New Roman" w:hAnsi="Times New Roman" w:cs="Times New Roman"/>
        </w:rPr>
        <w:t>Kuyuidika</w:t>
      </w:r>
      <w:proofErr w:type="spellEnd"/>
      <w:r w:rsidRPr="004E06DE">
        <w:rPr>
          <w:rFonts w:ascii="Times New Roman" w:hAnsi="Times New Roman" w:cs="Times New Roman"/>
        </w:rPr>
        <w:t xml:space="preserve">, a band of the Northern Paiutes whose homelands are based around </w:t>
      </w:r>
      <w:proofErr w:type="spellStart"/>
      <w:r w:rsidRPr="004E06DE">
        <w:rPr>
          <w:rFonts w:ascii="Times New Roman" w:hAnsi="Times New Roman" w:cs="Times New Roman"/>
        </w:rPr>
        <w:t>Kooyooee</w:t>
      </w:r>
      <w:proofErr w:type="spellEnd"/>
      <w:r w:rsidRPr="004E06DE">
        <w:rPr>
          <w:rFonts w:ascii="Times New Roman" w:hAnsi="Times New Roman" w:cs="Times New Roman"/>
        </w:rPr>
        <w:t xml:space="preserve"> </w:t>
      </w:r>
      <w:proofErr w:type="spellStart"/>
      <w:r w:rsidRPr="004E06DE">
        <w:rPr>
          <w:rFonts w:ascii="Times New Roman" w:hAnsi="Times New Roman" w:cs="Times New Roman"/>
        </w:rPr>
        <w:t>Panunadu</w:t>
      </w:r>
      <w:proofErr w:type="spellEnd"/>
      <w:r w:rsidRPr="004E06DE">
        <w:rPr>
          <w:rFonts w:ascii="Times New Roman" w:hAnsi="Times New Roman" w:cs="Times New Roman"/>
        </w:rPr>
        <w:t xml:space="preserve"> (Pyramid Lake).</w:t>
      </w:r>
      <w:r w:rsidRPr="004E06DE">
        <w:rPr>
          <w:rStyle w:val="FootnoteReference"/>
          <w:rFonts w:ascii="Times New Roman" w:eastAsiaTheme="majorEastAsia" w:hAnsi="Times New Roman" w:cs="Times New Roman"/>
        </w:rPr>
        <w:footnoteReference w:id="43"/>
      </w:r>
      <w:r w:rsidRPr="004E06DE">
        <w:rPr>
          <w:rFonts w:ascii="Times New Roman" w:hAnsi="Times New Roman" w:cs="Times New Roman"/>
        </w:rPr>
        <w:t xml:space="preserve"> As mentioned above, </w:t>
      </w:r>
      <w:proofErr w:type="spellStart"/>
      <w:r w:rsidRPr="004E06DE">
        <w:rPr>
          <w:rFonts w:ascii="Times New Roman" w:hAnsi="Times New Roman" w:cs="Times New Roman"/>
        </w:rPr>
        <w:t>Thocmetony’s</w:t>
      </w:r>
      <w:proofErr w:type="spellEnd"/>
      <w:r w:rsidRPr="004E06DE">
        <w:rPr>
          <w:rFonts w:ascii="Times New Roman" w:hAnsi="Times New Roman" w:cs="Times New Roman"/>
        </w:rPr>
        <w:t xml:space="preserve"> formative childhood years were marked by violent Native-white encounters. In the first chapter of </w:t>
      </w:r>
      <w:r w:rsidRPr="004E06DE">
        <w:rPr>
          <w:rFonts w:ascii="Times New Roman" w:hAnsi="Times New Roman" w:cs="Times New Roman"/>
          <w:i/>
          <w:iCs/>
        </w:rPr>
        <w:t>Life Among the Piutes</w:t>
      </w:r>
      <w:r w:rsidRPr="004E06DE">
        <w:rPr>
          <w:rFonts w:ascii="Times New Roman" w:hAnsi="Times New Roman" w:cs="Times New Roman"/>
        </w:rPr>
        <w:t xml:space="preserve">, she recalls “fearful news coming from the different tribes, that the people </w:t>
      </w:r>
      <w:r w:rsidRPr="004E06DE">
        <w:rPr>
          <w:rFonts w:ascii="Times New Roman" w:hAnsi="Times New Roman" w:cs="Times New Roman"/>
        </w:rPr>
        <w:lastRenderedPageBreak/>
        <w:t xml:space="preserve">whom they called their white brothers were killing everybody that came in their way, and all the Indian tribes had gone into the mountains to save their lives” (Winnemucca Hopkins 11). One of the emigrants infiltrating Northern Paiute lands was one Samuel L. Clemens, a riverboat pilot from Missouri, who traveled west in 1861 with his brother, Orion, the </w:t>
      </w:r>
      <w:proofErr w:type="gramStart"/>
      <w:r w:rsidRPr="004E06DE">
        <w:rPr>
          <w:rFonts w:ascii="Times New Roman" w:hAnsi="Times New Roman" w:cs="Times New Roman"/>
        </w:rPr>
        <w:t>newly-appointed</w:t>
      </w:r>
      <w:proofErr w:type="gramEnd"/>
      <w:r w:rsidRPr="004E06DE">
        <w:rPr>
          <w:rFonts w:ascii="Times New Roman" w:hAnsi="Times New Roman" w:cs="Times New Roman"/>
        </w:rPr>
        <w:t xml:space="preserve"> Secretary of the Nevada Territory. As his brother’s confidante, the younger Clemens was intimately situated amid the federal government’s efforts to reshape Native space into public domain land open to settlement. Two years later, in 1863, the personality Mark Twain was born in the pages of the </w:t>
      </w:r>
      <w:r w:rsidRPr="004E06DE">
        <w:rPr>
          <w:rFonts w:ascii="Times New Roman" w:hAnsi="Times New Roman" w:cs="Times New Roman"/>
          <w:i/>
          <w:iCs/>
        </w:rPr>
        <w:t>Territorial Enterprise</w:t>
      </w:r>
      <w:r w:rsidRPr="004E06DE">
        <w:rPr>
          <w:rFonts w:ascii="Times New Roman" w:hAnsi="Times New Roman" w:cs="Times New Roman"/>
        </w:rPr>
        <w:t xml:space="preserve">, a small newspaper published in the mining settlement of Virginia City, just over sixty miles south of </w:t>
      </w:r>
      <w:proofErr w:type="spellStart"/>
      <w:r w:rsidRPr="004E06DE">
        <w:rPr>
          <w:rFonts w:ascii="Times New Roman" w:hAnsi="Times New Roman" w:cs="Times New Roman"/>
        </w:rPr>
        <w:t>Kooyooee</w:t>
      </w:r>
      <w:proofErr w:type="spellEnd"/>
      <w:r w:rsidRPr="004E06DE">
        <w:rPr>
          <w:rFonts w:ascii="Times New Roman" w:hAnsi="Times New Roman" w:cs="Times New Roman"/>
        </w:rPr>
        <w:t xml:space="preserve"> </w:t>
      </w:r>
      <w:proofErr w:type="spellStart"/>
      <w:r w:rsidRPr="004E06DE">
        <w:rPr>
          <w:rFonts w:ascii="Times New Roman" w:hAnsi="Times New Roman" w:cs="Times New Roman"/>
        </w:rPr>
        <w:t>Panunadu</w:t>
      </w:r>
      <w:proofErr w:type="spellEnd"/>
      <w:r w:rsidRPr="004E06DE">
        <w:rPr>
          <w:rFonts w:ascii="Times New Roman" w:hAnsi="Times New Roman" w:cs="Times New Roman"/>
        </w:rPr>
        <w:t xml:space="preserve">. </w:t>
      </w:r>
    </w:p>
    <w:p w14:paraId="467054E4"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Chief Winnemucca and his daughter were local celebrities in Mark Twain’s Nevada. Though Twain never mentioned them in his published writing or correspondence, his contemporaries did. The </w:t>
      </w:r>
      <w:r w:rsidRPr="004E06DE">
        <w:rPr>
          <w:rFonts w:ascii="Times New Roman" w:hAnsi="Times New Roman" w:cs="Times New Roman"/>
          <w:i/>
          <w:iCs/>
        </w:rPr>
        <w:t>Territorial Enterprise</w:t>
      </w:r>
      <w:r w:rsidRPr="004E06DE">
        <w:rPr>
          <w:rFonts w:ascii="Times New Roman" w:hAnsi="Times New Roman" w:cs="Times New Roman"/>
        </w:rPr>
        <w:t xml:space="preserve">’s editor Rollin Daggett was part Iroquois and, perhaps because of this connection to Native community, the paper frequently published news and accounts of the Paiutes (Driscoll 60). In 1876, Twain’s friend and fellow </w:t>
      </w:r>
      <w:r w:rsidRPr="004E06DE">
        <w:rPr>
          <w:rFonts w:ascii="Times New Roman" w:hAnsi="Times New Roman" w:cs="Times New Roman"/>
          <w:i/>
          <w:iCs/>
        </w:rPr>
        <w:t xml:space="preserve">Territorial Enterprise </w:t>
      </w:r>
      <w:r w:rsidRPr="004E06DE">
        <w:rPr>
          <w:rFonts w:ascii="Times New Roman" w:hAnsi="Times New Roman" w:cs="Times New Roman"/>
        </w:rPr>
        <w:t xml:space="preserve">contributor Dan de Quille remembered the early social scene on “the Comstock” where the dearth of white women in the mining communities made it “necessary, in order to ‘make up the set,’ to take in Miss Sarah Winnemucca, the ‘Paiute Princess’ (daughter of Winnemucca, chief of all the Piutes)” (11). De Quille’s book, </w:t>
      </w:r>
      <w:r w:rsidRPr="004E06DE">
        <w:rPr>
          <w:rFonts w:ascii="Times New Roman" w:hAnsi="Times New Roman" w:cs="Times New Roman"/>
          <w:i/>
          <w:iCs/>
        </w:rPr>
        <w:t xml:space="preserve">The Big Bonanza: An Authentic Account of the Discovery, History, and Working of the World-Renowned Comstock Lode of Nevada </w:t>
      </w:r>
      <w:r w:rsidRPr="004E06DE">
        <w:rPr>
          <w:rFonts w:ascii="Times New Roman" w:hAnsi="Times New Roman" w:cs="Times New Roman"/>
        </w:rPr>
        <w:t xml:space="preserve">(1876), was </w:t>
      </w:r>
      <w:r w:rsidRPr="004E06DE">
        <w:rPr>
          <w:rFonts w:ascii="Times New Roman" w:hAnsi="Times New Roman" w:cs="Times New Roman"/>
        </w:rPr>
        <w:lastRenderedPageBreak/>
        <w:t xml:space="preserve">published by Twain’s publisher Charles Warner in Hartford, Connecticut, when the </w:t>
      </w:r>
      <w:proofErr w:type="spellStart"/>
      <w:r w:rsidRPr="004E06DE">
        <w:rPr>
          <w:rFonts w:ascii="Times New Roman" w:hAnsi="Times New Roman" w:cs="Times New Roman"/>
        </w:rPr>
        <w:t>Clemenses</w:t>
      </w:r>
      <w:proofErr w:type="spellEnd"/>
      <w:r w:rsidRPr="004E06DE">
        <w:rPr>
          <w:rFonts w:ascii="Times New Roman" w:hAnsi="Times New Roman" w:cs="Times New Roman"/>
        </w:rPr>
        <w:t xml:space="preserve"> lived there in the neighborhood of Nook Farm. Moreover, Twain himself was well aware of the Native presence in the Nevada Territory. In 1861, he and Orion stayed in the home of the widow Margaret Ormsby, whose husband Major Ormsby was killed in the Pyramid Lake War the year before (Driscoll 61). </w:t>
      </w:r>
      <w:proofErr w:type="spellStart"/>
      <w:r w:rsidRPr="004E06DE">
        <w:rPr>
          <w:rFonts w:ascii="Times New Roman" w:hAnsi="Times New Roman" w:cs="Times New Roman"/>
        </w:rPr>
        <w:t>Thocmetony</w:t>
      </w:r>
      <w:proofErr w:type="spellEnd"/>
      <w:r w:rsidRPr="004E06DE">
        <w:rPr>
          <w:rFonts w:ascii="Times New Roman" w:hAnsi="Times New Roman" w:cs="Times New Roman"/>
        </w:rPr>
        <w:t xml:space="preserve"> had lived and worked in the same house almost a decade </w:t>
      </w:r>
      <w:commentRangeStart w:id="22"/>
      <w:r w:rsidRPr="004E06DE">
        <w:rPr>
          <w:rFonts w:ascii="Times New Roman" w:hAnsi="Times New Roman" w:cs="Times New Roman"/>
        </w:rPr>
        <w:t>earlier</w:t>
      </w:r>
      <w:commentRangeEnd w:id="22"/>
      <w:r w:rsidRPr="004E06DE">
        <w:rPr>
          <w:rStyle w:val="CommentReference"/>
          <w:rFonts w:eastAsiaTheme="majorEastAsia"/>
        </w:rPr>
        <w:commentReference w:id="22"/>
      </w:r>
      <w:r w:rsidRPr="004E06DE">
        <w:rPr>
          <w:rFonts w:ascii="Times New Roman" w:hAnsi="Times New Roman" w:cs="Times New Roman"/>
        </w:rPr>
        <w:t xml:space="preserve">. It was there she learned the English language and perhaps where she was given the name Sarah (Canfield 11). Besides hearing stories of conflicts with the Paiutes from Mrs. Ormsby, maybe Mark also heard of the young Native girl whom she had once taught to read.    </w:t>
      </w:r>
    </w:p>
    <w:p w14:paraId="5E757D20"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By the time young Sarah accompanied her father on her earliest stage appearances in Virginia City in 1864, Twain had already moved to San Francisco where he took up a staff position on a local paper called the </w:t>
      </w:r>
      <w:r w:rsidRPr="004E06DE">
        <w:rPr>
          <w:rFonts w:ascii="Times New Roman" w:hAnsi="Times New Roman" w:cs="Times New Roman"/>
          <w:i/>
          <w:iCs/>
        </w:rPr>
        <w:t xml:space="preserve">Morning Call </w:t>
      </w:r>
      <w:r w:rsidRPr="004E06DE">
        <w:rPr>
          <w:rFonts w:ascii="Times New Roman" w:hAnsi="Times New Roman" w:cs="Times New Roman"/>
        </w:rPr>
        <w:t xml:space="preserve">(Benson 114). However, even here he revolved in Sarah’s orbit; the </w:t>
      </w:r>
      <w:r w:rsidRPr="004E06DE">
        <w:rPr>
          <w:rFonts w:ascii="Times New Roman" w:hAnsi="Times New Roman" w:cs="Times New Roman"/>
          <w:i/>
          <w:iCs/>
        </w:rPr>
        <w:t>Call</w:t>
      </w:r>
      <w:r w:rsidRPr="004E06DE">
        <w:rPr>
          <w:rFonts w:ascii="Times New Roman" w:hAnsi="Times New Roman" w:cs="Times New Roman"/>
        </w:rPr>
        <w:t xml:space="preserve">’s offices were located in San Francisco’s “Newspaper Row,” only a few blocks away from the Metropolitan Theater where the “Winnemucca troupe” performed in the fall of 1864. There is no extant mention of the performance in the </w:t>
      </w:r>
      <w:r w:rsidRPr="004E06DE">
        <w:rPr>
          <w:rFonts w:ascii="Times New Roman" w:hAnsi="Times New Roman" w:cs="Times New Roman"/>
          <w:i/>
          <w:iCs/>
        </w:rPr>
        <w:t>Call</w:t>
      </w:r>
      <w:r w:rsidRPr="004E06DE">
        <w:rPr>
          <w:rFonts w:ascii="Times New Roman" w:hAnsi="Times New Roman" w:cs="Times New Roman"/>
        </w:rPr>
        <w:t xml:space="preserve">, but its rival newspaper, the </w:t>
      </w:r>
      <w:r w:rsidRPr="004E06DE">
        <w:rPr>
          <w:rFonts w:ascii="Times New Roman" w:hAnsi="Times New Roman" w:cs="Times New Roman"/>
          <w:i/>
          <w:iCs/>
        </w:rPr>
        <w:t>Daily Alta California</w:t>
      </w:r>
      <w:r w:rsidRPr="004E06DE">
        <w:rPr>
          <w:rFonts w:ascii="Times New Roman" w:hAnsi="Times New Roman" w:cs="Times New Roman"/>
        </w:rPr>
        <w:t xml:space="preserve"> published detailed accounts of it in which they paid special attention to the Native girl they called “Shell Flower,” daughter of the chief (qtd. in Carpenter and Sorisio 35). In 1866, Twain left San Fransisco for a five-month sojourn in Hawaii on behalf of another California newspaper, the </w:t>
      </w:r>
      <w:r w:rsidRPr="004E06DE">
        <w:rPr>
          <w:rFonts w:ascii="Times New Roman" w:hAnsi="Times New Roman" w:cs="Times New Roman"/>
          <w:i/>
          <w:iCs/>
        </w:rPr>
        <w:t>Sacramento Union</w:t>
      </w:r>
      <w:r w:rsidRPr="004E06DE">
        <w:rPr>
          <w:rFonts w:ascii="Times New Roman" w:hAnsi="Times New Roman" w:cs="Times New Roman"/>
        </w:rPr>
        <w:t xml:space="preserve">. His letters to the </w:t>
      </w:r>
      <w:r w:rsidRPr="004E06DE">
        <w:rPr>
          <w:rFonts w:ascii="Times New Roman" w:hAnsi="Times New Roman" w:cs="Times New Roman"/>
          <w:i/>
          <w:iCs/>
        </w:rPr>
        <w:t xml:space="preserve">Union </w:t>
      </w:r>
      <w:r w:rsidRPr="004E06DE">
        <w:rPr>
          <w:rFonts w:ascii="Times New Roman" w:hAnsi="Times New Roman" w:cs="Times New Roman"/>
        </w:rPr>
        <w:t xml:space="preserve">about people and island scenes inspired his lauded “Sandwich Islands lecture” upon his return to the United States </w:t>
      </w:r>
      <w:r w:rsidRPr="004E06DE">
        <w:rPr>
          <w:rFonts w:ascii="Times New Roman" w:hAnsi="Times New Roman" w:cs="Times New Roman"/>
        </w:rPr>
        <w:lastRenderedPageBreak/>
        <w:t xml:space="preserve">in 1866. In October and November of 1866, Twain delivered his lecture a little more than a dozen times in the music halls and theatres of San Francisco, Virginia City, and Carson City on stages that had four years before hosted lectures and performances by young Sarah and her family.  In the spring of 1867, Twain took his show on the road to perform in midwestern and eastern cities. He continued to deliver the “Sandwich Islands lecture” sporadically for the rest of his life, sometimes under the </w:t>
      </w:r>
      <w:commentRangeStart w:id="23"/>
      <w:r w:rsidRPr="004E06DE">
        <w:rPr>
          <w:rFonts w:ascii="Times New Roman" w:hAnsi="Times New Roman" w:cs="Times New Roman"/>
        </w:rPr>
        <w:t>provocative</w:t>
      </w:r>
      <w:commentRangeEnd w:id="23"/>
      <w:r w:rsidRPr="004E06DE">
        <w:rPr>
          <w:rStyle w:val="CommentReference"/>
          <w:rFonts w:eastAsiaTheme="majorEastAsia"/>
        </w:rPr>
        <w:commentReference w:id="23"/>
      </w:r>
      <w:r w:rsidRPr="004E06DE">
        <w:rPr>
          <w:rFonts w:ascii="Times New Roman" w:hAnsi="Times New Roman" w:cs="Times New Roman"/>
        </w:rPr>
        <w:t xml:space="preserve"> and offensive title “Our Fellow Savages of the Sandwich Islands.”</w:t>
      </w:r>
      <w:r w:rsidRPr="004E06DE">
        <w:rPr>
          <w:rStyle w:val="FootnoteReference"/>
          <w:rFonts w:ascii="Times New Roman" w:eastAsiaTheme="majorEastAsia" w:hAnsi="Times New Roman" w:cs="Times New Roman"/>
        </w:rPr>
        <w:footnoteReference w:id="44"/>
      </w:r>
    </w:p>
    <w:p w14:paraId="5C4E2DB5"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Twain organized many more tours and delivered many other lectures after 1867, but his experiences in the west continued to inform whatever subjects he pursued. In the fall of 1871, he toured a new lecture based on readings of his forthcoming book </w:t>
      </w:r>
      <w:r w:rsidRPr="004E06DE">
        <w:rPr>
          <w:rFonts w:ascii="Times New Roman" w:hAnsi="Times New Roman" w:cs="Times New Roman"/>
          <w:i/>
          <w:iCs/>
        </w:rPr>
        <w:t xml:space="preserve">Roughing It </w:t>
      </w:r>
      <w:r w:rsidRPr="004E06DE">
        <w:rPr>
          <w:rFonts w:ascii="Times New Roman" w:hAnsi="Times New Roman" w:cs="Times New Roman"/>
        </w:rPr>
        <w:t>(1872) which recounted Twain’s humorous adventures among the Comstock miners. Between the spring of 1872 and the fall of 1884, Twain did not tour but was engaged for numerous dinner speeches and occasional lectures. He performed the “Sandwich Islands</w:t>
      </w:r>
      <w:proofErr w:type="gramStart"/>
      <w:r w:rsidRPr="004E06DE">
        <w:rPr>
          <w:rFonts w:ascii="Times New Roman" w:hAnsi="Times New Roman" w:cs="Times New Roman"/>
        </w:rPr>
        <w:t>”</w:t>
      </w:r>
      <w:proofErr w:type="gramEnd"/>
      <w:r w:rsidRPr="004E06DE">
        <w:rPr>
          <w:rFonts w:ascii="Times New Roman" w:hAnsi="Times New Roman" w:cs="Times New Roman"/>
        </w:rPr>
        <w:t xml:space="preserve"> and </w:t>
      </w:r>
      <w:r w:rsidRPr="004E06DE">
        <w:rPr>
          <w:rFonts w:ascii="Times New Roman" w:hAnsi="Times New Roman" w:cs="Times New Roman"/>
          <w:i/>
          <w:iCs/>
        </w:rPr>
        <w:t xml:space="preserve">Roughing It </w:t>
      </w:r>
      <w:r w:rsidRPr="004E06DE">
        <w:rPr>
          <w:rFonts w:ascii="Times New Roman" w:hAnsi="Times New Roman" w:cs="Times New Roman"/>
        </w:rPr>
        <w:t>lectures at least 7 and 4 more times, respectively, during this time (</w:t>
      </w:r>
      <w:proofErr w:type="spellStart"/>
      <w:r w:rsidRPr="004E06DE">
        <w:rPr>
          <w:rFonts w:ascii="Times New Roman" w:hAnsi="Times New Roman" w:cs="Times New Roman"/>
        </w:rPr>
        <w:t>Fatout</w:t>
      </w:r>
      <w:proofErr w:type="spellEnd"/>
      <w:r w:rsidRPr="004E06DE">
        <w:rPr>
          <w:rFonts w:ascii="Times New Roman" w:hAnsi="Times New Roman" w:cs="Times New Roman"/>
        </w:rPr>
        <w:t xml:space="preserve">, </w:t>
      </w:r>
      <w:r w:rsidRPr="004E06DE">
        <w:rPr>
          <w:rFonts w:ascii="Times New Roman" w:hAnsi="Times New Roman" w:cs="Times New Roman"/>
          <w:i/>
          <w:iCs/>
        </w:rPr>
        <w:t xml:space="preserve">Speaking </w:t>
      </w:r>
      <w:r w:rsidRPr="004E06DE">
        <w:rPr>
          <w:rFonts w:ascii="Times New Roman" w:hAnsi="Times New Roman" w:cs="Times New Roman"/>
        </w:rPr>
        <w:t xml:space="preserve">649-55). </w:t>
      </w:r>
    </w:p>
    <w:p w14:paraId="3E3C66F9"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lastRenderedPageBreak/>
        <w:t>Meanwhile, the 1870’s was a tumultuous decade for the Northern Paiutes. In 1875, Winnemucca Hopkins (who was Sarah Winnemucca Bartlett at the time)</w:t>
      </w:r>
      <w:r w:rsidRPr="004E06DE">
        <w:rPr>
          <w:rStyle w:val="FootnoteReference"/>
          <w:rFonts w:ascii="Times New Roman" w:eastAsiaTheme="majorEastAsia" w:hAnsi="Times New Roman" w:cs="Times New Roman"/>
        </w:rPr>
        <w:footnoteReference w:id="45"/>
      </w:r>
      <w:r w:rsidRPr="004E06DE">
        <w:rPr>
          <w:rFonts w:ascii="Times New Roman" w:hAnsi="Times New Roman" w:cs="Times New Roman"/>
        </w:rPr>
        <w:t xml:space="preserve"> accepted the job as interpreter for Samuel Parrish, the </w:t>
      </w:r>
      <w:proofErr w:type="gramStart"/>
      <w:r w:rsidRPr="004E06DE">
        <w:rPr>
          <w:rFonts w:ascii="Times New Roman" w:hAnsi="Times New Roman" w:cs="Times New Roman"/>
        </w:rPr>
        <w:t>newly-appointed</w:t>
      </w:r>
      <w:proofErr w:type="gramEnd"/>
      <w:r w:rsidRPr="004E06DE">
        <w:rPr>
          <w:rFonts w:ascii="Times New Roman" w:hAnsi="Times New Roman" w:cs="Times New Roman"/>
        </w:rPr>
        <w:t xml:space="preserve"> BIA agent at the Malheur Reservation in eastern Oregon, which President Ulysses S. Grant had established by executive order in 1872. I will say more about </w:t>
      </w:r>
      <w:proofErr w:type="gramStart"/>
      <w:r w:rsidRPr="004E06DE">
        <w:rPr>
          <w:rFonts w:ascii="Times New Roman" w:hAnsi="Times New Roman" w:cs="Times New Roman"/>
        </w:rPr>
        <w:t>the Malheur</w:t>
      </w:r>
      <w:proofErr w:type="gramEnd"/>
      <w:r w:rsidRPr="004E06DE">
        <w:rPr>
          <w:rFonts w:ascii="Times New Roman" w:hAnsi="Times New Roman" w:cs="Times New Roman"/>
        </w:rPr>
        <w:t xml:space="preserve"> below. In 1876, Parrish and his family were replaced as agents by William Rinehart and within three years most, if not all, of the Paiutes who had come to live on the Malheur had left again. In 1878, members of the Bannock (Snake) tribe broke out of the Fort Hall Reservation in Idaho. The U.S. Army was ordered to quell what the government saw as Native rebellion, sparking the conflict known as the Bannock War. Controversially, Winnemucca Hopkins worked for the U.S. in the Bannock War, providing her services as interpreter and scout for General O. O. Howard. After the war, Winnemucca Hopkins aided Howard in tracking down “small parties of hostiles”—Native warriors still at large—and inducing them to come back to Camp Harney (Winnemucca Hopkins, </w:t>
      </w:r>
      <w:r w:rsidRPr="004E06DE">
        <w:rPr>
          <w:rFonts w:ascii="Times New Roman" w:hAnsi="Times New Roman" w:cs="Times New Roman"/>
          <w:i/>
          <w:iCs/>
        </w:rPr>
        <w:t xml:space="preserve">Life </w:t>
      </w:r>
      <w:r w:rsidRPr="004E06DE">
        <w:rPr>
          <w:rFonts w:ascii="Times New Roman" w:hAnsi="Times New Roman" w:cs="Times New Roman"/>
        </w:rPr>
        <w:t xml:space="preserve">185). Unbeknownst to Winnemucca Hopkins, the Army forcibly deported the Native groups concentrated at Camp Harney, including Northern Paiutes bands who had not joined in the fighting against the U.S., over 300 miles from Camp Harney in eastern </w:t>
      </w:r>
      <w:r w:rsidRPr="004E06DE">
        <w:rPr>
          <w:rFonts w:ascii="Times New Roman" w:hAnsi="Times New Roman" w:cs="Times New Roman"/>
        </w:rPr>
        <w:lastRenderedPageBreak/>
        <w:t xml:space="preserve">Oregon to the Yakama Reservation in Washington Territory. Many Paiutes died on the forced march and those that survived arrived at Yakama starving and suffering from exposure. In the following months, many more died from </w:t>
      </w:r>
      <w:proofErr w:type="gramStart"/>
      <w:r w:rsidRPr="004E06DE">
        <w:rPr>
          <w:rFonts w:ascii="Times New Roman" w:hAnsi="Times New Roman" w:cs="Times New Roman"/>
        </w:rPr>
        <w:t>after effects</w:t>
      </w:r>
      <w:proofErr w:type="gramEnd"/>
      <w:r w:rsidRPr="004E06DE">
        <w:rPr>
          <w:rFonts w:ascii="Times New Roman" w:hAnsi="Times New Roman" w:cs="Times New Roman"/>
        </w:rPr>
        <w:t xml:space="preserve"> of the grueling journey (McKenzie 15). </w:t>
      </w:r>
    </w:p>
    <w:p w14:paraId="2E473FB7"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The tragic and unjust treatment of the Northern Paiutes drove Winnemucca Hopkins to return to the lecture circuit in an effort to bring public awareness to what was happening to her people. Perhaps it was guilt, also. Though in </w:t>
      </w:r>
      <w:r w:rsidRPr="004E06DE">
        <w:rPr>
          <w:rFonts w:ascii="Times New Roman" w:hAnsi="Times New Roman" w:cs="Times New Roman"/>
          <w:i/>
          <w:iCs/>
        </w:rPr>
        <w:t xml:space="preserve">Life Among the Piutes </w:t>
      </w:r>
      <w:r w:rsidRPr="004E06DE">
        <w:rPr>
          <w:rFonts w:ascii="Times New Roman" w:hAnsi="Times New Roman" w:cs="Times New Roman"/>
        </w:rPr>
        <w:t xml:space="preserve">she disavowed any foreknowledge of removal, many contemporary Northern Paiutes remember Winnemucca Hopkins as a traitor for her role in the march to </w:t>
      </w:r>
      <w:commentRangeStart w:id="24"/>
      <w:r w:rsidRPr="004E06DE">
        <w:rPr>
          <w:rFonts w:ascii="Times New Roman" w:hAnsi="Times New Roman" w:cs="Times New Roman"/>
        </w:rPr>
        <w:t>Yakama</w:t>
      </w:r>
      <w:commentRangeEnd w:id="24"/>
      <w:r w:rsidRPr="004E06DE">
        <w:rPr>
          <w:rStyle w:val="CommentReference"/>
          <w:rFonts w:eastAsiaTheme="majorEastAsia"/>
        </w:rPr>
        <w:commentReference w:id="24"/>
      </w:r>
      <w:r w:rsidRPr="004E06DE">
        <w:rPr>
          <w:rFonts w:ascii="Times New Roman" w:hAnsi="Times New Roman" w:cs="Times New Roman"/>
        </w:rPr>
        <w:t xml:space="preserve"> (</w:t>
      </w:r>
      <w:proofErr w:type="spellStart"/>
      <w:r w:rsidRPr="004E06DE">
        <w:rPr>
          <w:rFonts w:ascii="Times New Roman" w:hAnsi="Times New Roman" w:cs="Times New Roman"/>
        </w:rPr>
        <w:t>Albanis</w:t>
      </w:r>
      <w:proofErr w:type="spellEnd"/>
      <w:r w:rsidRPr="004E06DE">
        <w:rPr>
          <w:rFonts w:ascii="Times New Roman" w:hAnsi="Times New Roman" w:cs="Times New Roman"/>
        </w:rPr>
        <w:t xml:space="preserve"> 30-1). In the fall of 1879, Winnemucca Hopkins began to lecture in San Fransisco. She presented new versions of recent history, retelling events such as the Pyramid Lake War of 1860 from a Paiute woman’s perspective, and she advocated the re-establishment of the Malheur Reservation as a permanent home for the Northern Paiutes. As a result of her 1879 </w:t>
      </w:r>
      <w:proofErr w:type="gramStart"/>
      <w:r w:rsidRPr="004E06DE">
        <w:rPr>
          <w:rFonts w:ascii="Times New Roman" w:hAnsi="Times New Roman" w:cs="Times New Roman"/>
        </w:rPr>
        <w:t>lecturing</w:t>
      </w:r>
      <w:proofErr w:type="gramEnd"/>
      <w:r w:rsidRPr="004E06DE">
        <w:rPr>
          <w:rFonts w:ascii="Times New Roman" w:hAnsi="Times New Roman" w:cs="Times New Roman"/>
        </w:rPr>
        <w:t xml:space="preserve">, Secretary of the Interior Carl Schurz invited Winnemucca Hopkins as part of a delegation of Northern Paiutes to meet with him at Washington, D.C. to discuss the Paiutes’ situation. As related in </w:t>
      </w:r>
      <w:r w:rsidRPr="004E06DE">
        <w:rPr>
          <w:rFonts w:ascii="Times New Roman" w:hAnsi="Times New Roman" w:cs="Times New Roman"/>
          <w:i/>
          <w:iCs/>
        </w:rPr>
        <w:t>Life</w:t>
      </w:r>
      <w:r w:rsidRPr="004E06DE">
        <w:rPr>
          <w:rFonts w:ascii="Times New Roman" w:hAnsi="Times New Roman" w:cs="Times New Roman"/>
        </w:rPr>
        <w:t xml:space="preserve">, the meeting appeared to be successful. Winnemucca Hopkins acquired a document from Schurz that formally “freed” the Paiutes then </w:t>
      </w:r>
      <w:proofErr w:type="gramStart"/>
      <w:r w:rsidRPr="004E06DE">
        <w:rPr>
          <w:rFonts w:ascii="Times New Roman" w:hAnsi="Times New Roman" w:cs="Times New Roman"/>
        </w:rPr>
        <w:t>confined</w:t>
      </w:r>
      <w:proofErr w:type="gramEnd"/>
      <w:r w:rsidRPr="004E06DE">
        <w:rPr>
          <w:rFonts w:ascii="Times New Roman" w:hAnsi="Times New Roman" w:cs="Times New Roman"/>
        </w:rPr>
        <w:t xml:space="preserve"> to Yakama to leave the reservation. However, corruption and bureaucratic confusion between the BIA, its agents, the Office of the Interior, and the Army meant that Winnemucca Hopkins’s letter was disregarded for years. In 1882, under pressure from white settlers greedy for still more land, President Chester A. Arthur issued an executive </w:t>
      </w:r>
      <w:r w:rsidRPr="004E06DE">
        <w:rPr>
          <w:rFonts w:ascii="Times New Roman" w:hAnsi="Times New Roman" w:cs="Times New Roman"/>
        </w:rPr>
        <w:lastRenderedPageBreak/>
        <w:t>order declaring the Malheur Reservation discontinued and its lands to be “restored to the public domain” (</w:t>
      </w:r>
      <w:r w:rsidRPr="004E06DE">
        <w:rPr>
          <w:rFonts w:ascii="Times New Roman" w:hAnsi="Times New Roman" w:cs="Times New Roman"/>
          <w:i/>
          <w:iCs/>
        </w:rPr>
        <w:t>Executive Orders</w:t>
      </w:r>
      <w:r w:rsidRPr="004E06DE">
        <w:rPr>
          <w:rFonts w:ascii="Times New Roman" w:hAnsi="Times New Roman" w:cs="Times New Roman"/>
        </w:rPr>
        <w:t xml:space="preserve"> 95). Reporting on the order a few days later, Oregon newspaper </w:t>
      </w:r>
      <w:r w:rsidRPr="004E06DE">
        <w:rPr>
          <w:rFonts w:ascii="Times New Roman" w:hAnsi="Times New Roman" w:cs="Times New Roman"/>
          <w:i/>
          <w:iCs/>
        </w:rPr>
        <w:t xml:space="preserve">The Morning Astorian </w:t>
      </w:r>
      <w:r w:rsidRPr="004E06DE">
        <w:rPr>
          <w:rFonts w:ascii="Times New Roman" w:hAnsi="Times New Roman" w:cs="Times New Roman"/>
        </w:rPr>
        <w:t xml:space="preserve">declared the former </w:t>
      </w:r>
      <w:commentRangeStart w:id="25"/>
      <w:r w:rsidRPr="004E06DE">
        <w:rPr>
          <w:rFonts w:ascii="Times New Roman" w:hAnsi="Times New Roman" w:cs="Times New Roman"/>
        </w:rPr>
        <w:t>Malheur lands “open for settlement</w:t>
      </w:r>
      <w:commentRangeEnd w:id="25"/>
      <w:r w:rsidRPr="004E06DE">
        <w:rPr>
          <w:rStyle w:val="CommentReference"/>
          <w:rFonts w:eastAsiaTheme="majorEastAsia"/>
        </w:rPr>
        <w:commentReference w:id="25"/>
      </w:r>
      <w:r w:rsidRPr="004E06DE">
        <w:rPr>
          <w:rFonts w:ascii="Times New Roman" w:hAnsi="Times New Roman" w:cs="Times New Roman"/>
        </w:rPr>
        <w:t xml:space="preserve">” (30 Sept. 1882, 3).  </w:t>
      </w:r>
    </w:p>
    <w:p w14:paraId="7E642079"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In 1883, Winnemucca Hopkins embarked on another lecturing tour, this time in the east. As in 1879, her goals were to free the Northern Paiutes from Yakama and to secure the Malheur Reservation as their permanent, </w:t>
      </w:r>
      <w:proofErr w:type="gramStart"/>
      <w:r w:rsidRPr="004E06DE">
        <w:rPr>
          <w:rFonts w:ascii="Times New Roman" w:hAnsi="Times New Roman" w:cs="Times New Roman"/>
        </w:rPr>
        <w:t>legally-protected</w:t>
      </w:r>
      <w:proofErr w:type="gramEnd"/>
      <w:r w:rsidRPr="004E06DE">
        <w:rPr>
          <w:rFonts w:ascii="Times New Roman" w:hAnsi="Times New Roman" w:cs="Times New Roman"/>
        </w:rPr>
        <w:t xml:space="preserve"> home. In the east, Winnemucca Hopkins was aided by Elizabeth Palmer Peabody and Mary Peabody Mann, sister activists and education reformers, who helped Winnemucca Hopkins access some of the most prestigious reformist circles in New England. Between March 1883 and April 1834, Winnemucca Hopkins spoke before audiences in churches, athenaeums, public halls, and private residences from Boston to Baltimore. Her lecture then was much the same as it had been in 1879. She shared Paiute oral history in order to rewrite skewed, popular narratives of the western “Indian Wars” that emphasized Paiute savageness and brutality. She detailed the rampant corruption within the BIA, which she called “the Indian Ring,” and provided firsthand accounts of Rinehart’s abuses of his power over her people. </w:t>
      </w:r>
      <w:proofErr w:type="gramStart"/>
      <w:r w:rsidRPr="004E06DE">
        <w:rPr>
          <w:rFonts w:ascii="Times New Roman" w:hAnsi="Times New Roman" w:cs="Times New Roman"/>
        </w:rPr>
        <w:t>Again</w:t>
      </w:r>
      <w:proofErr w:type="gramEnd"/>
      <w:r w:rsidRPr="004E06DE">
        <w:rPr>
          <w:rFonts w:ascii="Times New Roman" w:hAnsi="Times New Roman" w:cs="Times New Roman"/>
        </w:rPr>
        <w:t xml:space="preserve"> she expressed her desire for a “good reservation” for her people and emphasized the Paiutes’ capacity for education. Northeastern newspapers reported that audiences’ reactions to Winnemucca Hopkins’s lectures were generally enthusiastic and emotional. In 1884, Winnemucca Hopkins concluded her tour of the east by presenting a </w:t>
      </w:r>
      <w:r w:rsidRPr="004E06DE">
        <w:rPr>
          <w:rFonts w:ascii="Times New Roman" w:hAnsi="Times New Roman" w:cs="Times New Roman"/>
        </w:rPr>
        <w:lastRenderedPageBreak/>
        <w:t xml:space="preserve">petition to Congress which she had circulated among the crowds at her lectures, laying out her terms. Her petition was not successful in reestablishing the Malheur Reservation. </w:t>
      </w:r>
    </w:p>
    <w:p w14:paraId="6483588A" w14:textId="77777777" w:rsidR="00287C65"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In the fall of 1883, Winnemucca Hopkins delivered three lectures in Hartford, Connecticut: one on October 4 at the home of educational reformer Dr. Henry Barnard at the invitation of the Connecticut Indian Association, and two more, on October 31 and November 1, at Pearl Street Church in the middle of downtown </w:t>
      </w:r>
      <w:commentRangeStart w:id="26"/>
      <w:r w:rsidRPr="004E06DE">
        <w:rPr>
          <w:rFonts w:ascii="Times New Roman" w:hAnsi="Times New Roman" w:cs="Times New Roman"/>
        </w:rPr>
        <w:t>Hartford</w:t>
      </w:r>
      <w:commentRangeEnd w:id="26"/>
      <w:r w:rsidRPr="004E06DE">
        <w:rPr>
          <w:rStyle w:val="CommentReference"/>
          <w:rFonts w:eastAsiaTheme="majorEastAsia"/>
        </w:rPr>
        <w:commentReference w:id="26"/>
      </w:r>
      <w:r w:rsidRPr="004E06DE">
        <w:rPr>
          <w:rFonts w:ascii="Times New Roman" w:hAnsi="Times New Roman" w:cs="Times New Roman"/>
        </w:rPr>
        <w:t>.</w:t>
      </w:r>
      <w:r w:rsidRPr="004E06DE">
        <w:rPr>
          <w:rStyle w:val="FootnoteReference"/>
          <w:rFonts w:ascii="Times New Roman" w:eastAsiaTheme="majorEastAsia" w:hAnsi="Times New Roman" w:cs="Times New Roman"/>
        </w:rPr>
        <w:footnoteReference w:id="46"/>
      </w:r>
      <w:r w:rsidRPr="004E06DE">
        <w:rPr>
          <w:rFonts w:ascii="Times New Roman" w:hAnsi="Times New Roman" w:cs="Times New Roman"/>
        </w:rPr>
        <w:t xml:space="preserve"> On these occasions, Winnemucca Hopkins and Twain were once again mere blocks away from each other. The Clemens family moved from Buffalo, New York, to Hartford in 1874, and their Nook Farm home is only two miles away from the Henry Barnard House as the two buildings stand today. It was in his Hartford house that Twain hosted his former </w:t>
      </w:r>
      <w:r w:rsidRPr="004E06DE">
        <w:rPr>
          <w:rFonts w:ascii="Times New Roman" w:hAnsi="Times New Roman" w:cs="Times New Roman"/>
          <w:i/>
          <w:iCs/>
        </w:rPr>
        <w:t>Territorial Enterprise</w:t>
      </w:r>
      <w:r w:rsidRPr="004E06DE">
        <w:rPr>
          <w:rFonts w:ascii="Times New Roman" w:hAnsi="Times New Roman" w:cs="Times New Roman"/>
        </w:rPr>
        <w:t xml:space="preserve"> confederate Dan De Quille as Twain helped De Quille craft his history of Virginia City and the Comstock Lode, </w:t>
      </w:r>
      <w:r w:rsidRPr="004E06DE">
        <w:rPr>
          <w:rFonts w:ascii="Times New Roman" w:hAnsi="Times New Roman" w:cs="Times New Roman"/>
          <w:i/>
          <w:iCs/>
        </w:rPr>
        <w:t>The Big Bonanza</w:t>
      </w:r>
      <w:r w:rsidRPr="004E06DE">
        <w:rPr>
          <w:rFonts w:ascii="Times New Roman" w:hAnsi="Times New Roman" w:cs="Times New Roman"/>
        </w:rPr>
        <w:t>. The two spent several hours “grind[</w:t>
      </w:r>
      <w:proofErr w:type="spellStart"/>
      <w:r w:rsidRPr="004E06DE">
        <w:rPr>
          <w:rFonts w:ascii="Times New Roman" w:hAnsi="Times New Roman" w:cs="Times New Roman"/>
        </w:rPr>
        <w:t>ing</w:t>
      </w:r>
      <w:proofErr w:type="spellEnd"/>
      <w:r w:rsidRPr="004E06DE">
        <w:rPr>
          <w:rFonts w:ascii="Times New Roman" w:hAnsi="Times New Roman" w:cs="Times New Roman"/>
        </w:rPr>
        <w:t xml:space="preserve">] literature all day long,” Twain guiding the composition and publication all along the way (Lewis xix). In this atmosphere Twain would have encountered Sarah Winnemucca again while listening or reading through his friend’s page proofs. Because he was a stickler about the illustrations in his own books, it is likely that Twain also approved the interior art for </w:t>
      </w:r>
      <w:r w:rsidRPr="004E06DE">
        <w:rPr>
          <w:rFonts w:ascii="Times New Roman" w:hAnsi="Times New Roman" w:cs="Times New Roman"/>
          <w:i/>
          <w:iCs/>
        </w:rPr>
        <w:t>Bonanza</w:t>
      </w:r>
      <w:r w:rsidRPr="004E06DE">
        <w:rPr>
          <w:rFonts w:ascii="Times New Roman" w:hAnsi="Times New Roman" w:cs="Times New Roman"/>
        </w:rPr>
        <w:t xml:space="preserve">, including the small, pen and ink sketch of “The Princess Sarah </w:t>
      </w:r>
      <w:commentRangeStart w:id="27"/>
      <w:r w:rsidRPr="004E06DE">
        <w:rPr>
          <w:rFonts w:ascii="Times New Roman" w:hAnsi="Times New Roman" w:cs="Times New Roman"/>
        </w:rPr>
        <w:t>Winnemucca</w:t>
      </w:r>
      <w:commentRangeEnd w:id="27"/>
      <w:r w:rsidRPr="004E06DE">
        <w:rPr>
          <w:rStyle w:val="CommentReference"/>
          <w:rFonts w:eastAsiaTheme="majorEastAsia"/>
        </w:rPr>
        <w:commentReference w:id="27"/>
      </w:r>
      <w:r w:rsidRPr="004E06DE">
        <w:rPr>
          <w:rFonts w:ascii="Times New Roman" w:hAnsi="Times New Roman" w:cs="Times New Roman"/>
        </w:rPr>
        <w:t xml:space="preserve">” (Fig. 1). Though Twain disdained the women-fronted </w:t>
      </w:r>
      <w:r w:rsidRPr="004E06DE">
        <w:rPr>
          <w:rFonts w:ascii="Times New Roman" w:hAnsi="Times New Roman" w:cs="Times New Roman"/>
        </w:rPr>
        <w:lastRenderedPageBreak/>
        <w:t xml:space="preserve">reformist atmosphere of the northeast (in </w:t>
      </w:r>
      <w:r w:rsidRPr="004E06DE">
        <w:rPr>
          <w:rFonts w:ascii="Times New Roman" w:hAnsi="Times New Roman" w:cs="Times New Roman"/>
          <w:i/>
          <w:iCs/>
        </w:rPr>
        <w:t>The Adventures of Tom Sawyer</w:t>
      </w:r>
      <w:r w:rsidRPr="004E06DE">
        <w:rPr>
          <w:rFonts w:ascii="Times New Roman" w:hAnsi="Times New Roman" w:cs="Times New Roman"/>
        </w:rPr>
        <w:t xml:space="preserve">, which Twain was working on around the time he was working with De Quille on </w:t>
      </w:r>
      <w:r w:rsidRPr="004E06DE">
        <w:rPr>
          <w:rFonts w:ascii="Times New Roman" w:hAnsi="Times New Roman" w:cs="Times New Roman"/>
          <w:i/>
          <w:iCs/>
        </w:rPr>
        <w:t>Bonanza</w:t>
      </w:r>
      <w:r w:rsidRPr="004E06DE">
        <w:rPr>
          <w:rFonts w:ascii="Times New Roman" w:hAnsi="Times New Roman" w:cs="Times New Roman"/>
        </w:rPr>
        <w:t xml:space="preserve">, he called them “committee[s] of sappy women” (255) and was therefore not likely to ever attend a meeting of the Connecticut Indian Association or any other charitable organization, it is nevertheless surprising that Twain makes no mention of Winnemucca Hopkins’s activities so close to his home. Like De Quille, Winnemucca Hopkins was a figure out of Twain’s personal history. His silence on her efforts, especially in light of De Quille’s remembrances, speaks volumes.   </w:t>
      </w:r>
    </w:p>
    <w:p w14:paraId="00EEA6AB" w14:textId="77777777" w:rsidR="00287C65"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As Winnemucca Hopkins returned west after the conclusion of her eastern tour, Twain was preparing for a return to the lecture circuit. In October 1884, Twain embarked on another tour and this time he shared the stage with Louisiana novelist George Washington Cable. In 103 engagements, primarily in eastern cities, and stretching as far west as St. Paul, Minnesota (but no farther south than Paris, Kentucky)</w:t>
      </w:r>
      <w:r w:rsidRPr="004E06DE">
        <w:rPr>
          <w:rStyle w:val="FootnoteReference"/>
          <w:rFonts w:ascii="Times New Roman" w:eastAsiaTheme="majorEastAsia" w:hAnsi="Times New Roman" w:cs="Times New Roman"/>
        </w:rPr>
        <w:footnoteReference w:id="47"/>
      </w:r>
      <w:r w:rsidRPr="004E06DE">
        <w:rPr>
          <w:rFonts w:ascii="Times New Roman" w:hAnsi="Times New Roman" w:cs="Times New Roman"/>
        </w:rPr>
        <w:t xml:space="preserve"> Twain and Cable read selections from their published and forthcoming works. In many of the same cities that had hosted Winnemucca Hopkins the year before, Twain performed a diverse range of readings, including his famous “Jumping Frog,” anecdotes from the “Roughing It”</w:t>
      </w:r>
      <w:r w:rsidRPr="004E06DE">
        <w:rPr>
          <w:rFonts w:ascii="Times New Roman" w:hAnsi="Times New Roman" w:cs="Times New Roman"/>
          <w:i/>
          <w:iCs/>
        </w:rPr>
        <w:t xml:space="preserve"> </w:t>
      </w:r>
      <w:r w:rsidRPr="004E06DE">
        <w:rPr>
          <w:rFonts w:ascii="Times New Roman" w:hAnsi="Times New Roman" w:cs="Times New Roman"/>
        </w:rPr>
        <w:t xml:space="preserve">lecture, as well as dramatized selections from drafts of what would become </w:t>
      </w:r>
      <w:r w:rsidRPr="004E06DE">
        <w:rPr>
          <w:rFonts w:ascii="Times New Roman" w:hAnsi="Times New Roman" w:cs="Times New Roman"/>
          <w:i/>
          <w:iCs/>
        </w:rPr>
        <w:t>The Adventures of Huckleberry Finn</w:t>
      </w:r>
      <w:r w:rsidRPr="004E06DE">
        <w:rPr>
          <w:rFonts w:ascii="Times New Roman" w:hAnsi="Times New Roman" w:cs="Times New Roman"/>
        </w:rPr>
        <w:t xml:space="preserve">. Cable read excerpts from his new novel </w:t>
      </w:r>
      <w:r w:rsidRPr="004E06DE">
        <w:rPr>
          <w:rFonts w:ascii="Times New Roman" w:hAnsi="Times New Roman" w:cs="Times New Roman"/>
          <w:i/>
          <w:iCs/>
        </w:rPr>
        <w:t>Dr. Sevier</w:t>
      </w:r>
      <w:r w:rsidRPr="004E06DE">
        <w:rPr>
          <w:rFonts w:ascii="Times New Roman" w:hAnsi="Times New Roman" w:cs="Times New Roman"/>
        </w:rPr>
        <w:t xml:space="preserve">, </w:t>
      </w:r>
      <w:r w:rsidRPr="004E06DE">
        <w:rPr>
          <w:rFonts w:ascii="Times New Roman" w:hAnsi="Times New Roman" w:cs="Times New Roman"/>
        </w:rPr>
        <w:lastRenderedPageBreak/>
        <w:t xml:space="preserve">which was stoking fresh sectional controversy for its message that “the northern cause in the Civil War was just and that ‘we of the South’”—Cable was from New Orleans—“could now admit it” (Lorch, </w:t>
      </w:r>
      <w:r w:rsidRPr="004E06DE">
        <w:rPr>
          <w:rFonts w:ascii="Times New Roman" w:hAnsi="Times New Roman" w:cs="Times New Roman"/>
          <w:i/>
          <w:iCs/>
        </w:rPr>
        <w:t>Trouble</w:t>
      </w:r>
      <w:r w:rsidRPr="004E06DE">
        <w:rPr>
          <w:rFonts w:ascii="Times New Roman" w:hAnsi="Times New Roman" w:cs="Times New Roman"/>
        </w:rPr>
        <w:t xml:space="preserve"> 171). He also presented, and possibly sang, passages from his essays in progress, “Dance in Place Congo” and “Creole Slave Songs,” both of which were published in the </w:t>
      </w:r>
      <w:r w:rsidRPr="004E06DE">
        <w:rPr>
          <w:rFonts w:ascii="Times New Roman" w:hAnsi="Times New Roman" w:cs="Times New Roman"/>
          <w:i/>
          <w:iCs/>
        </w:rPr>
        <w:t xml:space="preserve">Century </w:t>
      </w:r>
      <w:r w:rsidRPr="004E06DE">
        <w:rPr>
          <w:rFonts w:ascii="Times New Roman" w:hAnsi="Times New Roman" w:cs="Times New Roman"/>
        </w:rPr>
        <w:t>magazine after the tour in 1886.</w:t>
      </w:r>
      <w:r w:rsidRPr="004E06DE">
        <w:rPr>
          <w:rStyle w:val="FootnoteReference"/>
          <w:rFonts w:ascii="Times New Roman" w:eastAsiaTheme="majorEastAsia" w:hAnsi="Times New Roman" w:cs="Times New Roman"/>
        </w:rPr>
        <w:footnoteReference w:id="48"/>
      </w:r>
      <w:r w:rsidRPr="004E06DE">
        <w:rPr>
          <w:rFonts w:ascii="Times New Roman" w:hAnsi="Times New Roman" w:cs="Times New Roman"/>
        </w:rPr>
        <w:t xml:space="preserve"> Twain’s and Cable paired their readings to closely engage with race and social justice in the 1880’s, reaching across time and space, redrawing </w:t>
      </w:r>
    </w:p>
    <w:p w14:paraId="04824798" w14:textId="63222D13" w:rsidR="00287C65" w:rsidRPr="004E06DE" w:rsidRDefault="00287C65" w:rsidP="00287C65">
      <w:pPr>
        <w:pStyle w:val="NormalWeb"/>
        <w:spacing w:line="480" w:lineRule="auto"/>
        <w:jc w:val="center"/>
      </w:pPr>
      <w:r>
        <w:br w:type="page"/>
      </w:r>
      <w:r>
        <w:rPr>
          <w:noProof/>
        </w:rPr>
        <w:lastRenderedPageBreak/>
        <mc:AlternateContent>
          <mc:Choice Requires="wps">
            <w:drawing>
              <wp:anchor distT="0" distB="0" distL="114300" distR="114300" simplePos="0" relativeHeight="251668480" behindDoc="0" locked="0" layoutInCell="1" allowOverlap="1" wp14:anchorId="31282345" wp14:editId="1F5443C7">
                <wp:simplePos x="0" y="0"/>
                <wp:positionH relativeFrom="column">
                  <wp:posOffset>880921</wp:posOffset>
                </wp:positionH>
                <wp:positionV relativeFrom="paragraph">
                  <wp:posOffset>5663458</wp:posOffset>
                </wp:positionV>
                <wp:extent cx="4155440" cy="635"/>
                <wp:effectExtent l="0" t="0" r="0" b="0"/>
                <wp:wrapTopAndBottom/>
                <wp:docPr id="2096873472" name="Text Box 1"/>
                <wp:cNvGraphicFramePr/>
                <a:graphic xmlns:a="http://schemas.openxmlformats.org/drawingml/2006/main">
                  <a:graphicData uri="http://schemas.microsoft.com/office/word/2010/wordprocessingShape">
                    <wps:wsp>
                      <wps:cNvSpPr txBox="1"/>
                      <wps:spPr>
                        <a:xfrm>
                          <a:off x="0" y="0"/>
                          <a:ext cx="4155440" cy="635"/>
                        </a:xfrm>
                        <a:prstGeom prst="rect">
                          <a:avLst/>
                        </a:prstGeom>
                        <a:solidFill>
                          <a:prstClr val="white"/>
                        </a:solidFill>
                        <a:ln>
                          <a:noFill/>
                        </a:ln>
                      </wps:spPr>
                      <wps:txbx>
                        <w:txbxContent>
                          <w:p w14:paraId="598C5841" w14:textId="2CAC3BD8" w:rsidR="00287C65" w:rsidRPr="00287C65" w:rsidRDefault="00287C65" w:rsidP="00287C65">
                            <w:pPr>
                              <w:pStyle w:val="Caption"/>
                              <w:rPr>
                                <w:rFonts w:ascii="Times New Roman" w:eastAsia="Times New Roman" w:hAnsi="Times New Roman" w:cs="Times New Roman"/>
                                <w:i w:val="0"/>
                                <w:iCs w:val="0"/>
                                <w:color w:val="auto"/>
                                <w:kern w:val="0"/>
                                <w:sz w:val="24"/>
                                <w:szCs w:val="24"/>
                                <w14:ligatures w14:val="none"/>
                              </w:rPr>
                            </w:pPr>
                            <w:bookmarkStart w:id="28" w:name="_Toc169278858"/>
                            <w:r w:rsidRPr="00287C65">
                              <w:rPr>
                                <w:rFonts w:ascii="Times New Roman" w:hAnsi="Times New Roman" w:cs="Times New Roman"/>
                                <w:b/>
                                <w:bCs/>
                                <w:i w:val="0"/>
                                <w:iCs w:val="0"/>
                                <w:color w:val="auto"/>
                                <w:sz w:val="24"/>
                                <w:szCs w:val="24"/>
                              </w:rPr>
                              <w:t xml:space="preserve">Figure </w:t>
                            </w:r>
                            <w:r w:rsidRPr="00287C65">
                              <w:rPr>
                                <w:rFonts w:ascii="Times New Roman" w:hAnsi="Times New Roman" w:cs="Times New Roman"/>
                                <w:b/>
                                <w:bCs/>
                                <w:i w:val="0"/>
                                <w:iCs w:val="0"/>
                                <w:color w:val="auto"/>
                                <w:sz w:val="24"/>
                                <w:szCs w:val="24"/>
                              </w:rPr>
                              <w:fldChar w:fldCharType="begin"/>
                            </w:r>
                            <w:r w:rsidRPr="00287C65">
                              <w:rPr>
                                <w:rFonts w:ascii="Times New Roman" w:hAnsi="Times New Roman" w:cs="Times New Roman"/>
                                <w:b/>
                                <w:bCs/>
                                <w:i w:val="0"/>
                                <w:iCs w:val="0"/>
                                <w:color w:val="auto"/>
                                <w:sz w:val="24"/>
                                <w:szCs w:val="24"/>
                              </w:rPr>
                              <w:instrText xml:space="preserve"> SEQ Figure \* ARABIC </w:instrText>
                            </w:r>
                            <w:r w:rsidRPr="00287C65">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2</w:t>
                            </w:r>
                            <w:r w:rsidRPr="00287C65">
                              <w:rPr>
                                <w:rFonts w:ascii="Times New Roman" w:hAnsi="Times New Roman" w:cs="Times New Roman"/>
                                <w:b/>
                                <w:bCs/>
                                <w:i w:val="0"/>
                                <w:iCs w:val="0"/>
                                <w:color w:val="auto"/>
                                <w:sz w:val="24"/>
                                <w:szCs w:val="24"/>
                              </w:rPr>
                              <w:fldChar w:fldCharType="end"/>
                            </w:r>
                            <w:r>
                              <w:rPr>
                                <w:rFonts w:ascii="Times New Roman" w:hAnsi="Times New Roman" w:cs="Times New Roman"/>
                                <w:b/>
                                <w:bCs/>
                                <w:i w:val="0"/>
                                <w:iCs w:val="0"/>
                                <w:color w:val="auto"/>
                                <w:sz w:val="24"/>
                                <w:szCs w:val="24"/>
                              </w:rPr>
                              <w:t>.</w:t>
                            </w:r>
                            <w:r>
                              <w:rPr>
                                <w:rFonts w:ascii="Times New Roman" w:hAnsi="Times New Roman" w:cs="Times New Roman"/>
                                <w:i w:val="0"/>
                                <w:iCs w:val="0"/>
                                <w:color w:val="auto"/>
                                <w:sz w:val="24"/>
                                <w:szCs w:val="24"/>
                              </w:rPr>
                              <w:t xml:space="preserve"> </w:t>
                            </w:r>
                            <w:r w:rsidRPr="00287C65">
                              <w:rPr>
                                <w:rFonts w:ascii="Times New Roman" w:hAnsi="Times New Roman" w:cs="Times New Roman"/>
                                <w:i w:val="0"/>
                                <w:iCs w:val="0"/>
                                <w:color w:val="auto"/>
                                <w:sz w:val="24"/>
                                <w:szCs w:val="24"/>
                              </w:rPr>
                              <w:t xml:space="preserve">Sarah Winnemucca Hopkins's portrait in Dan De Quille's </w:t>
                            </w:r>
                            <w:r w:rsidRPr="00287C65">
                              <w:rPr>
                                <w:rFonts w:ascii="Times New Roman" w:hAnsi="Times New Roman" w:cs="Times New Roman"/>
                                <w:color w:val="auto"/>
                                <w:sz w:val="24"/>
                                <w:szCs w:val="24"/>
                              </w:rPr>
                              <w:t>The Big Bonanza</w:t>
                            </w:r>
                            <w:r w:rsidRPr="00287C65">
                              <w:rPr>
                                <w:rFonts w:ascii="Times New Roman" w:hAnsi="Times New Roman" w:cs="Times New Roman"/>
                                <w:i w:val="0"/>
                                <w:iCs w:val="0"/>
                                <w:color w:val="auto"/>
                                <w:sz w:val="24"/>
                                <w:szCs w:val="24"/>
                              </w:rPr>
                              <w:t xml:space="preserve"> (1875).</w:t>
                            </w:r>
                            <w:bookmarkEnd w:id="2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1282345" id="_x0000_s1027" type="#_x0000_t202" style="position:absolute;left:0;text-align:left;margin-left:69.35pt;margin-top:445.95pt;width:327.2pt;height:.0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" stroked="f">
                <v:textbox style="mso-fit-shape-to-text:t" inset="0,0,0,0">
                  <w:txbxContent>
                    <w:p w14:paraId="598C5841" w14:textId="2CAC3BD8" w:rsidR="00287C65" w:rsidRPr="00287C65" w:rsidRDefault="00287C65" w:rsidP="00287C65">
                      <w:pPr>
                        <w:pStyle w:val="Caption"/>
                        <w:rPr>
                          <w:rFonts w:ascii="Times New Roman" w:eastAsia="Times New Roman" w:hAnsi="Times New Roman" w:cs="Times New Roman"/>
                          <w:i w:val="0"/>
                          <w:iCs w:val="0"/>
                          <w:color w:val="auto"/>
                          <w:kern w:val="0"/>
                          <w:sz w:val="24"/>
                          <w:szCs w:val="24"/>
                          <w14:ligatures w14:val="none"/>
                        </w:rPr>
                      </w:pPr>
                      <w:bookmarkStart w:id="29" w:name="_Toc169278858"/>
                      <w:r w:rsidRPr="00287C65">
                        <w:rPr>
                          <w:rFonts w:ascii="Times New Roman" w:hAnsi="Times New Roman" w:cs="Times New Roman"/>
                          <w:b/>
                          <w:bCs/>
                          <w:i w:val="0"/>
                          <w:iCs w:val="0"/>
                          <w:color w:val="auto"/>
                          <w:sz w:val="24"/>
                          <w:szCs w:val="24"/>
                        </w:rPr>
                        <w:t xml:space="preserve">Figure </w:t>
                      </w:r>
                      <w:r w:rsidRPr="00287C65">
                        <w:rPr>
                          <w:rFonts w:ascii="Times New Roman" w:hAnsi="Times New Roman" w:cs="Times New Roman"/>
                          <w:b/>
                          <w:bCs/>
                          <w:i w:val="0"/>
                          <w:iCs w:val="0"/>
                          <w:color w:val="auto"/>
                          <w:sz w:val="24"/>
                          <w:szCs w:val="24"/>
                        </w:rPr>
                        <w:fldChar w:fldCharType="begin"/>
                      </w:r>
                      <w:r w:rsidRPr="00287C65">
                        <w:rPr>
                          <w:rFonts w:ascii="Times New Roman" w:hAnsi="Times New Roman" w:cs="Times New Roman"/>
                          <w:b/>
                          <w:bCs/>
                          <w:i w:val="0"/>
                          <w:iCs w:val="0"/>
                          <w:color w:val="auto"/>
                          <w:sz w:val="24"/>
                          <w:szCs w:val="24"/>
                        </w:rPr>
                        <w:instrText xml:space="preserve"> SEQ Figure \* ARABIC </w:instrText>
                      </w:r>
                      <w:r w:rsidRPr="00287C65">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2</w:t>
                      </w:r>
                      <w:r w:rsidRPr="00287C65">
                        <w:rPr>
                          <w:rFonts w:ascii="Times New Roman" w:hAnsi="Times New Roman" w:cs="Times New Roman"/>
                          <w:b/>
                          <w:bCs/>
                          <w:i w:val="0"/>
                          <w:iCs w:val="0"/>
                          <w:color w:val="auto"/>
                          <w:sz w:val="24"/>
                          <w:szCs w:val="24"/>
                        </w:rPr>
                        <w:fldChar w:fldCharType="end"/>
                      </w:r>
                      <w:r>
                        <w:rPr>
                          <w:rFonts w:ascii="Times New Roman" w:hAnsi="Times New Roman" w:cs="Times New Roman"/>
                          <w:b/>
                          <w:bCs/>
                          <w:i w:val="0"/>
                          <w:iCs w:val="0"/>
                          <w:color w:val="auto"/>
                          <w:sz w:val="24"/>
                          <w:szCs w:val="24"/>
                        </w:rPr>
                        <w:t>.</w:t>
                      </w:r>
                      <w:r>
                        <w:rPr>
                          <w:rFonts w:ascii="Times New Roman" w:hAnsi="Times New Roman" w:cs="Times New Roman"/>
                          <w:i w:val="0"/>
                          <w:iCs w:val="0"/>
                          <w:color w:val="auto"/>
                          <w:sz w:val="24"/>
                          <w:szCs w:val="24"/>
                        </w:rPr>
                        <w:t xml:space="preserve"> </w:t>
                      </w:r>
                      <w:r w:rsidRPr="00287C65">
                        <w:rPr>
                          <w:rFonts w:ascii="Times New Roman" w:hAnsi="Times New Roman" w:cs="Times New Roman"/>
                          <w:i w:val="0"/>
                          <w:iCs w:val="0"/>
                          <w:color w:val="auto"/>
                          <w:sz w:val="24"/>
                          <w:szCs w:val="24"/>
                        </w:rPr>
                        <w:t xml:space="preserve">Sarah Winnemucca Hopkins's portrait in Dan De Quille's </w:t>
                      </w:r>
                      <w:r w:rsidRPr="00287C65">
                        <w:rPr>
                          <w:rFonts w:ascii="Times New Roman" w:hAnsi="Times New Roman" w:cs="Times New Roman"/>
                          <w:color w:val="auto"/>
                          <w:sz w:val="24"/>
                          <w:szCs w:val="24"/>
                        </w:rPr>
                        <w:t>The Big Bonanza</w:t>
                      </w:r>
                      <w:r w:rsidRPr="00287C65">
                        <w:rPr>
                          <w:rFonts w:ascii="Times New Roman" w:hAnsi="Times New Roman" w:cs="Times New Roman"/>
                          <w:i w:val="0"/>
                          <w:iCs w:val="0"/>
                          <w:color w:val="auto"/>
                          <w:sz w:val="24"/>
                          <w:szCs w:val="24"/>
                        </w:rPr>
                        <w:t xml:space="preserve"> (1875).</w:t>
                      </w:r>
                      <w:bookmarkEnd w:id="29"/>
                    </w:p>
                  </w:txbxContent>
                </v:textbox>
                <w10:wrap type="topAndBottom"/>
              </v:shape>
            </w:pict>
          </mc:Fallback>
        </mc:AlternateContent>
      </w:r>
      <w:r w:rsidRPr="004E06DE">
        <w:rPr>
          <w:noProof/>
        </w:rPr>
        <w:drawing>
          <wp:anchor distT="0" distB="0" distL="114300" distR="114300" simplePos="0" relativeHeight="251666432" behindDoc="0" locked="0" layoutInCell="1" allowOverlap="1" wp14:anchorId="0731B4E7" wp14:editId="38C285D8">
            <wp:simplePos x="0" y="0"/>
            <wp:positionH relativeFrom="column">
              <wp:posOffset>1151708</wp:posOffset>
            </wp:positionH>
            <wp:positionV relativeFrom="paragraph">
              <wp:posOffset>2009869</wp:posOffset>
            </wp:positionV>
            <wp:extent cx="3375025" cy="3494405"/>
            <wp:effectExtent l="0" t="0" r="0" b="0"/>
            <wp:wrapTopAndBottom/>
            <wp:docPr id="442077447" name="Picture 3" descr="A black and white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077447" name="Picture 3" descr="A black and white drawing of a person&#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75025" cy="3494405"/>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p>
    <w:p w14:paraId="7939FEE5" w14:textId="055AFE51" w:rsidR="00287C65" w:rsidRPr="004E06DE" w:rsidRDefault="00287C65" w:rsidP="005D0244">
      <w:pPr>
        <w:spacing w:after="160" w:line="480" w:lineRule="auto"/>
        <w:rPr>
          <w:rFonts w:ascii="Times New Roman" w:hAnsi="Times New Roman" w:cs="Times New Roman"/>
        </w:rPr>
      </w:pPr>
      <w:r w:rsidRPr="004E06DE">
        <w:rPr>
          <w:rFonts w:ascii="Times New Roman" w:hAnsi="Times New Roman" w:cs="Times New Roman"/>
        </w:rPr>
        <w:lastRenderedPageBreak/>
        <w:t xml:space="preserve">(resurrecting?) geographies that Northern audiences thought put to rest with the close of Reconstruction. Though Twain’s readings in 1884-5 focus on Black-white race relations in the United States and not Native peoples, his earlier experiences among Indigenous peoples in the West and the Pacific continue to inform his perspectives. As Amy Kaplan has argued, “When Twain turned to write fiction about race relations and the legacy of slavery in America” in novels like </w:t>
      </w:r>
      <w:r w:rsidRPr="004E06DE">
        <w:rPr>
          <w:rFonts w:ascii="Times New Roman" w:hAnsi="Times New Roman" w:cs="Times New Roman"/>
          <w:i/>
          <w:iCs/>
        </w:rPr>
        <w:t xml:space="preserve">Huckleberry Finn </w:t>
      </w:r>
      <w:r w:rsidRPr="004E06DE">
        <w:rPr>
          <w:rFonts w:ascii="Times New Roman" w:hAnsi="Times New Roman" w:cs="Times New Roman"/>
        </w:rPr>
        <w:t xml:space="preserve">and </w:t>
      </w:r>
      <w:proofErr w:type="spellStart"/>
      <w:r w:rsidRPr="004E06DE">
        <w:rPr>
          <w:rFonts w:ascii="Times New Roman" w:hAnsi="Times New Roman" w:cs="Times New Roman"/>
          <w:i/>
          <w:iCs/>
        </w:rPr>
        <w:t>Puddin’head</w:t>
      </w:r>
      <w:proofErr w:type="spellEnd"/>
      <w:r w:rsidRPr="004E06DE">
        <w:rPr>
          <w:rFonts w:ascii="Times New Roman" w:hAnsi="Times New Roman" w:cs="Times New Roman"/>
          <w:i/>
          <w:iCs/>
        </w:rPr>
        <w:t xml:space="preserve"> Wilson</w:t>
      </w:r>
      <w:r w:rsidRPr="004E06DE">
        <w:rPr>
          <w:rFonts w:ascii="Times New Roman" w:hAnsi="Times New Roman" w:cs="Times New Roman"/>
        </w:rPr>
        <w:t xml:space="preserve">, “he had for many years been engaged in a global imperial conversation…about the incapacity of nonwhite people to govern themselves” (90). These conversations crossed from the Nevada Territory to Hawai’i, and across the world again to Palestine before returning to the antebellum U.S. South. Winnemucca Hopkins’s unacknowledged proximity to Twain in 1883 embodies these “imperial routes” that underlay his national identity and “haunt the corpus of his writing about America” (91). Thus, in 1885, Winnemucca Hopkins and Twain remained in each other’s orbits like binary stars, bound together yet kept utterly separate by the gravitational forces of American colonialism.      </w:t>
      </w:r>
    </w:p>
    <w:p w14:paraId="40F49419" w14:textId="5A925D73" w:rsidR="00287C65" w:rsidRDefault="00287C65" w:rsidP="00287C65">
      <w:pPr>
        <w:pStyle w:val="Heading2"/>
        <w:jc w:val="center"/>
        <w:rPr>
          <w:rStyle w:val="Heading2Char"/>
          <w:rFonts w:ascii="Times New Roman" w:hAnsi="Times New Roman" w:cs="Times New Roman"/>
          <w:b/>
          <w:bCs/>
          <w:color w:val="auto"/>
          <w:sz w:val="24"/>
          <w:szCs w:val="24"/>
        </w:rPr>
      </w:pPr>
      <w:bookmarkStart w:id="30" w:name="_Toc169279175"/>
      <w:r w:rsidRPr="004E06DE">
        <w:t>“</w:t>
      </w:r>
      <w:r w:rsidRPr="00287C65">
        <w:rPr>
          <w:rStyle w:val="Heading2Char"/>
          <w:rFonts w:ascii="Times New Roman" w:hAnsi="Times New Roman" w:cs="Times New Roman"/>
          <w:b/>
          <w:bCs/>
          <w:color w:val="auto"/>
          <w:sz w:val="24"/>
          <w:szCs w:val="24"/>
        </w:rPr>
        <w:t>Mischievous Sarcasms”: Winnemucca Hopkins’s Embodied Humor, 1864-1879</w:t>
      </w:r>
      <w:bookmarkEnd w:id="30"/>
    </w:p>
    <w:p w14:paraId="4C2B260C" w14:textId="77777777" w:rsidR="00287C65" w:rsidRPr="00287C65" w:rsidRDefault="00287C65" w:rsidP="00287C65"/>
    <w:p w14:paraId="62E8A8DB"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The earliest documented of Winnemucca Hopkins’s performances took place in October 1864, shortly after the Pyramid Lake War. She and her kin, including her father, Chief Winnemucca, and her sister, Elma, traveled from Pyramid Lake to the mining settlement of Virginia City where they appeared onstage at Sutliff’s Music Hall. According to historian Margaret G. Watson, the revue was the idea of the Sutliff’s manager, Max Walter, who “persuaded the Chief and some members of his tribe to </w:t>
      </w:r>
      <w:r w:rsidRPr="004E06DE">
        <w:rPr>
          <w:rFonts w:ascii="Times New Roman" w:hAnsi="Times New Roman" w:cs="Times New Roman"/>
        </w:rPr>
        <w:lastRenderedPageBreak/>
        <w:t xml:space="preserve">become actors” (323). No doubt Walter hoped to capitalize on the spectacle of presenting Natives on the stage; Chief Winnemucca’s object, though, was to raise funds for his people. They took the stage that night following a minstrel show (323). Details of the performance reprinted from the </w:t>
      </w:r>
      <w:r w:rsidRPr="004E06DE">
        <w:rPr>
          <w:rFonts w:ascii="Times New Roman" w:hAnsi="Times New Roman" w:cs="Times New Roman"/>
          <w:i/>
          <w:iCs/>
        </w:rPr>
        <w:t xml:space="preserve">Virginia Daily Union </w:t>
      </w:r>
      <w:r w:rsidRPr="004E06DE">
        <w:rPr>
          <w:rFonts w:ascii="Times New Roman" w:hAnsi="Times New Roman" w:cs="Times New Roman"/>
        </w:rPr>
        <w:t>describe the Paiutes’ appearance “on stage dressed in full Indian costumes, with tomahawks, scalping knives, and all the other requisites” (323). The program for the night, advertised as “romantic entertainment” (Canfield 39) in later billings, included “a series of tableaux representing a camp scene, a council of war, a war dance, a scalping dance, and other phases incident to Indian life on the deserts, in the mountains, or along the rivers and lakes of Washoe” (Watson 323-4).</w:t>
      </w:r>
      <w:r w:rsidRPr="004E06DE">
        <w:rPr>
          <w:rStyle w:val="FootnoteReference"/>
          <w:rFonts w:ascii="Times New Roman" w:eastAsiaTheme="majorEastAsia" w:hAnsi="Times New Roman" w:cs="Times New Roman"/>
        </w:rPr>
        <w:footnoteReference w:id="49"/>
      </w:r>
      <w:r w:rsidRPr="004E06DE">
        <w:rPr>
          <w:rFonts w:ascii="Times New Roman" w:hAnsi="Times New Roman" w:cs="Times New Roman"/>
        </w:rPr>
        <w:t xml:space="preserve"> For the climax of their show, Watson relates, “the chief and other loyal native-born citizens captured a Copperhead just arriving over the Sierras and pulled off his scalp in a ‘highly scientific manner’” (324). </w:t>
      </w:r>
    </w:p>
    <w:p w14:paraId="12A2B98C" w14:textId="77777777" w:rsidR="00287C65" w:rsidRPr="004E06DE" w:rsidRDefault="00287C65" w:rsidP="00287C65">
      <w:pPr>
        <w:pStyle w:val="NormalWeb"/>
        <w:spacing w:before="0" w:beforeAutospacing="0" w:after="0" w:afterAutospacing="0" w:line="480" w:lineRule="auto"/>
      </w:pPr>
      <w:r w:rsidRPr="004E06DE">
        <w:tab/>
        <w:t>Through these shows, Chief Winnemucca took advantage of Walter’s greed and non-Natives’ curiosity about “exotic” Native lifeways to raise money for his people, who were suffering from the whites’ disruption of their subsistence bases.</w:t>
      </w:r>
      <w:r w:rsidRPr="004E06DE">
        <w:rPr>
          <w:rStyle w:val="FootnoteReference"/>
          <w:rFonts w:eastAsiaTheme="majorEastAsia"/>
        </w:rPr>
        <w:footnoteReference w:id="50"/>
      </w:r>
      <w:r w:rsidRPr="004E06DE">
        <w:t xml:space="preserve"> However, </w:t>
      </w:r>
      <w:r w:rsidRPr="004E06DE">
        <w:lastRenderedPageBreak/>
        <w:t xml:space="preserve">Winnemucca also used his platform to court non-Natives and sway public opinion in favor of the Paiutes. In the wake of the Pyramid Lake War, the “Winnemucca show,” as one commentator called it, promoted the idea of the Paiutes as the peaceful friends of white settlers (Zanjani 75). The tableaux vivants and other physical performances retold histories of Paiute-white encounter, emphasizing the Paiutes’ role in helping early white emigrants across the Great Basin. However, as we shall see, they also disrupted colonial narratives of domination by depicting recent history, such as the Pyramid Lake War, from the Paiutes’ perspective. In this complex rhetorical context, young Winnemucca Hopkins’s physical comedy helped to support her father’s diplomatic message by reaching out to make connections with non-Native audiences and inviting them to imagine alternatives to colonial history. Thus, rather than just critiquing colonialism, the “Winnemucca show” and Winnemucca Hopkins’s physical comedy engaged in constructive resistance.   </w:t>
      </w:r>
    </w:p>
    <w:p w14:paraId="07B4EE21" w14:textId="77777777" w:rsidR="00287C65" w:rsidRPr="004E06DE" w:rsidRDefault="00287C65" w:rsidP="00287C65">
      <w:pPr>
        <w:pStyle w:val="NormalWeb"/>
        <w:spacing w:before="0" w:beforeAutospacing="0" w:after="0" w:afterAutospacing="0" w:line="480" w:lineRule="auto"/>
      </w:pPr>
      <w:r w:rsidRPr="004E06DE">
        <w:tab/>
        <w:t xml:space="preserve">The Winnemucca show’s tableaux participated in the nineteenth-century practice of Native performers exhibiting Indigenous “scenes” for non-Native audiences. Tableaux vivants, also called living portraits, living statues, or </w:t>
      </w:r>
      <w:r w:rsidRPr="004E06DE">
        <w:rPr>
          <w:i/>
          <w:iCs/>
        </w:rPr>
        <w:t xml:space="preserve">poses </w:t>
      </w:r>
      <w:proofErr w:type="spellStart"/>
      <w:r w:rsidRPr="004E06DE">
        <w:rPr>
          <w:i/>
          <w:iCs/>
        </w:rPr>
        <w:t>plastiques</w:t>
      </w:r>
      <w:proofErr w:type="spellEnd"/>
      <w:r w:rsidRPr="004E06DE">
        <w:t xml:space="preserve">, were popular entertainment in the eighteenth and nineteenth centuries, eventually waning with the advent of photography and later cinema. In touring stage shows and in private parlors, tableaux involved live performers dressed in costume and arranged with set pieces to </w:t>
      </w:r>
      <w:r w:rsidRPr="004E06DE">
        <w:lastRenderedPageBreak/>
        <w:t xml:space="preserve">recreate classical paintings or statuary, dramatize historical moments, or depict allegorical </w:t>
      </w:r>
      <w:commentRangeStart w:id="31"/>
      <w:r w:rsidRPr="004E06DE">
        <w:t>motifs</w:t>
      </w:r>
      <w:commentRangeEnd w:id="31"/>
      <w:r w:rsidRPr="004E06DE">
        <w:rPr>
          <w:rStyle w:val="CommentReference"/>
          <w:rFonts w:asciiTheme="minorHAnsi" w:eastAsiaTheme="minorHAnsi" w:hAnsiTheme="minorHAnsi" w:cstheme="minorBidi"/>
          <w:kern w:val="2"/>
          <w14:ligatures w14:val="standardContextual"/>
        </w:rPr>
        <w:commentReference w:id="31"/>
      </w:r>
      <w:r w:rsidRPr="004E06DE">
        <w:t>.</w:t>
      </w:r>
      <w:r w:rsidRPr="004E06DE">
        <w:rPr>
          <w:rStyle w:val="FootnoteReference"/>
          <w:rFonts w:eastAsiaTheme="majorEastAsia"/>
        </w:rPr>
        <w:footnoteReference w:id="51"/>
      </w:r>
      <w:r w:rsidRPr="004E06DE">
        <w:t xml:space="preserve"> Settler versions of Native culture and history were popular subjects for tableaux. During the 1839-1845 European tour of his “Indian Gallery,” American painter, ethnographer, and showman George Catlin hired Ojibwe and Iowa men and boys to “illustrate his lectures on Indian life through a series of…eleven war scenes and eight domestic scenes” (129). Jessica L. Horton writes that Catlin’s living recreations of his own paintings of Mandan life strived for an ethnographic parity between the tableaux, the paintings, and the original Mandan referents (130).</w:t>
      </w:r>
      <w:r w:rsidRPr="004E06DE">
        <w:rPr>
          <w:rStyle w:val="FootnoteReference"/>
          <w:rFonts w:eastAsiaTheme="majorEastAsia"/>
        </w:rPr>
        <w:footnoteReference w:id="52"/>
      </w:r>
      <w:r w:rsidRPr="004E06DE">
        <w:t xml:space="preserve"> As with the Winnemucca troupe, the Ojibwe and Iowa performers in Catlin’s show countered the tour’s “economy of ethnographic depiction” in their own impressions of European life (130). In 1848, the Ojibwe chief </w:t>
      </w:r>
      <w:proofErr w:type="spellStart"/>
      <w:r w:rsidRPr="004E06DE">
        <w:t>Maungwudaus</w:t>
      </w:r>
      <w:proofErr w:type="spellEnd"/>
      <w:r w:rsidRPr="004E06DE">
        <w:t xml:space="preserve"> published his </w:t>
      </w:r>
      <w:r w:rsidRPr="004E06DE">
        <w:rPr>
          <w:i/>
          <w:iCs/>
        </w:rPr>
        <w:t>Account of the Chippewa Indians, Who Have Been Travelling Among the Whites in the United States, England, Ireland, Scotland, France and Belgium</w:t>
      </w:r>
      <w:r w:rsidRPr="004E06DE">
        <w:t xml:space="preserve">, in which </w:t>
      </w:r>
      <w:proofErr w:type="spellStart"/>
      <w:r w:rsidRPr="004E06DE">
        <w:t>Maungwudaus</w:t>
      </w:r>
      <w:proofErr w:type="spellEnd"/>
      <w:r w:rsidRPr="004E06DE">
        <w:t xml:space="preserve"> records his impressions of European </w:t>
      </w:r>
      <w:r w:rsidRPr="004E06DE">
        <w:lastRenderedPageBreak/>
        <w:t xml:space="preserve">culture and society. His account wryly reverses the ethnographic gaze of Catlin’s Gallery and the tableaux in which he participated. For instance, writing about meeting and performing for the French King Louis Phillipe in 1846, </w:t>
      </w:r>
      <w:proofErr w:type="spellStart"/>
      <w:r w:rsidRPr="004E06DE">
        <w:t>Maungwudaus</w:t>
      </w:r>
      <w:proofErr w:type="spellEnd"/>
      <w:r w:rsidRPr="004E06DE">
        <w:t xml:space="preserve"> trivializes the ethnographic display of “Indian scenes,” the central draw of Catlin’s shows, and instead emphasizes the </w:t>
      </w:r>
      <w:proofErr w:type="spellStart"/>
      <w:r w:rsidRPr="004E06DE">
        <w:t>Ojibwes</w:t>
      </w:r>
      <w:proofErr w:type="spellEnd"/>
      <w:r w:rsidRPr="004E06DE">
        <w:t>’ socializing at the French court:</w:t>
      </w:r>
    </w:p>
    <w:p w14:paraId="417719A7" w14:textId="77777777" w:rsidR="00287C65" w:rsidRPr="004E06DE" w:rsidRDefault="00287C65" w:rsidP="00287C65">
      <w:pPr>
        <w:pStyle w:val="NormalWeb"/>
        <w:spacing w:before="0" w:beforeAutospacing="0" w:after="0" w:afterAutospacing="0" w:line="480" w:lineRule="auto"/>
        <w:ind w:left="720"/>
      </w:pPr>
      <w:r w:rsidRPr="004E06DE">
        <w:t xml:space="preserve">We went to France; stayed five months in Paris with Catlin’s Indian Curiosities. Shook hands with Louis Phillippe and all his family in the </w:t>
      </w:r>
      <w:proofErr w:type="gramStart"/>
      <w:r w:rsidRPr="004E06DE">
        <w:t>Park</w:t>
      </w:r>
      <w:proofErr w:type="gramEnd"/>
      <w:r w:rsidRPr="004E06DE">
        <w:t xml:space="preserve">, called St. Cloud; gave them little war dance, shooting with bows and arrows at a target, ball play; also rowed our birch bark canoe in the artificial lake, amongst swans and geese. There were about four thousand French ladies and gentlemen with them. We dined with him in the afternoon in his Palace. He said many things concerning his having been in America when he was a young man. He gave us twelve gold and silver medals; he showed us all the rooms in his house. (6) </w:t>
      </w:r>
    </w:p>
    <w:p w14:paraId="12B2A70C" w14:textId="77777777" w:rsidR="00287C65" w:rsidRPr="004E06DE" w:rsidRDefault="00287C65" w:rsidP="00287C65">
      <w:pPr>
        <w:pStyle w:val="NormalWeb"/>
        <w:spacing w:before="0" w:beforeAutospacing="0" w:after="0" w:afterAutospacing="0" w:line="480" w:lineRule="auto"/>
      </w:pPr>
      <w:proofErr w:type="spellStart"/>
      <w:r w:rsidRPr="004E06DE">
        <w:t>Maungwaudaus</w:t>
      </w:r>
      <w:proofErr w:type="spellEnd"/>
      <w:r w:rsidRPr="004E06DE">
        <w:t xml:space="preserve"> pinned some of these medals to an ornate beaded bag with a snakeskin strap when he sat for a portrait by Canadian portraitist Paul Kane in 1851 (Silverstein-Wilmott 78). For </w:t>
      </w:r>
      <w:proofErr w:type="spellStart"/>
      <w:r w:rsidRPr="004E06DE">
        <w:t>Maungwudaus</w:t>
      </w:r>
      <w:proofErr w:type="spellEnd"/>
      <w:r w:rsidRPr="004E06DE">
        <w:t xml:space="preserve">, Catlin’s show may have misrepresented some important aspects of Ojibwe life (not the least of which being Catlin’s passing them off as Mandan) but it furthered important international relationships between the Ojibwe and the English and French empires which had long benefitted all peoples. </w:t>
      </w:r>
      <w:proofErr w:type="spellStart"/>
      <w:r w:rsidRPr="004E06DE">
        <w:t>Maungwudaus’s</w:t>
      </w:r>
      <w:proofErr w:type="spellEnd"/>
      <w:r w:rsidRPr="004E06DE">
        <w:t xml:space="preserve"> meetings with Louis Phillippe and Queen Victoria allowed him to represent the Ojibwe as sovereign nations and international allies, not as colonized wards. </w:t>
      </w:r>
      <w:proofErr w:type="spellStart"/>
      <w:r w:rsidRPr="004E06DE">
        <w:t>Maungwudaus’s</w:t>
      </w:r>
      <w:proofErr w:type="spellEnd"/>
      <w:r w:rsidRPr="004E06DE">
        <w:t xml:space="preserve"> visit </w:t>
      </w:r>
      <w:r w:rsidRPr="004E06DE">
        <w:lastRenderedPageBreak/>
        <w:t xml:space="preserve">was reciprocated when Albert Edward, the Prince of Wales, visited the Caradoc Reserve in Ontario in 1860. </w:t>
      </w:r>
      <w:proofErr w:type="spellStart"/>
      <w:r w:rsidRPr="004E06DE">
        <w:t>Maungwudau’s</w:t>
      </w:r>
      <w:proofErr w:type="spellEnd"/>
      <w:r w:rsidRPr="004E06DE">
        <w:t xml:space="preserve"> son, now Chief John Tecumseh Henry, hosted the </w:t>
      </w:r>
      <w:proofErr w:type="gramStart"/>
      <w:r w:rsidRPr="004E06DE">
        <w:t>Prince</w:t>
      </w:r>
      <w:proofErr w:type="gramEnd"/>
      <w:r w:rsidRPr="004E06DE">
        <w:t xml:space="preserve"> on that occasion, wearing the bag his father had worn in Europe ten years earlier (74-5).</w:t>
      </w:r>
      <w:r w:rsidRPr="004E06DE">
        <w:rPr>
          <w:rStyle w:val="FootnoteReference"/>
          <w:rFonts w:eastAsiaTheme="majorEastAsia"/>
        </w:rPr>
        <w:footnoteReference w:id="53"/>
      </w:r>
    </w:p>
    <w:p w14:paraId="6ABF3626" w14:textId="77777777" w:rsidR="00287C65" w:rsidRPr="004E06DE" w:rsidRDefault="00287C65" w:rsidP="00287C65">
      <w:pPr>
        <w:pStyle w:val="NormalWeb"/>
        <w:spacing w:before="0" w:beforeAutospacing="0" w:after="0" w:afterAutospacing="0" w:line="480" w:lineRule="auto"/>
        <w:ind w:firstLine="720"/>
      </w:pPr>
      <w:r w:rsidRPr="004E06DE">
        <w:t xml:space="preserve">The Winnemucca troupe’s 1864 stage performances embody a similarly complex hybrid of Paiute diplomacy and canny manipulation of non-Native fascination with Native peoples. These complexities prefigure the adult Sarah’s later mixture of performativity and political advocacy in her lectures and writing.  The journalist covering the 23 October 1864 show in San Fransisco’s Metropolitan Theater for the </w:t>
      </w:r>
      <w:r w:rsidRPr="004E06DE">
        <w:rPr>
          <w:i/>
          <w:iCs/>
        </w:rPr>
        <w:t>Daily Alta California</w:t>
      </w:r>
      <w:r w:rsidRPr="004E06DE">
        <w:t xml:space="preserve"> noted the specific order in which the Paiutes revealed their tableaux: “the </w:t>
      </w:r>
      <w:r w:rsidRPr="004E06DE">
        <w:rPr>
          <w:i/>
          <w:iCs/>
        </w:rPr>
        <w:t>tableaux vivants</w:t>
      </w:r>
      <w:r w:rsidRPr="004E06DE">
        <w:t xml:space="preserve">, with the accompaniments of forest scenery and Greek fire, were introduced, in the following order: “‘The Indian Camp,” “The Message of War,” “The War Council,” “The War Dance,” “The Capture of a Bannock Spy,” “Scalping a Prisoner,” “Grand Scalp Dance,” “Scalping of an Emigrant Girl by a Bannock Scout,” “The Wounded Warrior,” and “The Coyote Dance’” (qtd. in Carpenter and Sorisio 37). More than merely showcasing “phases incident to Indian life,” this series of tableaux </w:t>
      </w:r>
      <w:r w:rsidRPr="004E06DE">
        <w:lastRenderedPageBreak/>
        <w:t xml:space="preserve">visually represent the advent and causes of the 1860 Pyramid Lake War from Winnemucca’s perspective. In September 1864, the </w:t>
      </w:r>
      <w:r w:rsidRPr="004E06DE">
        <w:rPr>
          <w:i/>
          <w:iCs/>
        </w:rPr>
        <w:t xml:space="preserve">Gold Hill Daily News </w:t>
      </w:r>
      <w:r w:rsidRPr="004E06DE">
        <w:t xml:space="preserve">reported a speech Winnemucca delivered to whites that had been translated by “one of his daughters, who…could talk very plain English, and was quite intelligent”—probably Sarah (85). The journalist recorded Winnemucca as saying “The Indian east upon the Plains fight white man; they will not mind me; I try to stop them. Young Winnemucca is not my son; he says he is, but he is an impostor. I have got but one son; he is here with me. White man commenced the war at </w:t>
      </w:r>
      <w:proofErr w:type="spellStart"/>
      <w:r w:rsidRPr="004E06DE">
        <w:t>Ragtown</w:t>
      </w:r>
      <w:proofErr w:type="spellEnd"/>
      <w:r w:rsidRPr="004E06DE">
        <w:t xml:space="preserve">. I did not want to fight, but I could not keep my people back; they would not obey me” (34). “Young Winnemucca” was the non-Natives’ name for </w:t>
      </w:r>
      <w:proofErr w:type="spellStart"/>
      <w:r w:rsidRPr="004E06DE">
        <w:t>Numaga</w:t>
      </w:r>
      <w:proofErr w:type="spellEnd"/>
      <w:r w:rsidRPr="004E06DE">
        <w:t xml:space="preserve">, the war chief of the Paiutes at Pyramid Lake. Historian Ferol Egan describes </w:t>
      </w:r>
      <w:proofErr w:type="spellStart"/>
      <w:r w:rsidRPr="004E06DE">
        <w:t>Numaga</w:t>
      </w:r>
      <w:proofErr w:type="spellEnd"/>
      <w:r w:rsidRPr="004E06DE">
        <w:t xml:space="preserve"> as the lone voice for peace among the Bannocks, Shoshones, and other Great Basin peoples prior to the Pyramid Lake War (102). According to nineteenth-century historian Myron Angel, while the representatives for the other bands indicated in war councils that they were for making war, Winnemucca himself “held his own council, and declared neither for peace </w:t>
      </w:r>
      <w:proofErr w:type="gramStart"/>
      <w:r w:rsidRPr="004E06DE">
        <w:t>or</w:t>
      </w:r>
      <w:proofErr w:type="gramEnd"/>
      <w:r w:rsidRPr="004E06DE">
        <w:t xml:space="preserve"> war; but was known to be in favor of the latter” (151). From this perspective, Winnemucca’s speech at Gold Hill and his performances in Virginia City and San Francisco indicate that he depicted the Pyramid Lake Paiutes as only passive participants in the violence of 1860, emphasizing other tribes, particularly the Bannocks, as the main actors against the settlers. Downplaying any </w:t>
      </w:r>
      <w:proofErr w:type="gramStart"/>
      <w:r w:rsidRPr="004E06DE">
        <w:t>role</w:t>
      </w:r>
      <w:proofErr w:type="gramEnd"/>
      <w:r w:rsidRPr="004E06DE">
        <w:t xml:space="preserve"> he may have had in Native war councils previous to the onset of </w:t>
      </w:r>
      <w:r w:rsidRPr="004E06DE">
        <w:lastRenderedPageBreak/>
        <w:t>the Pyramid Lake War rhetorically amplifies Winnemucca’s calls for peaceful relationships between the Paiutes and whites in 1864.</w:t>
      </w:r>
    </w:p>
    <w:p w14:paraId="448D31E3" w14:textId="77777777" w:rsidR="00287C65" w:rsidRPr="004E06DE" w:rsidRDefault="00287C65" w:rsidP="00287C65">
      <w:pPr>
        <w:spacing w:line="480" w:lineRule="auto"/>
        <w:ind w:firstLine="720"/>
        <w:rPr>
          <w:rFonts w:ascii="Times New Roman" w:hAnsi="Times New Roman" w:cs="Times New Roman"/>
          <w:color w:val="000000"/>
        </w:rPr>
      </w:pPr>
      <w:r w:rsidRPr="004E06DE">
        <w:rPr>
          <w:rFonts w:ascii="Times New Roman" w:hAnsi="Times New Roman" w:cs="Times New Roman"/>
          <w:color w:val="000000"/>
        </w:rPr>
        <w:t>In addition to the Pyramid Lake scenes listed above, in some shows Winnemucca included five additional scenes “representing Pocahontas saving the life of Captain John Smith” (</w:t>
      </w:r>
      <w:r w:rsidRPr="004E06DE">
        <w:rPr>
          <w:rFonts w:ascii="Times New Roman" w:hAnsi="Times New Roman" w:cs="Times New Roman"/>
        </w:rPr>
        <w:t xml:space="preserve">qtd. in </w:t>
      </w:r>
      <w:r w:rsidRPr="004E06DE">
        <w:rPr>
          <w:rFonts w:ascii="Times New Roman" w:hAnsi="Times New Roman" w:cs="Times New Roman"/>
          <w:color w:val="000000"/>
        </w:rPr>
        <w:t xml:space="preserve">Carpenter and Sorisio 37). Here, “One of the ‘Flowers’”—probably Winnemucca Hopkins, whose name meant “Shell Flower”—"enacted the part of the famous Indian Maiden, and Old Winnemucca the hard-hearted old parent, Powhatan” (37). Alongside them, “a white man in the costume of an ‘honest miner’ did the John Smith” (37). The “honest miner” (which the </w:t>
      </w:r>
      <w:r w:rsidRPr="004E06DE">
        <w:rPr>
          <w:rFonts w:ascii="Times New Roman" w:hAnsi="Times New Roman" w:cs="Times New Roman"/>
          <w:i/>
          <w:iCs/>
          <w:color w:val="000000"/>
        </w:rPr>
        <w:t xml:space="preserve">Alta California </w:t>
      </w:r>
      <w:r w:rsidRPr="004E06DE">
        <w:rPr>
          <w:rFonts w:ascii="Times New Roman" w:hAnsi="Times New Roman" w:cs="Times New Roman"/>
          <w:color w:val="000000"/>
        </w:rPr>
        <w:t xml:space="preserve">placed in quotation marks) was a humorous literary type popularized in Comstock newspapers like the </w:t>
      </w:r>
      <w:r w:rsidRPr="004E06DE">
        <w:rPr>
          <w:rFonts w:ascii="Times New Roman" w:hAnsi="Times New Roman" w:cs="Times New Roman"/>
          <w:i/>
          <w:iCs/>
          <w:color w:val="000000"/>
        </w:rPr>
        <w:t>Territorial Enterprise</w:t>
      </w:r>
      <w:r w:rsidRPr="004E06DE">
        <w:rPr>
          <w:rFonts w:ascii="Times New Roman" w:hAnsi="Times New Roman" w:cs="Times New Roman"/>
          <w:color w:val="000000"/>
        </w:rPr>
        <w:t xml:space="preserve"> and mocked in the writings of both Dan de Quille and Mark Twain.</w:t>
      </w:r>
      <w:r w:rsidRPr="004E06DE">
        <w:rPr>
          <w:rStyle w:val="FootnoteReference"/>
          <w:rFonts w:ascii="Times New Roman" w:eastAsiaTheme="majorEastAsia" w:hAnsi="Times New Roman" w:cs="Times New Roman"/>
          <w:color w:val="000000"/>
        </w:rPr>
        <w:footnoteReference w:id="54"/>
      </w:r>
      <w:r w:rsidRPr="004E06DE">
        <w:rPr>
          <w:rFonts w:ascii="Times New Roman" w:hAnsi="Times New Roman" w:cs="Times New Roman"/>
          <w:color w:val="000000"/>
        </w:rPr>
        <w:t xml:space="preserve"> The </w:t>
      </w:r>
      <w:r w:rsidRPr="004E06DE">
        <w:rPr>
          <w:rFonts w:ascii="Times New Roman" w:hAnsi="Times New Roman" w:cs="Times New Roman"/>
          <w:color w:val="000000"/>
        </w:rPr>
        <w:lastRenderedPageBreak/>
        <w:t xml:space="preserve">Pocahontas story was a popular subject for American tableaux in the nineteenth century. In his 1868 “how-to” manual for putting on domestic tableaux, popular pantomimist and clown Tony Denier provides instructions for staging a series of three scenes in which Pocahontas intervenes in John Smith’s execution and pleads with her father, Smith takes Pocahontas’s hand as Powhatan blesses them, and ending with the Natives and presumably Pocahontas and Smith all smoking together (24). Denier’s description of the common Pocahontas tableaux reflects settler myth rather than actual history and romanticizes the violent relationship between the Virginia colonists and Pocahontas’s people, the Mattaponi. It is impossible to know what exactly the Winnemucca troupe’s version of this story looked like, but many productions probably resembled Denier’s example to a greater or lesser extent. </w:t>
      </w:r>
    </w:p>
    <w:p w14:paraId="77BFA262" w14:textId="77777777" w:rsidR="00287C65" w:rsidRPr="004E06DE" w:rsidRDefault="00287C65" w:rsidP="00287C65">
      <w:pPr>
        <w:spacing w:line="480" w:lineRule="auto"/>
        <w:ind w:firstLine="720"/>
        <w:rPr>
          <w:rFonts w:ascii="Times New Roman" w:hAnsi="Times New Roman" w:cs="Times New Roman"/>
          <w:color w:val="000000"/>
        </w:rPr>
      </w:pPr>
      <w:r w:rsidRPr="004E06DE">
        <w:rPr>
          <w:rFonts w:ascii="Times New Roman" w:hAnsi="Times New Roman" w:cs="Times New Roman"/>
          <w:color w:val="000000"/>
        </w:rPr>
        <w:t>To this day, United States history contains Pocahontas’s body as a site of colonial domination and identity-making. Myths about Pocahontas’s innate goodness and mercy towards the Virginia colonists reify our ideological scripts of white racial superiority, patriarchal authority, and the inevitable disappearance of Natives from the land. For instance, popular settler versions of history claim that, as a young girl, Pocahontas defied the wishes of her warlike father, Chief Powhatan (</w:t>
      </w:r>
      <w:proofErr w:type="spellStart"/>
      <w:r w:rsidRPr="004E06DE">
        <w:rPr>
          <w:rFonts w:ascii="Times New Roman" w:hAnsi="Times New Roman" w:cs="Times New Roman"/>
          <w:color w:val="000000"/>
        </w:rPr>
        <w:t>Wahunsenaca</w:t>
      </w:r>
      <w:proofErr w:type="spellEnd"/>
      <w:r w:rsidRPr="004E06DE">
        <w:rPr>
          <w:rFonts w:ascii="Times New Roman" w:hAnsi="Times New Roman" w:cs="Times New Roman"/>
          <w:color w:val="000000"/>
        </w:rPr>
        <w:t>), to bring food to the starving Jamestown colonists.</w:t>
      </w:r>
      <w:bookmarkStart w:id="32" w:name="_Hlk167101204"/>
      <w:r w:rsidRPr="004E06DE">
        <w:rPr>
          <w:rFonts w:ascii="Times New Roman" w:hAnsi="Times New Roman" w:cs="Times New Roman"/>
          <w:color w:val="000000"/>
        </w:rPr>
        <w:t xml:space="preserve"> According to Dr. Linwood “Little Bear” Custalow, a </w:t>
      </w:r>
      <w:r w:rsidRPr="004E06DE">
        <w:rPr>
          <w:rFonts w:ascii="Times New Roman" w:hAnsi="Times New Roman" w:cs="Times New Roman"/>
          <w:color w:val="000000"/>
        </w:rPr>
        <w:lastRenderedPageBreak/>
        <w:t xml:space="preserve">Mattaponi historian, and Angela L. Daniel “Silver Star,” Pocahontas (Matoaka) did not defy her </w:t>
      </w:r>
      <w:proofErr w:type="gramStart"/>
      <w:r w:rsidRPr="004E06DE">
        <w:rPr>
          <w:rFonts w:ascii="Times New Roman" w:hAnsi="Times New Roman" w:cs="Times New Roman"/>
          <w:color w:val="000000"/>
        </w:rPr>
        <w:t>father, but</w:t>
      </w:r>
      <w:proofErr w:type="gramEnd"/>
      <w:r w:rsidRPr="004E06DE">
        <w:rPr>
          <w:rFonts w:ascii="Times New Roman" w:hAnsi="Times New Roman" w:cs="Times New Roman"/>
          <w:color w:val="000000"/>
        </w:rPr>
        <w:t xml:space="preserve"> was allowed to go to the English as part of a larger Mattaponi peacekeeping retinue: “As </w:t>
      </w:r>
      <w:proofErr w:type="spellStart"/>
      <w:r w:rsidRPr="004E06DE">
        <w:rPr>
          <w:rFonts w:ascii="Times New Roman" w:hAnsi="Times New Roman" w:cs="Times New Roman"/>
          <w:color w:val="000000"/>
        </w:rPr>
        <w:t>Wahunsenaca’s</w:t>
      </w:r>
      <w:proofErr w:type="spellEnd"/>
      <w:r w:rsidRPr="004E06DE">
        <w:rPr>
          <w:rFonts w:ascii="Times New Roman" w:hAnsi="Times New Roman" w:cs="Times New Roman"/>
          <w:color w:val="000000"/>
        </w:rPr>
        <w:t xml:space="preserve"> favorite child, Pocahontas being allowed to go with the delegations to Jamestown demonstrated his sincerity to befriend the English colonists” (28). As a child within Mattaponi culture, Pocahontas would not have been accorded the freedom to act that white myth attributes to her. Furthermore, by the same logic, Custalow and Daniel assert that Pocahontas’s sacrifice for John Smith is probably wholly fictional. Not only is it improbable that </w:t>
      </w:r>
      <w:proofErr w:type="spellStart"/>
      <w:r w:rsidRPr="004E06DE">
        <w:rPr>
          <w:rFonts w:ascii="Times New Roman" w:hAnsi="Times New Roman" w:cs="Times New Roman"/>
          <w:color w:val="000000"/>
        </w:rPr>
        <w:t>Wahunsenaca</w:t>
      </w:r>
      <w:proofErr w:type="spellEnd"/>
      <w:r w:rsidRPr="004E06DE">
        <w:rPr>
          <w:rFonts w:ascii="Times New Roman" w:hAnsi="Times New Roman" w:cs="Times New Roman"/>
          <w:color w:val="000000"/>
        </w:rPr>
        <w:t xml:space="preserve"> would execute John Smith after </w:t>
      </w:r>
      <w:proofErr w:type="gramStart"/>
      <w:r w:rsidRPr="004E06DE">
        <w:rPr>
          <w:rFonts w:ascii="Times New Roman" w:hAnsi="Times New Roman" w:cs="Times New Roman"/>
          <w:color w:val="000000"/>
        </w:rPr>
        <w:t>according</w:t>
      </w:r>
      <w:proofErr w:type="gramEnd"/>
      <w:r w:rsidRPr="004E06DE">
        <w:rPr>
          <w:rFonts w:ascii="Times New Roman" w:hAnsi="Times New Roman" w:cs="Times New Roman"/>
          <w:color w:val="000000"/>
        </w:rPr>
        <w:t xml:space="preserve"> him the title of werowance, or “chief” of the English, Pocahontas’s status as a child would have precluded her from being able to warn him or stop an execution even if it had happened (30-31). The mythical version of history retold in scenes like this and in Pocahontas’s symbolic sacrifice for John Smith understands Pocahontas as precociously and preternaturally giving of herself to the English, a view which simultaneously makes the 10-year-old Pocahontas sexually available to Englishmen and metaphorically aligns her sexuality with the availability of the land (Kolodny 5). </w:t>
      </w:r>
    </w:p>
    <w:p w14:paraId="0DC59067" w14:textId="77777777" w:rsidR="00287C65" w:rsidRPr="004E06DE" w:rsidRDefault="00287C65" w:rsidP="00287C65">
      <w:pPr>
        <w:spacing w:line="480" w:lineRule="auto"/>
        <w:ind w:firstLine="720"/>
      </w:pPr>
      <w:r w:rsidRPr="004E06DE">
        <w:rPr>
          <w:rFonts w:ascii="Times New Roman" w:hAnsi="Times New Roman" w:cs="Times New Roman"/>
        </w:rPr>
        <w:t xml:space="preserve">Recognizing the symbolic weight of the Pocahontas myth to their white audience, the Paiutes’ staging of her story sought to further Chief Winnemucca’s diplomatic aims and </w:t>
      </w:r>
      <w:r w:rsidRPr="004E06DE">
        <w:rPr>
          <w:rFonts w:ascii="Times New Roman" w:hAnsi="Times New Roman" w:cs="Times New Roman"/>
          <w:color w:val="000000"/>
        </w:rPr>
        <w:t xml:space="preserve">mediate between the Northern Paiutes and Virginia City residents. While staging the Pocahontas story at all risked recirculating some of the colonial meanings assigned to Pocahontas’s body, the version of history depicted in the Paiutes’ tableau reclaims a sense of Native agency that settler mythology strips away. For instance, substituting the </w:t>
      </w:r>
      <w:r w:rsidRPr="004E06DE">
        <w:rPr>
          <w:rFonts w:ascii="Times New Roman" w:hAnsi="Times New Roman" w:cs="Times New Roman"/>
          <w:color w:val="000000"/>
        </w:rPr>
        <w:lastRenderedPageBreak/>
        <w:t xml:space="preserve">local figure of the “honest miner” for the great John Smith was surely hysterical to Winnemucca Hopkins’s audience of Comstock miners, but it also perceptively translates the Pocahontas myth to a Great Basin setting (from </w:t>
      </w:r>
      <w:proofErr w:type="gramStart"/>
      <w:r w:rsidRPr="004E06DE">
        <w:rPr>
          <w:rFonts w:ascii="Times New Roman" w:hAnsi="Times New Roman" w:cs="Times New Roman"/>
          <w:color w:val="000000"/>
        </w:rPr>
        <w:t>Virginia to Virginia</w:t>
      </w:r>
      <w:proofErr w:type="gramEnd"/>
      <w:r w:rsidRPr="004E06DE">
        <w:rPr>
          <w:rFonts w:ascii="Times New Roman" w:hAnsi="Times New Roman" w:cs="Times New Roman"/>
          <w:color w:val="000000"/>
        </w:rPr>
        <w:t xml:space="preserve"> City), reflecting Chief Winnemucca’s vision for a cooperative political future between the Paiutes and Nevadans. Furthermore, by replacing the mythical figure of John Smith with the comic figure of the honest miner, the Paiutes’ tableau presents a tribal version of recent history wherein the Paiutes are the saviors of the white men in the Great Basin, rather than obstacles to Manifest Destiny. Winnemucca Hopkins never reflected on her brief experience representing this iconic Native woman, but it is possible that embodying Pocahontas, another chief’s daughter from another time, instilled in her a sense of</w:t>
      </w:r>
      <w:bookmarkEnd w:id="32"/>
      <w:r w:rsidRPr="004E06DE">
        <w:rPr>
          <w:rFonts w:ascii="Times New Roman" w:hAnsi="Times New Roman" w:cs="Times New Roman"/>
          <w:color w:val="000000"/>
        </w:rPr>
        <w:t xml:space="preserve"> how history and ideology worked to contain her Native body just as effectively as warfare and reservations. Perhaps it also awakened in her an awareness of how staging her own body could raise ironic critiques of those forces of containment.</w:t>
      </w:r>
    </w:p>
    <w:p w14:paraId="6F416A33" w14:textId="77777777" w:rsidR="00287C65" w:rsidRPr="004E06DE" w:rsidRDefault="00287C65" w:rsidP="00287C65">
      <w:pPr>
        <w:pStyle w:val="NormalWeb"/>
        <w:spacing w:before="0" w:beforeAutospacing="0" w:after="0" w:afterAutospacing="0" w:line="480" w:lineRule="auto"/>
        <w:ind w:firstLine="720"/>
      </w:pPr>
      <w:r w:rsidRPr="004E06DE">
        <w:t xml:space="preserve">In addition to tableaux vivants and lectures, the Winnemucca troupe exhibited traditional ceremonies, including Paiute songs and dances. Winnemucca seems to have meant at least some of these dances, such as the Coyote Dance, as further peaceful overtures. However, they gave Winnemucca Hopkins further opportunities to exercise her physical comedy. Reporting on the Winnemucca troupe’s display of the Coyote Dance in San Fransisco, the </w:t>
      </w:r>
      <w:r w:rsidRPr="004E06DE">
        <w:rPr>
          <w:i/>
          <w:iCs/>
        </w:rPr>
        <w:t>Alta California</w:t>
      </w:r>
      <w:r w:rsidRPr="004E06DE">
        <w:t xml:space="preserve"> lauds it as “the best” dance of the night “and…decidedly the favorite with the youngsters” (qtd. in </w:t>
      </w:r>
      <w:commentRangeStart w:id="33"/>
      <w:r w:rsidRPr="004E06DE">
        <w:t>Carpenter</w:t>
      </w:r>
      <w:commentRangeEnd w:id="33"/>
      <w:r w:rsidRPr="004E06DE">
        <w:rPr>
          <w:rStyle w:val="CommentReference"/>
          <w:rFonts w:asciiTheme="minorHAnsi" w:eastAsiaTheme="minorHAnsi" w:hAnsiTheme="minorHAnsi" w:cstheme="minorBidi"/>
          <w:kern w:val="2"/>
          <w14:ligatures w14:val="standardContextual"/>
        </w:rPr>
        <w:commentReference w:id="33"/>
      </w:r>
      <w:r w:rsidRPr="004E06DE">
        <w:t xml:space="preserve"> and Sorisio 37). They note a particularly funny moment when Winnemucca Hopkins, or “Flower”…got a </w:t>
      </w:r>
      <w:r w:rsidRPr="004E06DE">
        <w:lastRenderedPageBreak/>
        <w:t>back fall by pulling too hard on the tail of the Coyote” (37). Beyond the visceral comedy of Winnemucca Hopkins’s pratfall, her physical comedy serves to enhance the dance’s cultural meanings in the context of recent Paiute politics.</w:t>
      </w:r>
    </w:p>
    <w:p w14:paraId="3B941BDE" w14:textId="77777777" w:rsidR="00287C65" w:rsidRPr="004E06DE" w:rsidRDefault="00287C65" w:rsidP="00287C65">
      <w:pPr>
        <w:pStyle w:val="NormalWeb"/>
        <w:spacing w:before="0" w:beforeAutospacing="0" w:after="0" w:afterAutospacing="0" w:line="480" w:lineRule="auto"/>
        <w:ind w:firstLine="720"/>
      </w:pPr>
      <w:r w:rsidRPr="004E06DE">
        <w:t xml:space="preserve">Various Native accounts describe the Coyote Dance differently. Southern Paiute elders Charley </w:t>
      </w:r>
      <w:proofErr w:type="spellStart"/>
      <w:r w:rsidRPr="004E06DE">
        <w:t>Greyman</w:t>
      </w:r>
      <w:proofErr w:type="spellEnd"/>
      <w:r w:rsidRPr="004E06DE">
        <w:t xml:space="preserve">, Edrick </w:t>
      </w:r>
      <w:proofErr w:type="spellStart"/>
      <w:r w:rsidRPr="004E06DE">
        <w:t>Bushhead</w:t>
      </w:r>
      <w:proofErr w:type="spellEnd"/>
      <w:r w:rsidRPr="004E06DE">
        <w:t xml:space="preserve">, Wendell John, and Bessie </w:t>
      </w:r>
      <w:proofErr w:type="spellStart"/>
      <w:r w:rsidRPr="004E06DE">
        <w:t>Tillahash</w:t>
      </w:r>
      <w:proofErr w:type="spellEnd"/>
      <w:r w:rsidRPr="004E06DE">
        <w:t xml:space="preserve"> describe a dance in which “women… bent forward a little and let their arms hang down limp, full length, swaying them back and forth to the left and right in rhythm to the music” as a “prayer for an abundance of food” (Songs, Dances, &amp; Ceremonies). James Marble, a Mojave man, claims that this dance originated with the Mojaves who performed it at funerals: “The Paiutes turned this dance into a social dance when they got it. Their song for it is one of our songs telling of ‘Looking for water on the other side of a mountain’” (Songs, Dances, &amp; Ceremonies).  Archie Rogers, another Paiute elder, explains another version of a dance that tells the story of how coyote came to be: “One man used to go around pawing at the ground and acting like a Coyote now acts. As a result of this he turned into a Coyote. The Coyote dance is put on to tell how this happened” (Songs, Dances, &amp; </w:t>
      </w:r>
      <w:commentRangeStart w:id="34"/>
      <w:r w:rsidRPr="004E06DE">
        <w:t>Ceremonies</w:t>
      </w:r>
      <w:commentRangeEnd w:id="34"/>
      <w:r w:rsidRPr="004E06DE">
        <w:rPr>
          <w:rStyle w:val="CommentReference"/>
          <w:rFonts w:asciiTheme="minorHAnsi" w:eastAsiaTheme="minorHAnsi" w:hAnsiTheme="minorHAnsi" w:cstheme="minorBidi"/>
          <w:kern w:val="2"/>
          <w14:ligatures w14:val="standardContextual"/>
        </w:rPr>
        <w:commentReference w:id="34"/>
      </w:r>
      <w:r w:rsidRPr="004E06DE">
        <w:t>).</w:t>
      </w:r>
      <w:r w:rsidRPr="004E06DE">
        <w:rPr>
          <w:rStyle w:val="FootnoteReference"/>
          <w:rFonts w:eastAsiaTheme="majorEastAsia"/>
        </w:rPr>
        <w:footnoteReference w:id="55"/>
      </w:r>
      <w:r w:rsidRPr="004E06DE">
        <w:t xml:space="preserve">  In </w:t>
      </w:r>
      <w:r w:rsidRPr="004E06DE">
        <w:rPr>
          <w:i/>
          <w:iCs/>
        </w:rPr>
        <w:t>Boundaries Between: The Southern Paiutes, 1775-1995</w:t>
      </w:r>
      <w:r w:rsidRPr="004E06DE">
        <w:t>,</w:t>
      </w:r>
      <w:r w:rsidRPr="004E06DE">
        <w:rPr>
          <w:i/>
          <w:iCs/>
        </w:rPr>
        <w:t xml:space="preserve"> </w:t>
      </w:r>
      <w:r w:rsidRPr="004E06DE">
        <w:lastRenderedPageBreak/>
        <w:t>Martha C. Knack describes the Coyote Dance as a funereal ceremony that invokes the coyote in order to exile him and keep him away from the graves of the dead:</w:t>
      </w:r>
    </w:p>
    <w:p w14:paraId="1467CA4C" w14:textId="77777777" w:rsidR="00287C65" w:rsidRPr="004E06DE" w:rsidRDefault="00287C65" w:rsidP="00287C65">
      <w:pPr>
        <w:pStyle w:val="NormalWeb"/>
        <w:spacing w:before="0" w:beforeAutospacing="0" w:after="0" w:afterAutospacing="0" w:line="480" w:lineRule="auto"/>
        <w:ind w:left="720"/>
      </w:pPr>
      <w:r w:rsidRPr="004E06DE">
        <w:t xml:space="preserve">Kin and well-wishers from miles around came to [Paiute] funerals. By the turn of the century if not earlier, Paiutes at Moapa and Kaibab had adopted and modified the native southern California ceremony anthropologists call the Memorial Cry. Held a year of more after a death to give relatives a chance to collect food for visitors, who in turn brought gifts, the dead were honored and remembered, as a somewhat garbled newspaper account described, “with a mournful chant pouring from 300 aboriginal throats for two nights and one day, and the shuffling coyote dance in which that nocturnal prowler is banished to the barren lands.” (185). </w:t>
      </w:r>
    </w:p>
    <w:p w14:paraId="623BCE44" w14:textId="77777777" w:rsidR="00287C65" w:rsidRPr="004E06DE" w:rsidRDefault="00287C65" w:rsidP="00287C65">
      <w:pPr>
        <w:pStyle w:val="NormalWeb"/>
        <w:spacing w:before="0" w:beforeAutospacing="0" w:after="0" w:afterAutospacing="0" w:line="480" w:lineRule="auto"/>
        <w:ind w:firstLine="720"/>
      </w:pPr>
      <w:r w:rsidRPr="004E06DE">
        <w:t xml:space="preserve">The Winnemucca troupe’s performance of this dance probably resembled some composite of the above descriptions: a round dance in which the dancers swung their hanging arms, “pawing” at the ground like a coyote with another Coyote figure disrupting the dance for the sake of comedy. It is tantalizing to speculate what Winnemucca may have had in mind by including this dance. In the context of the martial and historical matter of the other tableaux, the Coyote Dance could be intended in its funeral function, commemorating the Paiute warriors lost in the Pyramid Lake Massacre (perhaps embodied as “The Wounded Warrior”) and denouncing further bloodshed by banishing the scavenging Coyote, a figure of hunger and opportunistic violence. Winnemucca Hopkins’s physical comedy would add levity as well as cultural clarity to the dance’s message. Pulling on the Coyote’s tail and exaggerating her strength so as to topple over </w:t>
      </w:r>
      <w:r w:rsidRPr="004E06DE">
        <w:lastRenderedPageBreak/>
        <w:t xml:space="preserve">comically turns the trickster’s antics back on him, provokes laughter from the audience and also clearly signals that the scavenger figure of hunger and deprivation has no place in the Paiutes’ and Nevadans’ joint future.    </w:t>
      </w:r>
    </w:p>
    <w:p w14:paraId="590CF3A6" w14:textId="77777777" w:rsidR="00693DD9" w:rsidRPr="004E06DE" w:rsidRDefault="00693DD9" w:rsidP="00693DD9">
      <w:pPr>
        <w:spacing w:line="480" w:lineRule="auto"/>
        <w:rPr>
          <w:rFonts w:ascii="Times New Roman" w:hAnsi="Times New Roman" w:cs="Times New Roman"/>
        </w:rPr>
      </w:pPr>
      <w:r>
        <w:rPr>
          <w:rFonts w:ascii="Times New Roman" w:hAnsi="Times New Roman" w:cs="Times New Roman"/>
        </w:rPr>
        <w:tab/>
      </w:r>
      <w:r w:rsidRPr="004E06DE">
        <w:rPr>
          <w:rFonts w:ascii="Times New Roman" w:hAnsi="Times New Roman" w:cs="Times New Roman"/>
          <w:color w:val="000000"/>
        </w:rPr>
        <w:t xml:space="preserve">Fifteen years later, </w:t>
      </w:r>
      <w:r w:rsidRPr="004E06DE">
        <w:rPr>
          <w:rFonts w:ascii="Times New Roman" w:hAnsi="Times New Roman" w:cs="Times New Roman"/>
        </w:rPr>
        <w:t xml:space="preserve">Winnemucca Hopkins returned to San Francisco. She traveled by steamer from Washington Territory to San Francisco in November 1879 to deliver a series of lectures. Her goal, as she told a reporter for the </w:t>
      </w:r>
      <w:r w:rsidRPr="004E06DE">
        <w:rPr>
          <w:rFonts w:ascii="Times New Roman" w:hAnsi="Times New Roman" w:cs="Times New Roman"/>
          <w:i/>
          <w:iCs/>
        </w:rPr>
        <w:t>Daily Alta California</w:t>
      </w:r>
      <w:r w:rsidRPr="004E06DE">
        <w:rPr>
          <w:rFonts w:ascii="Times New Roman" w:hAnsi="Times New Roman" w:cs="Times New Roman"/>
        </w:rPr>
        <w:t xml:space="preserve"> in interview, was to reveal to “white people…what the Indians have got to stand” (qtd. in Carpenter and Sorisio 85). As a young woman, she had helped translate her father’s lectures, but now for the first time she lectured by herself, telling the Paiutes’ history in her own words. Winnemucca Hopkins injected a characteristic humor into her 1879 lectures. Incorporating lessons she had learned in 1864, Winnemucca Hopkins used physical comedy in her </w:t>
      </w:r>
      <w:proofErr w:type="gramStart"/>
      <w:r w:rsidRPr="004E06DE">
        <w:rPr>
          <w:rFonts w:ascii="Times New Roman" w:hAnsi="Times New Roman" w:cs="Times New Roman"/>
        </w:rPr>
        <w:t>lectures</w:t>
      </w:r>
      <w:proofErr w:type="gramEnd"/>
      <w:r w:rsidRPr="004E06DE">
        <w:rPr>
          <w:rFonts w:ascii="Times New Roman" w:hAnsi="Times New Roman" w:cs="Times New Roman"/>
        </w:rPr>
        <w:t xml:space="preserve"> but she also included jokes </w:t>
      </w:r>
      <w:r w:rsidRPr="004E06DE">
        <w:rPr>
          <w:rFonts w:ascii="Times New Roman" w:hAnsi="Times New Roman" w:cs="Times New Roman"/>
          <w:i/>
          <w:iCs/>
        </w:rPr>
        <w:t xml:space="preserve">about </w:t>
      </w:r>
      <w:r w:rsidRPr="004E06DE">
        <w:rPr>
          <w:rFonts w:ascii="Times New Roman" w:hAnsi="Times New Roman" w:cs="Times New Roman"/>
        </w:rPr>
        <w:t>bodies. These jokes operate similarly to her physical comedy to engage non-Native audiences in the imaginative deconstruction of colonial maps—both maps of actual land and temporal maps of history—and in the constructive work of envisioning alternative narratives of space and people in their place.</w:t>
      </w:r>
    </w:p>
    <w:p w14:paraId="2B64ED6E" w14:textId="60EC1CB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br w:type="page"/>
      </w:r>
    </w:p>
    <w:p w14:paraId="59F56FEC" w14:textId="77777777" w:rsidR="00287C65" w:rsidRPr="004E06DE" w:rsidRDefault="00287C65" w:rsidP="00287C65">
      <w:pPr>
        <w:pStyle w:val="NormalWeb"/>
        <w:spacing w:before="0" w:beforeAutospacing="0" w:after="0" w:afterAutospacing="0" w:line="480" w:lineRule="auto"/>
        <w:ind w:firstLine="720"/>
        <w:jc w:val="center"/>
        <w:rPr>
          <w:color w:val="000000"/>
        </w:rPr>
      </w:pPr>
      <w:r w:rsidRPr="004E06DE">
        <w:rPr>
          <w:noProof/>
        </w:rPr>
        <w:lastRenderedPageBreak/>
        <w:drawing>
          <wp:inline distT="0" distB="0" distL="0" distR="0" wp14:anchorId="08DB0417" wp14:editId="5538A811">
            <wp:extent cx="4569143" cy="6092190"/>
            <wp:effectExtent l="0" t="0" r="3175" b="3810"/>
            <wp:docPr id="2064202635" name="Picture 1" descr="A drawing of men climbing on a b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202635" name="Picture 1" descr="A drawing of men climbing on a broom&#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573363" cy="6097816"/>
                    </a:xfrm>
                    <a:prstGeom prst="rect">
                      <a:avLst/>
                    </a:prstGeom>
                  </pic:spPr>
                </pic:pic>
              </a:graphicData>
            </a:graphic>
          </wp:inline>
        </w:drawing>
      </w:r>
      <w:r w:rsidRPr="004E06DE">
        <w:rPr>
          <w:noProof/>
        </w:rPr>
        <mc:AlternateContent>
          <mc:Choice Requires="wps">
            <w:drawing>
              <wp:inline distT="0" distB="0" distL="0" distR="0" wp14:anchorId="7994797A" wp14:editId="50052D56">
                <wp:extent cx="5943600" cy="635"/>
                <wp:effectExtent l="0" t="0" r="0" b="8255"/>
                <wp:docPr id="1381403258"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1EE3B234" w14:textId="77777777" w:rsidR="00287C65" w:rsidRPr="00693DD9" w:rsidRDefault="00287C65" w:rsidP="00287C65">
                            <w:pPr>
                              <w:pStyle w:val="Caption"/>
                              <w:jc w:val="center"/>
                              <w:rPr>
                                <w:rFonts w:ascii="Times New Roman" w:hAnsi="Times New Roman" w:cs="Times New Roman"/>
                                <w:i w:val="0"/>
                                <w:iCs w:val="0"/>
                                <w:color w:val="auto"/>
                                <w:sz w:val="24"/>
                                <w:szCs w:val="24"/>
                              </w:rPr>
                            </w:pPr>
                          </w:p>
                          <w:p w14:paraId="20384969" w14:textId="7ED3D13A" w:rsidR="00287C65" w:rsidRPr="00693DD9" w:rsidRDefault="00287C65" w:rsidP="00287C65">
                            <w:pPr>
                              <w:pStyle w:val="Caption"/>
                              <w:jc w:val="center"/>
                              <w:rPr>
                                <w:rFonts w:ascii="Times New Roman" w:eastAsia="Times New Roman" w:hAnsi="Times New Roman" w:cs="Times New Roman"/>
                                <w:i w:val="0"/>
                                <w:iCs w:val="0"/>
                                <w:noProof/>
                                <w:color w:val="auto"/>
                                <w:kern w:val="0"/>
                                <w:sz w:val="24"/>
                                <w:szCs w:val="24"/>
                                <w14:ligatures w14:val="none"/>
                              </w:rPr>
                            </w:pPr>
                            <w:bookmarkStart w:id="35" w:name="_Toc169278859"/>
                            <w:r w:rsidRPr="00693DD9">
                              <w:rPr>
                                <w:rFonts w:ascii="Times New Roman" w:hAnsi="Times New Roman" w:cs="Times New Roman"/>
                                <w:i w:val="0"/>
                                <w:iCs w:val="0"/>
                                <w:color w:val="auto"/>
                                <w:sz w:val="24"/>
                                <w:szCs w:val="24"/>
                              </w:rPr>
                              <w:t xml:space="preserve">Figure </w:t>
                            </w:r>
                            <w:r w:rsidRPr="00693DD9">
                              <w:rPr>
                                <w:rFonts w:ascii="Times New Roman" w:hAnsi="Times New Roman" w:cs="Times New Roman"/>
                                <w:i w:val="0"/>
                                <w:iCs w:val="0"/>
                                <w:color w:val="auto"/>
                                <w:sz w:val="24"/>
                                <w:szCs w:val="24"/>
                              </w:rPr>
                              <w:fldChar w:fldCharType="begin"/>
                            </w:r>
                            <w:r w:rsidRPr="00693DD9">
                              <w:rPr>
                                <w:rFonts w:ascii="Times New Roman" w:hAnsi="Times New Roman" w:cs="Times New Roman"/>
                                <w:i w:val="0"/>
                                <w:iCs w:val="0"/>
                                <w:color w:val="auto"/>
                                <w:sz w:val="24"/>
                                <w:szCs w:val="24"/>
                              </w:rPr>
                              <w:instrText xml:space="preserve"> SEQ Figure \* ARABIC </w:instrText>
                            </w:r>
                            <w:r w:rsidRPr="00693DD9">
                              <w:rPr>
                                <w:rFonts w:ascii="Times New Roman" w:hAnsi="Times New Roman" w:cs="Times New Roman"/>
                                <w:i w:val="0"/>
                                <w:iCs w:val="0"/>
                                <w:color w:val="auto"/>
                                <w:sz w:val="24"/>
                                <w:szCs w:val="24"/>
                              </w:rPr>
                              <w:fldChar w:fldCharType="separate"/>
                            </w:r>
                            <w:r w:rsidRPr="00693DD9">
                              <w:rPr>
                                <w:rFonts w:ascii="Times New Roman" w:hAnsi="Times New Roman" w:cs="Times New Roman"/>
                                <w:i w:val="0"/>
                                <w:iCs w:val="0"/>
                                <w:noProof/>
                                <w:color w:val="auto"/>
                                <w:sz w:val="24"/>
                                <w:szCs w:val="24"/>
                              </w:rPr>
                              <w:t>3</w:t>
                            </w:r>
                            <w:r w:rsidRPr="00693DD9">
                              <w:rPr>
                                <w:rFonts w:ascii="Times New Roman" w:hAnsi="Times New Roman" w:cs="Times New Roman"/>
                                <w:i w:val="0"/>
                                <w:iCs w:val="0"/>
                                <w:color w:val="auto"/>
                                <w:sz w:val="24"/>
                                <w:szCs w:val="24"/>
                              </w:rPr>
                              <w:fldChar w:fldCharType="end"/>
                            </w:r>
                            <w:r w:rsidRPr="00693DD9">
                              <w:rPr>
                                <w:rFonts w:ascii="Times New Roman" w:hAnsi="Times New Roman" w:cs="Times New Roman"/>
                                <w:i w:val="0"/>
                                <w:iCs w:val="0"/>
                                <w:color w:val="auto"/>
                                <w:sz w:val="24"/>
                                <w:szCs w:val="24"/>
                              </w:rPr>
                              <w:t xml:space="preserve">. Scenes of mining life in </w:t>
                            </w:r>
                            <w:r w:rsidRPr="00693DD9">
                              <w:rPr>
                                <w:rFonts w:ascii="Times New Roman" w:hAnsi="Times New Roman" w:cs="Times New Roman"/>
                                <w:color w:val="auto"/>
                                <w:sz w:val="24"/>
                                <w:szCs w:val="24"/>
                              </w:rPr>
                              <w:t>The Big Bonanza</w:t>
                            </w:r>
                            <w:r w:rsidRPr="00693DD9">
                              <w:rPr>
                                <w:rFonts w:ascii="Times New Roman" w:hAnsi="Times New Roman" w:cs="Times New Roman"/>
                                <w:i w:val="0"/>
                                <w:iCs w:val="0"/>
                                <w:color w:val="auto"/>
                                <w:sz w:val="24"/>
                                <w:szCs w:val="24"/>
                              </w:rPr>
                              <w:t>.</w:t>
                            </w:r>
                            <w:bookmarkEnd w:id="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7994797A" id="Text Box 1" o:spid="_x0000_s1028" type="#_x0000_t202"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" stroked="f">
                <v:textbox style="mso-fit-shape-to-text:t" inset="0,0,0,0">
                  <w:txbxContent>
                    <w:p w14:paraId="1EE3B234" w14:textId="77777777" w:rsidR="00287C65" w:rsidRPr="00693DD9" w:rsidRDefault="00287C65" w:rsidP="00287C65">
                      <w:pPr>
                        <w:pStyle w:val="Caption"/>
                        <w:jc w:val="center"/>
                        <w:rPr>
                          <w:rFonts w:ascii="Times New Roman" w:hAnsi="Times New Roman" w:cs="Times New Roman"/>
                          <w:i w:val="0"/>
                          <w:iCs w:val="0"/>
                          <w:color w:val="auto"/>
                          <w:sz w:val="24"/>
                          <w:szCs w:val="24"/>
                        </w:rPr>
                      </w:pPr>
                    </w:p>
                    <w:p w14:paraId="20384969" w14:textId="7ED3D13A" w:rsidR="00287C65" w:rsidRPr="00693DD9" w:rsidRDefault="00287C65" w:rsidP="00287C65">
                      <w:pPr>
                        <w:pStyle w:val="Caption"/>
                        <w:jc w:val="center"/>
                        <w:rPr>
                          <w:rFonts w:ascii="Times New Roman" w:eastAsia="Times New Roman" w:hAnsi="Times New Roman" w:cs="Times New Roman"/>
                          <w:i w:val="0"/>
                          <w:iCs w:val="0"/>
                          <w:noProof/>
                          <w:color w:val="auto"/>
                          <w:kern w:val="0"/>
                          <w:sz w:val="24"/>
                          <w:szCs w:val="24"/>
                          <w14:ligatures w14:val="none"/>
                        </w:rPr>
                      </w:pPr>
                      <w:bookmarkStart w:id="36" w:name="_Toc169278859"/>
                      <w:r w:rsidRPr="00693DD9">
                        <w:rPr>
                          <w:rFonts w:ascii="Times New Roman" w:hAnsi="Times New Roman" w:cs="Times New Roman"/>
                          <w:i w:val="0"/>
                          <w:iCs w:val="0"/>
                          <w:color w:val="auto"/>
                          <w:sz w:val="24"/>
                          <w:szCs w:val="24"/>
                        </w:rPr>
                        <w:t xml:space="preserve">Figure </w:t>
                      </w:r>
                      <w:r w:rsidRPr="00693DD9">
                        <w:rPr>
                          <w:rFonts w:ascii="Times New Roman" w:hAnsi="Times New Roman" w:cs="Times New Roman"/>
                          <w:i w:val="0"/>
                          <w:iCs w:val="0"/>
                          <w:color w:val="auto"/>
                          <w:sz w:val="24"/>
                          <w:szCs w:val="24"/>
                        </w:rPr>
                        <w:fldChar w:fldCharType="begin"/>
                      </w:r>
                      <w:r w:rsidRPr="00693DD9">
                        <w:rPr>
                          <w:rFonts w:ascii="Times New Roman" w:hAnsi="Times New Roman" w:cs="Times New Roman"/>
                          <w:i w:val="0"/>
                          <w:iCs w:val="0"/>
                          <w:color w:val="auto"/>
                          <w:sz w:val="24"/>
                          <w:szCs w:val="24"/>
                        </w:rPr>
                        <w:instrText xml:space="preserve"> SEQ Figure \* ARABIC </w:instrText>
                      </w:r>
                      <w:r w:rsidRPr="00693DD9">
                        <w:rPr>
                          <w:rFonts w:ascii="Times New Roman" w:hAnsi="Times New Roman" w:cs="Times New Roman"/>
                          <w:i w:val="0"/>
                          <w:iCs w:val="0"/>
                          <w:color w:val="auto"/>
                          <w:sz w:val="24"/>
                          <w:szCs w:val="24"/>
                        </w:rPr>
                        <w:fldChar w:fldCharType="separate"/>
                      </w:r>
                      <w:r w:rsidRPr="00693DD9">
                        <w:rPr>
                          <w:rFonts w:ascii="Times New Roman" w:hAnsi="Times New Roman" w:cs="Times New Roman"/>
                          <w:i w:val="0"/>
                          <w:iCs w:val="0"/>
                          <w:noProof/>
                          <w:color w:val="auto"/>
                          <w:sz w:val="24"/>
                          <w:szCs w:val="24"/>
                        </w:rPr>
                        <w:t>3</w:t>
                      </w:r>
                      <w:r w:rsidRPr="00693DD9">
                        <w:rPr>
                          <w:rFonts w:ascii="Times New Roman" w:hAnsi="Times New Roman" w:cs="Times New Roman"/>
                          <w:i w:val="0"/>
                          <w:iCs w:val="0"/>
                          <w:color w:val="auto"/>
                          <w:sz w:val="24"/>
                          <w:szCs w:val="24"/>
                        </w:rPr>
                        <w:fldChar w:fldCharType="end"/>
                      </w:r>
                      <w:r w:rsidRPr="00693DD9">
                        <w:rPr>
                          <w:rFonts w:ascii="Times New Roman" w:hAnsi="Times New Roman" w:cs="Times New Roman"/>
                          <w:i w:val="0"/>
                          <w:iCs w:val="0"/>
                          <w:color w:val="auto"/>
                          <w:sz w:val="24"/>
                          <w:szCs w:val="24"/>
                        </w:rPr>
                        <w:t xml:space="preserve">. Scenes of mining life in </w:t>
                      </w:r>
                      <w:r w:rsidRPr="00693DD9">
                        <w:rPr>
                          <w:rFonts w:ascii="Times New Roman" w:hAnsi="Times New Roman" w:cs="Times New Roman"/>
                          <w:color w:val="auto"/>
                          <w:sz w:val="24"/>
                          <w:szCs w:val="24"/>
                        </w:rPr>
                        <w:t>The Big Bonanza</w:t>
                      </w:r>
                      <w:r w:rsidRPr="00693DD9">
                        <w:rPr>
                          <w:rFonts w:ascii="Times New Roman" w:hAnsi="Times New Roman" w:cs="Times New Roman"/>
                          <w:i w:val="0"/>
                          <w:iCs w:val="0"/>
                          <w:color w:val="auto"/>
                          <w:sz w:val="24"/>
                          <w:szCs w:val="24"/>
                        </w:rPr>
                        <w:t>.</w:t>
                      </w:r>
                      <w:bookmarkEnd w:id="36"/>
                    </w:p>
                  </w:txbxContent>
                </v:textbox>
                <w10:anchorlock/>
              </v:shape>
            </w:pict>
          </mc:Fallback>
        </mc:AlternateContent>
      </w:r>
    </w:p>
    <w:p w14:paraId="37D39E35" w14:textId="31E51C24"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color w:val="000000"/>
        </w:rPr>
        <w:tab/>
      </w:r>
    </w:p>
    <w:p w14:paraId="4C691931" w14:textId="77777777" w:rsidR="00287C65" w:rsidRPr="004E06DE" w:rsidRDefault="00287C65" w:rsidP="00287C65">
      <w:pPr>
        <w:autoSpaceDE w:val="0"/>
        <w:autoSpaceDN w:val="0"/>
        <w:adjustRightInd w:val="0"/>
        <w:spacing w:line="480" w:lineRule="auto"/>
        <w:rPr>
          <w:rFonts w:ascii="Times New Roman" w:hAnsi="Times New Roman" w:cs="Times New Roman"/>
        </w:rPr>
      </w:pPr>
      <w:r w:rsidRPr="004E06DE">
        <w:rPr>
          <w:rFonts w:ascii="Times New Roman" w:hAnsi="Times New Roman" w:cs="Times New Roman"/>
        </w:rPr>
        <w:lastRenderedPageBreak/>
        <w:tab/>
        <w:t>One such joke I call Winnemucca Hopkins’s “Clayton’s Body” anecdote. Winnemucca Hopkins delivers the joke as a punchline of sorts to her narrative about the origins of the Pyramid Lake War. Narrating the beginning of hostilities, Winnemucca Hopkins is reported to say:</w:t>
      </w:r>
    </w:p>
    <w:p w14:paraId="2CD4DD99" w14:textId="77777777" w:rsidR="00287C65" w:rsidRPr="004E06DE" w:rsidRDefault="00287C65" w:rsidP="00287C65">
      <w:pPr>
        <w:autoSpaceDE w:val="0"/>
        <w:autoSpaceDN w:val="0"/>
        <w:adjustRightInd w:val="0"/>
        <w:spacing w:line="480" w:lineRule="auto"/>
        <w:ind w:left="720"/>
        <w:rPr>
          <w:rFonts w:ascii="Times New Roman" w:hAnsi="Times New Roman" w:cs="Times New Roman"/>
        </w:rPr>
      </w:pPr>
      <w:r w:rsidRPr="004E06DE">
        <w:rPr>
          <w:rFonts w:ascii="Times New Roman" w:hAnsi="Times New Roman" w:cs="Times New Roman"/>
        </w:rPr>
        <w:t xml:space="preserve">Soldiers came, and the Indians had to fight the white men. I have come here to lay down the facts, good or bad, </w:t>
      </w:r>
      <w:proofErr w:type="gramStart"/>
      <w:r w:rsidRPr="004E06DE">
        <w:rPr>
          <w:rFonts w:ascii="Times New Roman" w:hAnsi="Times New Roman" w:cs="Times New Roman"/>
        </w:rPr>
        <w:t>in</w:t>
      </w:r>
      <w:proofErr w:type="gramEnd"/>
      <w:r w:rsidRPr="004E06DE">
        <w:rPr>
          <w:rFonts w:ascii="Times New Roman" w:hAnsi="Times New Roman" w:cs="Times New Roman"/>
        </w:rPr>
        <w:t xml:space="preserve"> behalf of my people. But people say of the Indians, ‘Exterminate them! exterminate them!’ My friends, they would not say this of the Chinamen or the negro. When the soldiers came, all was trouble. There was one good man named Clayton, who came among us, and brought goods and beads and handkerchiefs. We learned to love that man. When the fighting </w:t>
      </w:r>
      <w:proofErr w:type="gramStart"/>
      <w:r w:rsidRPr="004E06DE">
        <w:rPr>
          <w:rFonts w:ascii="Times New Roman" w:hAnsi="Times New Roman" w:cs="Times New Roman"/>
        </w:rPr>
        <w:t>commenced</w:t>
      </w:r>
      <w:proofErr w:type="gramEnd"/>
      <w:r w:rsidRPr="004E06DE">
        <w:rPr>
          <w:rFonts w:ascii="Times New Roman" w:hAnsi="Times New Roman" w:cs="Times New Roman"/>
        </w:rPr>
        <w:t xml:space="preserve"> he said to my brother, Natchez, ‘Be merciful unto me, Natchez; save my life.’ My brother said: ‘It is almost too late. But I will fire over your </w:t>
      </w:r>
      <w:proofErr w:type="gramStart"/>
      <w:r w:rsidRPr="004E06DE">
        <w:rPr>
          <w:rFonts w:ascii="Times New Roman" w:hAnsi="Times New Roman" w:cs="Times New Roman"/>
        </w:rPr>
        <w:t>head</w:t>
      </w:r>
      <w:proofErr w:type="gramEnd"/>
      <w:r w:rsidRPr="004E06DE">
        <w:rPr>
          <w:rFonts w:ascii="Times New Roman" w:hAnsi="Times New Roman" w:cs="Times New Roman"/>
        </w:rPr>
        <w:t xml:space="preserve"> and you can roll down the hill, and the Indians will think you are dead.’ But he was too late, and the Indians killed Clayton. He taught us English. He did roll down the hill, and his bones lie there rotting. (92)   </w:t>
      </w:r>
    </w:p>
    <w:p w14:paraId="018F6C54" w14:textId="77777777" w:rsidR="00287C65" w:rsidRPr="004E06DE" w:rsidRDefault="00287C65" w:rsidP="00287C65">
      <w:pPr>
        <w:autoSpaceDE w:val="0"/>
        <w:autoSpaceDN w:val="0"/>
        <w:adjustRightInd w:val="0"/>
        <w:spacing w:line="480" w:lineRule="auto"/>
        <w:rPr>
          <w:rFonts w:ascii="Times New Roman" w:hAnsi="Times New Roman" w:cs="Times New Roman"/>
        </w:rPr>
      </w:pPr>
      <w:r w:rsidRPr="004E06DE">
        <w:rPr>
          <w:rFonts w:ascii="Times New Roman" w:hAnsi="Times New Roman" w:cs="Times New Roman"/>
        </w:rPr>
        <w:t xml:space="preserve">The humorous spectacle of Clayton’s lifeless body rolling down the hill anyway is one of the darkest examples of Winnemucca Hopkins’s humor available in the archive and also one of the most interesting because of its ambivalence. Typically, Winnemucca Hopkins’s humor takes aim at the reservation system, its agents, or at her audience. However, in this anecdote, the joke seems to be on Clayton, an individual unknown to the </w:t>
      </w:r>
      <w:r w:rsidRPr="004E06DE">
        <w:rPr>
          <w:rFonts w:ascii="Times New Roman" w:hAnsi="Times New Roman" w:cs="Times New Roman"/>
        </w:rPr>
        <w:lastRenderedPageBreak/>
        <w:t xml:space="preserve">audience and peripheral to the greater story Winnemucca Hopkins tells of </w:t>
      </w:r>
      <w:proofErr w:type="gramStart"/>
      <w:r w:rsidRPr="004E06DE">
        <w:rPr>
          <w:rFonts w:ascii="Times New Roman" w:hAnsi="Times New Roman" w:cs="Times New Roman"/>
        </w:rPr>
        <w:t>Paiute</w:t>
      </w:r>
      <w:proofErr w:type="gramEnd"/>
      <w:r w:rsidRPr="004E06DE">
        <w:rPr>
          <w:rFonts w:ascii="Times New Roman" w:hAnsi="Times New Roman" w:cs="Times New Roman"/>
        </w:rPr>
        <w:t xml:space="preserve">-white encounter. </w:t>
      </w:r>
    </w:p>
    <w:p w14:paraId="763B7CFF" w14:textId="77777777" w:rsidR="00287C65" w:rsidRPr="004E06DE" w:rsidRDefault="00287C65" w:rsidP="00287C65">
      <w:pPr>
        <w:autoSpaceDE w:val="0"/>
        <w:autoSpaceDN w:val="0"/>
        <w:adjustRightInd w:val="0"/>
        <w:spacing w:line="480" w:lineRule="auto"/>
        <w:rPr>
          <w:rFonts w:ascii="Times New Roman" w:hAnsi="Times New Roman" w:cs="Times New Roman"/>
        </w:rPr>
      </w:pPr>
      <w:r w:rsidRPr="004E06DE">
        <w:rPr>
          <w:rFonts w:ascii="Times New Roman" w:hAnsi="Times New Roman" w:cs="Times New Roman"/>
        </w:rPr>
        <w:tab/>
        <w:t xml:space="preserve">Functionally, the joke seems to align with dark humor’s faculty as a “coping” mechanism. As Uğur Ümit </w:t>
      </w:r>
      <w:proofErr w:type="spellStart"/>
      <w:r w:rsidRPr="004E06DE">
        <w:rPr>
          <w:rFonts w:ascii="Times New Roman" w:hAnsi="Times New Roman" w:cs="Times New Roman"/>
        </w:rPr>
        <w:t>Üngör</w:t>
      </w:r>
      <w:proofErr w:type="spellEnd"/>
      <w:r w:rsidRPr="004E06DE">
        <w:rPr>
          <w:rFonts w:ascii="Times New Roman" w:hAnsi="Times New Roman" w:cs="Times New Roman"/>
        </w:rPr>
        <w:t xml:space="preserve"> and Valerie Amandine </w:t>
      </w:r>
      <w:proofErr w:type="spellStart"/>
      <w:r w:rsidRPr="004E06DE">
        <w:rPr>
          <w:rFonts w:ascii="Times New Roman" w:hAnsi="Times New Roman" w:cs="Times New Roman"/>
        </w:rPr>
        <w:t>Verkerke</w:t>
      </w:r>
      <w:proofErr w:type="spellEnd"/>
      <w:r w:rsidRPr="004E06DE">
        <w:rPr>
          <w:rFonts w:ascii="Times New Roman" w:hAnsi="Times New Roman" w:cs="Times New Roman"/>
        </w:rPr>
        <w:t xml:space="preserve"> explain in their essay on “genocide humor,” dark humor offers groups targeted with genocide “a reduction </w:t>
      </w:r>
      <w:proofErr w:type="gramStart"/>
      <w:r w:rsidRPr="004E06DE">
        <w:rPr>
          <w:rFonts w:ascii="Times New Roman" w:hAnsi="Times New Roman" w:cs="Times New Roman"/>
        </w:rPr>
        <w:t>of, or</w:t>
      </w:r>
      <w:proofErr w:type="gramEnd"/>
      <w:r w:rsidRPr="004E06DE">
        <w:rPr>
          <w:rFonts w:ascii="Times New Roman" w:hAnsi="Times New Roman" w:cs="Times New Roman"/>
        </w:rPr>
        <w:t xml:space="preserve"> escape from pain” via a redirection of emotional or psychic energy away from “negative feelings of pain and sorrow” and toward sarcasm, irony, and laughter (83). This helps explain the oddly eulogistic tone of Winnemucca Hopkins’s joke. Perhaps Clayton condenses all the senselessness and loss of life the Northern Paiutes experienced during the Pyramid Lake War, the Bannock War, and the tragic march to Yakama, despite not being a Paiute himself. Winnemucca Hopkins’s dark joke “dispels” her grief (83). </w:t>
      </w:r>
    </w:p>
    <w:p w14:paraId="63374277" w14:textId="77777777" w:rsidR="00287C65" w:rsidRPr="004E06DE" w:rsidRDefault="00287C65" w:rsidP="00287C65">
      <w:pPr>
        <w:autoSpaceDE w:val="0"/>
        <w:autoSpaceDN w:val="0"/>
        <w:adjustRightInd w:val="0"/>
        <w:spacing w:line="480" w:lineRule="auto"/>
        <w:rPr>
          <w:rFonts w:ascii="Times New Roman" w:hAnsi="Times New Roman" w:cs="Times New Roman"/>
        </w:rPr>
      </w:pPr>
      <w:r w:rsidRPr="004E06DE">
        <w:rPr>
          <w:rFonts w:ascii="Times New Roman" w:hAnsi="Times New Roman" w:cs="Times New Roman"/>
        </w:rPr>
        <w:tab/>
        <w:t xml:space="preserve">However, I argue that Winnemucca Hopkins uses the Clayton’s Body anecdote in order to amplify the tragedy and senselessness of violence not in the service of eulogy or grieving but to hopefully imagine otherwise. Clayton is both a cautionary tale and an aspirational figure. In her 1879 lectures, Winnemucca Hopkins continues to talk about her efforts to temper other Paiute bands’ desire for vengeance against white settlers. She warns them they “must not condemn the whole white race because they do wrong to a few [Paiute] women. Sometimes you kill innocent people” (qtd. in Carpenter and Sorisio 92). Clayton is one such innocent person, a non-Native non-combatant whom the Paiutes “learned to love” and whose behavior signaled his respect for the Paiutes. His death is darkly ironic but nonsensical, an accident rather than a tactical victory, and thus symbolic </w:t>
      </w:r>
      <w:r w:rsidRPr="004E06DE">
        <w:rPr>
          <w:rFonts w:ascii="Times New Roman" w:hAnsi="Times New Roman" w:cs="Times New Roman"/>
        </w:rPr>
        <w:lastRenderedPageBreak/>
        <w:t>of war’s ultimate wastefulness. Clayton also represents Winnemucca Hopkins’s feeling, expressed in her lecture, that “If only [whites] could only know our feelings…they would call us their neighbors” and therefore abide by the Biblical dictum to love your neighbor as yourself (92). Though couched as a message of regret, the call to neighborliness and community in Winnemucca Hopkins’s use of the optative sense is clear.</w:t>
      </w:r>
    </w:p>
    <w:p w14:paraId="59FDAFF6" w14:textId="77777777" w:rsidR="00287C65" w:rsidRPr="004E06DE" w:rsidRDefault="00287C65" w:rsidP="00287C65">
      <w:pPr>
        <w:autoSpaceDE w:val="0"/>
        <w:autoSpaceDN w:val="0"/>
        <w:adjustRightInd w:val="0"/>
        <w:spacing w:line="480" w:lineRule="auto"/>
        <w:rPr>
          <w:rFonts w:ascii="Times New Roman" w:hAnsi="Times New Roman" w:cs="Times New Roman"/>
        </w:rPr>
      </w:pPr>
      <w:r w:rsidRPr="004E06DE">
        <w:rPr>
          <w:rFonts w:ascii="Times New Roman" w:hAnsi="Times New Roman" w:cs="Times New Roman"/>
        </w:rPr>
        <w:tab/>
        <w:t xml:space="preserve">Unlike many of the other instances of humor from her lectures, the Clayton’s Body anecdote does not make it into </w:t>
      </w:r>
      <w:r w:rsidRPr="004E06DE">
        <w:rPr>
          <w:rFonts w:ascii="Times New Roman" w:hAnsi="Times New Roman" w:cs="Times New Roman"/>
          <w:i/>
          <w:iCs/>
        </w:rPr>
        <w:t>Life Among the Piutes</w:t>
      </w:r>
      <w:r w:rsidRPr="004E06DE">
        <w:rPr>
          <w:rFonts w:ascii="Times New Roman" w:hAnsi="Times New Roman" w:cs="Times New Roman"/>
        </w:rPr>
        <w:t xml:space="preserve">. However, Winnemucca Hopkins does include a version of the story in her book to tell the death of Major Ormsby, a local non-Native politician and militia leader. In </w:t>
      </w:r>
      <w:r w:rsidRPr="004E06DE">
        <w:rPr>
          <w:rFonts w:ascii="Times New Roman" w:hAnsi="Times New Roman" w:cs="Times New Roman"/>
          <w:i/>
          <w:iCs/>
        </w:rPr>
        <w:t>Life</w:t>
      </w:r>
      <w:r w:rsidRPr="004E06DE">
        <w:rPr>
          <w:rFonts w:ascii="Times New Roman" w:hAnsi="Times New Roman" w:cs="Times New Roman"/>
        </w:rPr>
        <w:t xml:space="preserve">, she writes: </w:t>
      </w:r>
    </w:p>
    <w:p w14:paraId="638CA3F2" w14:textId="77777777" w:rsidR="00287C65" w:rsidRPr="004E06DE" w:rsidRDefault="00287C65" w:rsidP="00287C65">
      <w:pPr>
        <w:autoSpaceDE w:val="0"/>
        <w:autoSpaceDN w:val="0"/>
        <w:adjustRightInd w:val="0"/>
        <w:spacing w:line="480" w:lineRule="auto"/>
        <w:ind w:left="720"/>
        <w:rPr>
          <w:rFonts w:ascii="Times New Roman" w:hAnsi="Times New Roman" w:cs="Times New Roman"/>
        </w:rPr>
      </w:pPr>
      <w:r w:rsidRPr="004E06DE">
        <w:rPr>
          <w:rFonts w:ascii="Times New Roman" w:hAnsi="Times New Roman" w:cs="Times New Roman"/>
        </w:rPr>
        <w:t xml:space="preserve">And </w:t>
      </w:r>
      <w:proofErr w:type="gramStart"/>
      <w:r w:rsidRPr="004E06DE">
        <w:rPr>
          <w:rFonts w:ascii="Times New Roman" w:hAnsi="Times New Roman" w:cs="Times New Roman"/>
        </w:rPr>
        <w:t>so</w:t>
      </w:r>
      <w:proofErr w:type="gramEnd"/>
      <w:r w:rsidRPr="004E06DE">
        <w:rPr>
          <w:rFonts w:ascii="Times New Roman" w:hAnsi="Times New Roman" w:cs="Times New Roman"/>
        </w:rPr>
        <w:t xml:space="preserve"> the war began. It lasted about three months, and after a few precious ones of my people, and at least a hundred white men had been killed (amongst them our dear friend, Major </w:t>
      </w:r>
      <w:proofErr w:type="spellStart"/>
      <w:r w:rsidRPr="004E06DE">
        <w:rPr>
          <w:rFonts w:ascii="Times New Roman" w:hAnsi="Times New Roman" w:cs="Times New Roman"/>
        </w:rPr>
        <w:t>Ormsbey</w:t>
      </w:r>
      <w:proofErr w:type="spellEnd"/>
      <w:r w:rsidRPr="004E06DE">
        <w:rPr>
          <w:rFonts w:ascii="Times New Roman" w:hAnsi="Times New Roman" w:cs="Times New Roman"/>
        </w:rPr>
        <w:t xml:space="preserve"> [sic], who had been so hasty), a peace was made. My brother had tried to save Major </w:t>
      </w:r>
      <w:proofErr w:type="spellStart"/>
      <w:r w:rsidRPr="004E06DE">
        <w:rPr>
          <w:rFonts w:ascii="Times New Roman" w:hAnsi="Times New Roman" w:cs="Times New Roman"/>
        </w:rPr>
        <w:t>Ormsbey's</w:t>
      </w:r>
      <w:proofErr w:type="spellEnd"/>
      <w:r w:rsidRPr="004E06DE">
        <w:rPr>
          <w:rFonts w:ascii="Times New Roman" w:hAnsi="Times New Roman" w:cs="Times New Roman"/>
        </w:rPr>
        <w:t xml:space="preserve"> life. He met him in the fight, and as he was ahead of the other Indians, Major </w:t>
      </w:r>
      <w:proofErr w:type="spellStart"/>
      <w:r w:rsidRPr="004E06DE">
        <w:rPr>
          <w:rFonts w:ascii="Times New Roman" w:hAnsi="Times New Roman" w:cs="Times New Roman"/>
        </w:rPr>
        <w:t>Ormsbey</w:t>
      </w:r>
      <w:proofErr w:type="spellEnd"/>
      <w:r w:rsidRPr="004E06DE">
        <w:rPr>
          <w:rFonts w:ascii="Times New Roman" w:hAnsi="Times New Roman" w:cs="Times New Roman"/>
        </w:rPr>
        <w:t xml:space="preserve"> threw down his arms, and implored him not to kill him. There was not a moment to be lost. My brother said, – "Drop down as if dead when I shoot, and I will fire over you;” but in the hurry and agitation he still stood </w:t>
      </w:r>
      <w:proofErr w:type="gramStart"/>
      <w:r w:rsidRPr="004E06DE">
        <w:rPr>
          <w:rFonts w:ascii="Times New Roman" w:hAnsi="Times New Roman" w:cs="Times New Roman"/>
        </w:rPr>
        <w:t>pleading, and</w:t>
      </w:r>
      <w:proofErr w:type="gramEnd"/>
      <w:r w:rsidRPr="004E06DE">
        <w:rPr>
          <w:rFonts w:ascii="Times New Roman" w:hAnsi="Times New Roman" w:cs="Times New Roman"/>
        </w:rPr>
        <w:t xml:space="preserve"> was killed by another man's shot. (72)</w:t>
      </w:r>
    </w:p>
    <w:p w14:paraId="6481DA36" w14:textId="77777777" w:rsidR="00287C65" w:rsidRPr="004E06DE" w:rsidRDefault="00287C65" w:rsidP="00287C65">
      <w:pPr>
        <w:autoSpaceDE w:val="0"/>
        <w:autoSpaceDN w:val="0"/>
        <w:adjustRightInd w:val="0"/>
        <w:spacing w:line="480" w:lineRule="auto"/>
        <w:rPr>
          <w:rFonts w:ascii="Times New Roman" w:hAnsi="Times New Roman" w:cs="Times New Roman"/>
        </w:rPr>
      </w:pPr>
      <w:r w:rsidRPr="004E06DE">
        <w:rPr>
          <w:rFonts w:ascii="Times New Roman" w:hAnsi="Times New Roman" w:cs="Times New Roman"/>
        </w:rPr>
        <w:t xml:space="preserve">It is likely that this is actually how Major Ormsby died; Winnemucca Hopkins’s story is corroborated by Nevada historian Myron Angel in his 1881 </w:t>
      </w:r>
      <w:r w:rsidRPr="004E06DE">
        <w:rPr>
          <w:rFonts w:ascii="Times New Roman" w:hAnsi="Times New Roman" w:cs="Times New Roman"/>
          <w:i/>
          <w:iCs/>
        </w:rPr>
        <w:t>History of Nevada</w:t>
      </w:r>
      <w:r w:rsidRPr="004E06DE">
        <w:rPr>
          <w:rFonts w:ascii="Times New Roman" w:hAnsi="Times New Roman" w:cs="Times New Roman"/>
        </w:rPr>
        <w:t xml:space="preserve">, where he includes the testimony of other Native and non-Native witnesses to the event (157). It is unclear why Winnemucca Hopkins initially attributed Ormsby’s death to the man </w:t>
      </w:r>
      <w:r w:rsidRPr="004E06DE">
        <w:rPr>
          <w:rFonts w:ascii="Times New Roman" w:hAnsi="Times New Roman" w:cs="Times New Roman"/>
        </w:rPr>
        <w:lastRenderedPageBreak/>
        <w:t xml:space="preserve">Clayton, who does not appear in </w:t>
      </w:r>
      <w:r w:rsidRPr="004E06DE">
        <w:rPr>
          <w:rFonts w:ascii="Times New Roman" w:hAnsi="Times New Roman" w:cs="Times New Roman"/>
          <w:i/>
          <w:iCs/>
        </w:rPr>
        <w:t xml:space="preserve">Life </w:t>
      </w:r>
      <w:r w:rsidRPr="004E06DE">
        <w:rPr>
          <w:rFonts w:ascii="Times New Roman" w:hAnsi="Times New Roman" w:cs="Times New Roman"/>
        </w:rPr>
        <w:t xml:space="preserve">in any capacity. Interestingly, Winnemucca Hopkins attests in </w:t>
      </w:r>
      <w:r w:rsidRPr="004E06DE">
        <w:rPr>
          <w:rFonts w:ascii="Times New Roman" w:hAnsi="Times New Roman" w:cs="Times New Roman"/>
          <w:i/>
          <w:iCs/>
        </w:rPr>
        <w:t xml:space="preserve">Life </w:t>
      </w:r>
      <w:r w:rsidRPr="004E06DE">
        <w:rPr>
          <w:rFonts w:ascii="Times New Roman" w:hAnsi="Times New Roman" w:cs="Times New Roman"/>
        </w:rPr>
        <w:t xml:space="preserve">that she and her sister learned English while living with “our friend” Major Ormsby and his family, which in her lecture she attributes to Clayton (59; Zanjani 46). Winnemucca Hopkins presents Ormsby as a beneficent figure similar to Clayton, except that her reminiscences of her time with the Ormsby family in </w:t>
      </w:r>
      <w:r w:rsidRPr="004E06DE">
        <w:rPr>
          <w:rFonts w:ascii="Times New Roman" w:hAnsi="Times New Roman" w:cs="Times New Roman"/>
          <w:i/>
          <w:iCs/>
        </w:rPr>
        <w:t xml:space="preserve">Life </w:t>
      </w:r>
      <w:r w:rsidRPr="004E06DE">
        <w:rPr>
          <w:rFonts w:ascii="Times New Roman" w:hAnsi="Times New Roman" w:cs="Times New Roman"/>
        </w:rPr>
        <w:t xml:space="preserve">have a very assimilative flavor that is absent from the version of the story featuring Clayton. Clayton enters Paiute space as a cultural emissary, offers goods and knowledge, and earns the people’s respect. Conversely, Winnemucca Hopkins’s family sent her and one of her sisters to live with the </w:t>
      </w:r>
      <w:proofErr w:type="spellStart"/>
      <w:r w:rsidRPr="004E06DE">
        <w:rPr>
          <w:rFonts w:ascii="Times New Roman" w:hAnsi="Times New Roman" w:cs="Times New Roman"/>
        </w:rPr>
        <w:t>Ormsbys</w:t>
      </w:r>
      <w:proofErr w:type="spellEnd"/>
      <w:r w:rsidRPr="004E06DE">
        <w:rPr>
          <w:rFonts w:ascii="Times New Roman" w:hAnsi="Times New Roman" w:cs="Times New Roman"/>
        </w:rPr>
        <w:t xml:space="preserve"> as children in order to work as servants in exchange for English language lessons (Canfield 11, Zanjani 46). Whatever the motivation for altering Ormsby’s identity for her lecture, Clayton’s death strikes a much more sympathetic chord than Ormsby’s and better serves to support her call to neighborliness and mutual understanding.</w:t>
      </w:r>
    </w:p>
    <w:p w14:paraId="649D27F3" w14:textId="77777777" w:rsidR="00287C65" w:rsidRPr="004E06DE" w:rsidRDefault="00287C65" w:rsidP="00287C65">
      <w:pPr>
        <w:autoSpaceDE w:val="0"/>
        <w:autoSpaceDN w:val="0"/>
        <w:adjustRightInd w:val="0"/>
        <w:spacing w:line="480" w:lineRule="auto"/>
        <w:ind w:firstLine="720"/>
        <w:rPr>
          <w:rFonts w:ascii="Times New Roman" w:hAnsi="Times New Roman" w:cs="Times New Roman"/>
        </w:rPr>
      </w:pPr>
      <w:r w:rsidRPr="004E06DE">
        <w:rPr>
          <w:rFonts w:ascii="Times New Roman" w:hAnsi="Times New Roman" w:cs="Times New Roman"/>
        </w:rPr>
        <w:t xml:space="preserve">In another lecture at San Fransisco’s Platt’s Hall two nights later, a correspondent for the </w:t>
      </w:r>
      <w:r w:rsidRPr="004E06DE">
        <w:rPr>
          <w:rFonts w:ascii="Times New Roman" w:hAnsi="Times New Roman" w:cs="Times New Roman"/>
          <w:i/>
          <w:iCs/>
        </w:rPr>
        <w:t xml:space="preserve">San Fransisco Chronicle </w:t>
      </w:r>
      <w:r w:rsidRPr="004E06DE">
        <w:rPr>
          <w:rFonts w:ascii="Times New Roman" w:hAnsi="Times New Roman" w:cs="Times New Roman"/>
        </w:rPr>
        <w:t xml:space="preserve">noted that Winnemucca Hopkins “wound up her summary of [Indian Agent] Mr. Rinehart’s character with a bit of mischievous sarcasm that brought down the house” (qtd. in Carpenter and Sorisio 97). William Rinehart, agent of the Malheur Indian Reservation from 1876-1882, was the frequent butt of Winnemucca Hopkins’s humor in her lectures. Her jokes against Rinehart took many forms, including sarcastic, intellectual humor as well as physical comedy. As discussed in Chapter 1, sarcasm is an unreliable rhetorical tool, liable to outrage as easily as entertain. </w:t>
      </w:r>
      <w:r w:rsidRPr="004E06DE">
        <w:rPr>
          <w:rFonts w:ascii="Times New Roman" w:hAnsi="Times New Roman" w:cs="Times New Roman"/>
        </w:rPr>
        <w:lastRenderedPageBreak/>
        <w:t>Moreover, it cut against non-Native notions of natural Native eloquence and was therefore equally capable of lowering white audiences’ guard by taking them by surprise or simply going over their heads entirely. However, Winnemucca Hopkins’s sarcasm was more recognizable and more palatable than William Apess’s for two reasons. Firstly, comedically, it was far broader. Winnemucca Hopkins’s audience had the benefit of her tone, body language, facial expressions, and often, bits of physical comedy to accentuate her sarcasms more effectively than Apess could do in print. Secondly, Winnemucca Hopkins’s sarcasm was not (often) aimed at the audience themselves. As I will discuss below, one function of her humorous portrayals of Rinehart is to build solidary between Winnemucca Hopkins, the other people on stage (in the west, her brother Natchez and other Paiutes; in the east, Peabody and other reformers) and the audience against the institutions she ridicules. Bringing her audience in on her jokes against Rinehart is one way in which Winnemucca Hopkins’s sarcasm aimed at building community.</w:t>
      </w:r>
    </w:p>
    <w:p w14:paraId="7C12896A" w14:textId="77777777" w:rsidR="00287C65" w:rsidRPr="004E06DE" w:rsidRDefault="00287C65" w:rsidP="00287C65">
      <w:pPr>
        <w:autoSpaceDE w:val="0"/>
        <w:autoSpaceDN w:val="0"/>
        <w:adjustRightInd w:val="0"/>
        <w:spacing w:line="480" w:lineRule="auto"/>
        <w:ind w:firstLine="720"/>
        <w:rPr>
          <w:rFonts w:ascii="Times New Roman" w:hAnsi="Times New Roman" w:cs="Times New Roman"/>
        </w:rPr>
      </w:pPr>
      <w:r w:rsidRPr="004E06DE">
        <w:rPr>
          <w:rFonts w:ascii="Times New Roman" w:hAnsi="Times New Roman" w:cs="Times New Roman"/>
        </w:rPr>
        <w:t xml:space="preserve">One such moment occurs just after the Clayton’s Body anecdote and was recorded by the </w:t>
      </w:r>
      <w:r w:rsidRPr="004E06DE">
        <w:rPr>
          <w:rFonts w:ascii="Times New Roman" w:hAnsi="Times New Roman" w:cs="Times New Roman"/>
          <w:i/>
          <w:iCs/>
        </w:rPr>
        <w:t>Daily Alta California</w:t>
      </w:r>
      <w:r w:rsidRPr="004E06DE">
        <w:rPr>
          <w:rFonts w:ascii="Times New Roman" w:hAnsi="Times New Roman" w:cs="Times New Roman"/>
        </w:rPr>
        <w:t>’s</w:t>
      </w:r>
      <w:r w:rsidRPr="004E06DE">
        <w:rPr>
          <w:rFonts w:ascii="Times New Roman" w:hAnsi="Times New Roman" w:cs="Times New Roman"/>
          <w:i/>
          <w:iCs/>
        </w:rPr>
        <w:t xml:space="preserve"> </w:t>
      </w:r>
      <w:r w:rsidRPr="004E06DE">
        <w:rPr>
          <w:rFonts w:ascii="Times New Roman" w:hAnsi="Times New Roman" w:cs="Times New Roman"/>
        </w:rPr>
        <w:t>coverage of her lecture in their November 26 edition. The anecdote, a humorous retelling of a Methodist sermon delivered at the Malheur Reservation, is quoted in its entirety below:</w:t>
      </w:r>
    </w:p>
    <w:p w14:paraId="6E2E962D" w14:textId="77777777" w:rsidR="00287C65" w:rsidRPr="004E06DE" w:rsidRDefault="00287C65" w:rsidP="00287C65">
      <w:pPr>
        <w:autoSpaceDE w:val="0"/>
        <w:autoSpaceDN w:val="0"/>
        <w:adjustRightInd w:val="0"/>
        <w:spacing w:line="480" w:lineRule="auto"/>
        <w:ind w:left="720"/>
        <w:rPr>
          <w:rFonts w:ascii="Times New Roman" w:hAnsi="Times New Roman" w:cs="Times New Roman"/>
        </w:rPr>
      </w:pPr>
      <w:r w:rsidRPr="004E06DE">
        <w:rPr>
          <w:rFonts w:ascii="Times New Roman" w:hAnsi="Times New Roman" w:cs="Times New Roman"/>
        </w:rPr>
        <w:t xml:space="preserve">In 1878 Mr. Grannis [the preacher] came to preach a sermon, and I interpreted it. He said, “If you are not good you will go to a place called Hell. If you are good, and do not lie and steal and commit adultery, you will go to heaven.” And one of our men interrupted him and turned to Rinehart, the agent, and said, “You say to </w:t>
      </w:r>
      <w:r w:rsidRPr="004E06DE">
        <w:rPr>
          <w:rFonts w:ascii="Times New Roman" w:hAnsi="Times New Roman" w:cs="Times New Roman"/>
        </w:rPr>
        <w:lastRenderedPageBreak/>
        <w:t xml:space="preserve">be </w:t>
      </w:r>
      <w:proofErr w:type="gramStart"/>
      <w:r w:rsidRPr="004E06DE">
        <w:rPr>
          <w:rFonts w:ascii="Times New Roman" w:hAnsi="Times New Roman" w:cs="Times New Roman"/>
        </w:rPr>
        <w:t>good</w:t>
      </w:r>
      <w:proofErr w:type="gramEnd"/>
      <w:r w:rsidRPr="004E06DE">
        <w:rPr>
          <w:rFonts w:ascii="Times New Roman" w:hAnsi="Times New Roman" w:cs="Times New Roman"/>
        </w:rPr>
        <w:t xml:space="preserve"> and we will go to heaven. Mr. Rinehart, where will you go? You claim to be a Christian man. You kneel and </w:t>
      </w:r>
      <w:proofErr w:type="gramStart"/>
      <w:r w:rsidRPr="004E06DE">
        <w:rPr>
          <w:rFonts w:ascii="Times New Roman" w:hAnsi="Times New Roman" w:cs="Times New Roman"/>
        </w:rPr>
        <w:t>uplift</w:t>
      </w:r>
      <w:proofErr w:type="gramEnd"/>
      <w:r w:rsidRPr="004E06DE">
        <w:rPr>
          <w:rFonts w:ascii="Times New Roman" w:hAnsi="Times New Roman" w:cs="Times New Roman"/>
        </w:rPr>
        <w:t xml:space="preserve"> your hands and the tears roll down your face. Who do you pray to? We are Indians and do not understand. We have eyes but you think </w:t>
      </w:r>
      <w:proofErr w:type="gramStart"/>
      <w:r w:rsidRPr="004E06DE">
        <w:rPr>
          <w:rFonts w:ascii="Times New Roman" w:hAnsi="Times New Roman" w:cs="Times New Roman"/>
        </w:rPr>
        <w:t>us</w:t>
      </w:r>
      <w:proofErr w:type="gramEnd"/>
      <w:r w:rsidRPr="004E06DE">
        <w:rPr>
          <w:rFonts w:ascii="Times New Roman" w:hAnsi="Times New Roman" w:cs="Times New Roman"/>
        </w:rPr>
        <w:t xml:space="preserve"> blind. You hold out your left hand and pray for us, and your right hand is grabbing something else.” Mr. Rinehart is a good man, probably. I think he is a good man. The biggest thief, whether a man or a woman, is good if wealthy. With the jingle in his pocket and plenty in his hand, he lives away up, socially. (</w:t>
      </w:r>
      <w:proofErr w:type="gramStart"/>
      <w:r w:rsidRPr="004E06DE">
        <w:rPr>
          <w:rFonts w:ascii="Times New Roman" w:hAnsi="Times New Roman" w:cs="Times New Roman"/>
        </w:rPr>
        <w:t>qtd</w:t>
      </w:r>
      <w:proofErr w:type="gramEnd"/>
      <w:r w:rsidRPr="004E06DE">
        <w:rPr>
          <w:rFonts w:ascii="Times New Roman" w:hAnsi="Times New Roman" w:cs="Times New Roman"/>
        </w:rPr>
        <w:t>. in Carpenter and Sorisio 92-3)</w:t>
      </w:r>
    </w:p>
    <w:p w14:paraId="0C442121" w14:textId="77777777" w:rsidR="00287C65" w:rsidRPr="004E06DE" w:rsidRDefault="00287C65" w:rsidP="00287C65">
      <w:pPr>
        <w:autoSpaceDE w:val="0"/>
        <w:autoSpaceDN w:val="0"/>
        <w:adjustRightInd w:val="0"/>
        <w:spacing w:line="480" w:lineRule="auto"/>
        <w:rPr>
          <w:rFonts w:ascii="Times New Roman" w:hAnsi="Times New Roman" w:cs="Times New Roman"/>
        </w:rPr>
      </w:pPr>
      <w:r w:rsidRPr="004E06DE">
        <w:rPr>
          <w:rFonts w:ascii="Times New Roman" w:hAnsi="Times New Roman" w:cs="Times New Roman"/>
        </w:rPr>
        <w:t xml:space="preserve">When she told this joke on stage, Winnemucca Hopkins would on some occasions amplify her delivery by physically mimicking Rinehart kneeling in prayer with “one hand lifted up to Heaven and the other…rummaging in a money sack.” During one telling of the joke in 1884, Winnemucca Hopkins “knelt by the table on the stage and went through the motions of a man filling his pockets with money and when she had finished the prayer she arose, held an imaginary sack by the corners, shook it and them [sic] scrambled about on the floor as if hunting for money,” which “caused considerable merriment in the audience” (215). </w:t>
      </w:r>
    </w:p>
    <w:p w14:paraId="2CB7AE4E" w14:textId="77777777" w:rsidR="00287C65" w:rsidRPr="004E06DE" w:rsidRDefault="00287C65" w:rsidP="00287C65">
      <w:pPr>
        <w:autoSpaceDE w:val="0"/>
        <w:autoSpaceDN w:val="0"/>
        <w:adjustRightInd w:val="0"/>
        <w:spacing w:line="480" w:lineRule="auto"/>
        <w:ind w:firstLine="720"/>
        <w:rPr>
          <w:rFonts w:ascii="Times New Roman" w:hAnsi="Times New Roman" w:cs="Times New Roman"/>
        </w:rPr>
      </w:pPr>
      <w:r w:rsidRPr="004E06DE">
        <w:rPr>
          <w:rFonts w:ascii="Times New Roman" w:hAnsi="Times New Roman" w:cs="Times New Roman"/>
        </w:rPr>
        <w:t xml:space="preserve">As critique of Rinehart’s perfidy, which she offered as a metonymy of the corruption going on at every level of what she called “the Indian Ring,” Winnemucca Hopkins’s humor found its mark. The audiences’ laughter in 1879 and 1884 flowed out of the lecture hall and into the press, where it eventually reached Rinehart. He was none too happy. In January 1880 he sent a series of affidavits to the Bureau of Indian Affairs in </w:t>
      </w:r>
      <w:r w:rsidRPr="004E06DE">
        <w:rPr>
          <w:rFonts w:ascii="Times New Roman" w:hAnsi="Times New Roman" w:cs="Times New Roman"/>
        </w:rPr>
        <w:lastRenderedPageBreak/>
        <w:t xml:space="preserve">Washington, signed by acquaintances who defended his character against Winnemucca Hopkins’s claims and in turn called her character into question. These letters express surprise that “an intelligent public and high officials should give any credence to the statements of such a person” as Winnemucca Hopkins, who, “in addition to her character of </w:t>
      </w:r>
      <w:commentRangeStart w:id="37"/>
      <w:r w:rsidRPr="004E06DE">
        <w:rPr>
          <w:rFonts w:ascii="Times New Roman" w:hAnsi="Times New Roman" w:cs="Times New Roman"/>
        </w:rPr>
        <w:t>Harlot</w:t>
      </w:r>
      <w:commentRangeEnd w:id="37"/>
      <w:r w:rsidRPr="004E06DE">
        <w:rPr>
          <w:rStyle w:val="CommentReference"/>
          <w:rFonts w:eastAsiaTheme="majorEastAsia"/>
        </w:rPr>
        <w:commentReference w:id="37"/>
      </w:r>
      <w:r w:rsidRPr="004E06DE">
        <w:rPr>
          <w:rFonts w:ascii="Times New Roman" w:hAnsi="Times New Roman" w:cs="Times New Roman"/>
        </w:rPr>
        <w:t xml:space="preserve"> and </w:t>
      </w:r>
      <w:proofErr w:type="gramStart"/>
      <w:r w:rsidRPr="004E06DE">
        <w:rPr>
          <w:rFonts w:ascii="Times New Roman" w:hAnsi="Times New Roman" w:cs="Times New Roman"/>
        </w:rPr>
        <w:t>drunkard,…</w:t>
      </w:r>
      <w:proofErr w:type="gramEnd"/>
      <w:r w:rsidRPr="004E06DE">
        <w:rPr>
          <w:rFonts w:ascii="Times New Roman" w:hAnsi="Times New Roman" w:cs="Times New Roman"/>
        </w:rPr>
        <w:t xml:space="preserve">merits and possesses that of a notorious liar and malicious schemer” (Canfield 172-3). </w:t>
      </w:r>
    </w:p>
    <w:p w14:paraId="1DA6AC79" w14:textId="77777777" w:rsidR="00287C65" w:rsidRPr="004E06DE" w:rsidRDefault="00287C65" w:rsidP="00287C65">
      <w:pPr>
        <w:autoSpaceDE w:val="0"/>
        <w:autoSpaceDN w:val="0"/>
        <w:adjustRightInd w:val="0"/>
        <w:spacing w:line="480" w:lineRule="auto"/>
        <w:ind w:firstLine="720"/>
        <w:rPr>
          <w:rFonts w:ascii="Times New Roman" w:hAnsi="Times New Roman" w:cs="Times New Roman"/>
        </w:rPr>
      </w:pPr>
      <w:r w:rsidRPr="004E06DE">
        <w:rPr>
          <w:rFonts w:ascii="Times New Roman" w:hAnsi="Times New Roman" w:cs="Times New Roman"/>
        </w:rPr>
        <w:t xml:space="preserve">Winnemucca Hopkins’s lecturing, including her humorous impressions mocking Rinehart, mounted a potent critique that the U.S. government was eager to silence. The “high officials” alluded to are Secretary of the Interior Carl Schulz and President Hayes himself, whom Winnemucca Hopkins met as part of a Paiute delegation that same month. In </w:t>
      </w:r>
      <w:r w:rsidRPr="004E06DE">
        <w:rPr>
          <w:rFonts w:ascii="Times New Roman" w:hAnsi="Times New Roman" w:cs="Times New Roman"/>
          <w:i/>
          <w:iCs/>
        </w:rPr>
        <w:t>Life</w:t>
      </w:r>
      <w:r w:rsidRPr="004E06DE">
        <w:rPr>
          <w:rFonts w:ascii="Times New Roman" w:hAnsi="Times New Roman" w:cs="Times New Roman"/>
        </w:rPr>
        <w:t xml:space="preserve">, Winnemucca Hopkins implies that media coverage of her lecturing is the main reason that she is invited to Washington (217). Furthermore, Winnemucca Hopkins writes that she was warned not to lecture in Washington (221). She records a conversation between herself and Secretary Schurz, who says that “I don't think it will be right for you to lecture here after the government has sent for you, and your father and brother, and paid your way here” (221). Though Winnemucca Hopkins’s depiction of Schurz suggests that the powers in Washington fear the effect of her words on the eastern </w:t>
      </w:r>
      <w:commentRangeStart w:id="38"/>
      <w:r w:rsidRPr="004E06DE">
        <w:rPr>
          <w:rFonts w:ascii="Times New Roman" w:hAnsi="Times New Roman" w:cs="Times New Roman"/>
        </w:rPr>
        <w:t>public</w:t>
      </w:r>
      <w:commentRangeEnd w:id="38"/>
      <w:r w:rsidRPr="004E06DE">
        <w:rPr>
          <w:rStyle w:val="CommentReference"/>
          <w:rFonts w:eastAsiaTheme="majorEastAsia"/>
        </w:rPr>
        <w:commentReference w:id="38"/>
      </w:r>
      <w:r w:rsidRPr="004E06DE">
        <w:rPr>
          <w:rFonts w:ascii="Times New Roman" w:hAnsi="Times New Roman" w:cs="Times New Roman"/>
        </w:rPr>
        <w:t xml:space="preserve">. Perhaps more accurately, Schurz fears the incongruity of Winnemucca Hopkins’s competing roles as official envoy sponsored by the government and social critic on behalf of a people targeted by that government’s genocidal policies. Schurz assures her that “The government is going to do right by your people now” and directs her: “Don't lecture </w:t>
      </w:r>
      <w:r w:rsidRPr="004E06DE">
        <w:rPr>
          <w:rFonts w:ascii="Times New Roman" w:hAnsi="Times New Roman" w:cs="Times New Roman"/>
        </w:rPr>
        <w:lastRenderedPageBreak/>
        <w:t>now; go home and get your people on the reservation – get them located properly; and then, if you want to come back, write to us, and tell us you want to come back and lecture, and we will pay your way here and back again” (221).</w:t>
      </w:r>
    </w:p>
    <w:p w14:paraId="1E335209" w14:textId="77777777" w:rsidR="00287C65" w:rsidRPr="004E06DE" w:rsidRDefault="00287C65" w:rsidP="00287C65">
      <w:pPr>
        <w:autoSpaceDE w:val="0"/>
        <w:autoSpaceDN w:val="0"/>
        <w:adjustRightInd w:val="0"/>
        <w:spacing w:line="480" w:lineRule="auto"/>
        <w:ind w:firstLine="720"/>
        <w:rPr>
          <w:rFonts w:ascii="Times New Roman" w:hAnsi="Times New Roman" w:cs="Times New Roman"/>
        </w:rPr>
      </w:pPr>
      <w:r w:rsidRPr="004E06DE">
        <w:rPr>
          <w:rFonts w:ascii="Times New Roman" w:hAnsi="Times New Roman" w:cs="Times New Roman"/>
        </w:rPr>
        <w:t xml:space="preserve"> In Winnemucca Hopkins’s depiction of her interaction with Schurz, the Secretary cares primarily about the public’s perception that the Bureau of Indian Affairs is “doing right by your people,” a fragile perception that the government can only control through their manipulation of public </w:t>
      </w:r>
      <w:commentRangeStart w:id="39"/>
      <w:r w:rsidRPr="004E06DE">
        <w:rPr>
          <w:rFonts w:ascii="Times New Roman" w:hAnsi="Times New Roman" w:cs="Times New Roman"/>
        </w:rPr>
        <w:t>information</w:t>
      </w:r>
      <w:commentRangeEnd w:id="39"/>
      <w:r w:rsidRPr="004E06DE">
        <w:rPr>
          <w:rStyle w:val="CommentReference"/>
          <w:rFonts w:eastAsiaTheme="majorEastAsia"/>
        </w:rPr>
        <w:commentReference w:id="39"/>
      </w:r>
      <w:r w:rsidRPr="004E06DE">
        <w:rPr>
          <w:rFonts w:ascii="Times New Roman" w:hAnsi="Times New Roman" w:cs="Times New Roman"/>
        </w:rPr>
        <w:t xml:space="preserve">. Citing French sociologist Luc </w:t>
      </w:r>
      <w:proofErr w:type="spellStart"/>
      <w:r w:rsidRPr="004E06DE">
        <w:rPr>
          <w:rFonts w:ascii="Times New Roman" w:hAnsi="Times New Roman" w:cs="Times New Roman"/>
        </w:rPr>
        <w:t>Boltanski</w:t>
      </w:r>
      <w:proofErr w:type="spellEnd"/>
      <w:r w:rsidRPr="004E06DE">
        <w:rPr>
          <w:rFonts w:ascii="Times New Roman" w:hAnsi="Times New Roman" w:cs="Times New Roman"/>
        </w:rPr>
        <w:t>, Nicholas Holm explains how “critique can serve a powerful political function” under “simple models of domination [that] are predicated on control of how the world is understood” through “the revelation of the inaccuracies, inconsistencies, and contradictions of the official, sanctioned world view” (38).</w:t>
      </w:r>
      <w:r w:rsidRPr="004E06DE">
        <w:rPr>
          <w:rStyle w:val="FootnoteReference"/>
          <w:rFonts w:ascii="Times New Roman" w:eastAsiaTheme="majorEastAsia" w:hAnsi="Times New Roman" w:cs="Times New Roman"/>
        </w:rPr>
        <w:footnoteReference w:id="56"/>
      </w:r>
      <w:r w:rsidRPr="004E06DE">
        <w:rPr>
          <w:rFonts w:ascii="Times New Roman" w:hAnsi="Times New Roman" w:cs="Times New Roman"/>
        </w:rPr>
        <w:t xml:space="preserve"> Winnemucca Hopkins’s </w:t>
      </w:r>
      <w:r w:rsidRPr="004E06DE">
        <w:rPr>
          <w:rFonts w:ascii="Times New Roman" w:hAnsi="Times New Roman" w:cs="Times New Roman"/>
        </w:rPr>
        <w:lastRenderedPageBreak/>
        <w:t xml:space="preserve">lecturing threatened official (mis)representations of Native humanity such as Winnemucca Hopkins records in the mouth of the man she encounters in Schurz’s office, who cynically mocks Winnemucca Hopkins’s lecture as merely a money-making scheme and who claims that the Paiutes she represents are “are bad people; they have killed and scalped many innocent people” (218). The federal government tacitly endorsed these broad mischaracterizations in order to prop up systems of colonial domination like the reservation system, boarding schools, and genocidal military campaigns like the U.S.-Dakota War (1862) and the Snake War (1864-68). </w:t>
      </w:r>
    </w:p>
    <w:p w14:paraId="31DEDFF6" w14:textId="77777777" w:rsidR="00287C65" w:rsidRPr="004E06DE" w:rsidRDefault="00287C65" w:rsidP="00287C65">
      <w:pPr>
        <w:autoSpaceDE w:val="0"/>
        <w:autoSpaceDN w:val="0"/>
        <w:adjustRightInd w:val="0"/>
        <w:spacing w:line="480" w:lineRule="auto"/>
        <w:ind w:firstLine="720"/>
        <w:rPr>
          <w:rFonts w:ascii="Times New Roman" w:hAnsi="Times New Roman" w:cs="Times New Roman"/>
        </w:rPr>
      </w:pPr>
      <w:r w:rsidRPr="004E06DE">
        <w:rPr>
          <w:rFonts w:ascii="Times New Roman" w:hAnsi="Times New Roman" w:cs="Times New Roman"/>
        </w:rPr>
        <w:t xml:space="preserve">Many scholars have pointed out the critical power of Winnemucca Hopkins’s humor, particularly her send-ups of Rinehart, but </w:t>
      </w:r>
      <w:commentRangeStart w:id="40"/>
      <w:r w:rsidRPr="004E06DE">
        <w:rPr>
          <w:rFonts w:ascii="Times New Roman" w:hAnsi="Times New Roman" w:cs="Times New Roman"/>
        </w:rPr>
        <w:t xml:space="preserve">I argue that the point of what the </w:t>
      </w:r>
      <w:r w:rsidRPr="004E06DE">
        <w:rPr>
          <w:rFonts w:ascii="Times New Roman" w:hAnsi="Times New Roman" w:cs="Times New Roman"/>
          <w:i/>
          <w:iCs/>
        </w:rPr>
        <w:t xml:space="preserve">San Fransisco Chronicle </w:t>
      </w:r>
      <w:r w:rsidRPr="004E06DE">
        <w:rPr>
          <w:rFonts w:ascii="Times New Roman" w:hAnsi="Times New Roman" w:cs="Times New Roman"/>
        </w:rPr>
        <w:t>calls Winnemucca Hopkins’s “mischievous sarcasm” is not mainly to tear down Rinehart down or speak truth to power, but to create connections with her non-Native audiences and to create community solidarity between Natives and non-Natives against the targets of her humor</w:t>
      </w:r>
      <w:commentRangeEnd w:id="40"/>
      <w:r w:rsidRPr="004E06DE">
        <w:rPr>
          <w:rStyle w:val="CommentReference"/>
          <w:rFonts w:eastAsiaTheme="majorEastAsia"/>
        </w:rPr>
        <w:commentReference w:id="40"/>
      </w:r>
      <w:r w:rsidRPr="004E06DE">
        <w:rPr>
          <w:rFonts w:ascii="Times New Roman" w:hAnsi="Times New Roman" w:cs="Times New Roman"/>
        </w:rPr>
        <w:t>. In Chapter 2, I discussed laughter’s transpersonal qualities, its capacity to “[re]</w:t>
      </w:r>
      <w:proofErr w:type="spellStart"/>
      <w:r w:rsidRPr="004E06DE">
        <w:rPr>
          <w:rFonts w:ascii="Times New Roman" w:hAnsi="Times New Roman" w:cs="Times New Roman"/>
        </w:rPr>
        <w:t>organise</w:t>
      </w:r>
      <w:proofErr w:type="spellEnd"/>
      <w:r w:rsidRPr="004E06DE">
        <w:rPr>
          <w:rFonts w:ascii="Times New Roman" w:hAnsi="Times New Roman" w:cs="Times New Roman"/>
        </w:rPr>
        <w:t xml:space="preserve"> already ‘existing’ subjects, whilst simultaneously generating new ones” (Emmerson 2086). The audiences’ “considerable merriment” temporarily linked them with Winnemucca Hopkins and the other Paiutes with whom she shared the stage, disrupting demarcating lines of race, gender, nationality, and difference on the fictitious scale of civilization, to form new subjectivities according </w:t>
      </w:r>
      <w:r w:rsidRPr="004E06DE">
        <w:rPr>
          <w:rFonts w:ascii="Times New Roman" w:hAnsi="Times New Roman" w:cs="Times New Roman"/>
        </w:rPr>
        <w:lastRenderedPageBreak/>
        <w:t xml:space="preserve">to the ethics of neighborliness and mutual respect for </w:t>
      </w:r>
      <w:proofErr w:type="spellStart"/>
      <w:r w:rsidRPr="004E06DE">
        <w:rPr>
          <w:rFonts w:ascii="Times New Roman" w:hAnsi="Times New Roman" w:cs="Times New Roman"/>
        </w:rPr>
        <w:t>each others’</w:t>
      </w:r>
      <w:proofErr w:type="spellEnd"/>
      <w:r w:rsidRPr="004E06DE">
        <w:rPr>
          <w:rFonts w:ascii="Times New Roman" w:hAnsi="Times New Roman" w:cs="Times New Roman"/>
        </w:rPr>
        <w:t xml:space="preserve"> </w:t>
      </w:r>
      <w:commentRangeStart w:id="41"/>
      <w:r w:rsidRPr="004E06DE">
        <w:rPr>
          <w:rFonts w:ascii="Times New Roman" w:hAnsi="Times New Roman" w:cs="Times New Roman"/>
        </w:rPr>
        <w:t>humanity</w:t>
      </w:r>
      <w:commentRangeEnd w:id="41"/>
      <w:r w:rsidRPr="004E06DE">
        <w:rPr>
          <w:rStyle w:val="CommentReference"/>
          <w:rFonts w:eastAsiaTheme="majorEastAsia"/>
        </w:rPr>
        <w:commentReference w:id="41"/>
      </w:r>
      <w:r w:rsidRPr="004E06DE">
        <w:rPr>
          <w:rFonts w:ascii="Times New Roman" w:hAnsi="Times New Roman" w:cs="Times New Roman"/>
        </w:rPr>
        <w:t xml:space="preserve">. Winnemucca Hopkins mobilizes these new subjectivities as spaces of creative collaboration, where she and non-Native audiences imagine “a better state of the world” (Holm 42). </w:t>
      </w:r>
    </w:p>
    <w:p w14:paraId="4E42BF27" w14:textId="77777777" w:rsidR="00287C65" w:rsidRPr="004E06DE" w:rsidRDefault="00287C65" w:rsidP="00287C65">
      <w:pPr>
        <w:autoSpaceDE w:val="0"/>
        <w:autoSpaceDN w:val="0"/>
        <w:adjustRightInd w:val="0"/>
        <w:spacing w:line="480" w:lineRule="auto"/>
        <w:ind w:firstLine="720"/>
        <w:rPr>
          <w:rFonts w:ascii="Times New Roman" w:hAnsi="Times New Roman" w:cs="Times New Roman"/>
        </w:rPr>
      </w:pPr>
      <w:r w:rsidRPr="004E06DE">
        <w:rPr>
          <w:rFonts w:ascii="Times New Roman" w:hAnsi="Times New Roman" w:cs="Times New Roman"/>
        </w:rPr>
        <w:t xml:space="preserve">The “better world” Winnemucca Hopkins invites her audience to imagine emerges from her descriptions in every lecture of the treatment the Paiutes deserve versus what they have experienced at the hands of whites. For instance, in her lecture of November 25, 1879, Winnemucca Hopkins flows from her ridiculous portrayal of Rinehart, above, into an appeal for the Paiutes then officially confined to the Yakama Reservation. She distinguished between the Bannock leaders who “should be punished—hanged or imprisoned for life” and the innocent Paiutes who, she claims, were duped into open hostilities with the whites and who should not be punished to the same extent. She included this argument in expanded form in </w:t>
      </w:r>
      <w:r w:rsidRPr="004E06DE">
        <w:rPr>
          <w:rFonts w:ascii="Times New Roman" w:hAnsi="Times New Roman" w:cs="Times New Roman"/>
          <w:i/>
          <w:iCs/>
        </w:rPr>
        <w:t>Life</w:t>
      </w:r>
      <w:r w:rsidRPr="004E06DE">
        <w:rPr>
          <w:rFonts w:ascii="Times New Roman" w:hAnsi="Times New Roman" w:cs="Times New Roman"/>
        </w:rPr>
        <w:t xml:space="preserve">, explaining that “only a few [Paiutes]…went with the Bannocks who did wrong. I have given </w:t>
      </w:r>
      <w:proofErr w:type="gramStart"/>
      <w:r w:rsidRPr="004E06DE">
        <w:rPr>
          <w:rFonts w:ascii="Times New Roman" w:hAnsi="Times New Roman" w:cs="Times New Roman"/>
        </w:rPr>
        <w:t>up</w:t>
      </w:r>
      <w:proofErr w:type="gramEnd"/>
      <w:r w:rsidRPr="004E06DE">
        <w:rPr>
          <w:rFonts w:ascii="Times New Roman" w:hAnsi="Times New Roman" w:cs="Times New Roman"/>
        </w:rPr>
        <w:t xml:space="preserve"> those who were bad; the soldiers have them prisoners at Vancouver Barracks, Washington Territory. I have not come to plead for the bad ones. I have done my work faithfully. I told the officers if they would </w:t>
      </w:r>
      <w:proofErr w:type="gramStart"/>
      <w:r w:rsidRPr="004E06DE">
        <w:rPr>
          <w:rFonts w:ascii="Times New Roman" w:hAnsi="Times New Roman" w:cs="Times New Roman"/>
        </w:rPr>
        <w:t>surrender</w:t>
      </w:r>
      <w:proofErr w:type="gramEnd"/>
      <w:r w:rsidRPr="004E06DE">
        <w:rPr>
          <w:rFonts w:ascii="Times New Roman" w:hAnsi="Times New Roman" w:cs="Times New Roman"/>
        </w:rPr>
        <w:t xml:space="preserve"> I would give up all the bad ones, which I did, and I ask you only to return to their home all that have helped the white people. Yes, sir; the very man who killed Buffalo Horn was sent to the Yakima Reservation” (218). Winnemucca Hopkins’s characterization of Paiutes as implicitly “the good ones” who “helped the white people” is another way she draws her audience into a community, </w:t>
      </w:r>
      <w:commentRangeStart w:id="42"/>
      <w:r w:rsidRPr="004E06DE">
        <w:rPr>
          <w:rFonts w:ascii="Times New Roman" w:hAnsi="Times New Roman" w:cs="Times New Roman"/>
        </w:rPr>
        <w:t xml:space="preserve">albeit a problematic one that is </w:t>
      </w:r>
      <w:r w:rsidRPr="004E06DE">
        <w:rPr>
          <w:rFonts w:ascii="Times New Roman" w:hAnsi="Times New Roman" w:cs="Times New Roman"/>
        </w:rPr>
        <w:lastRenderedPageBreak/>
        <w:t>willing to submit other forces of Native resistance to the punishment of the colonial regime</w:t>
      </w:r>
      <w:commentRangeEnd w:id="42"/>
      <w:r w:rsidRPr="004E06DE">
        <w:rPr>
          <w:rStyle w:val="CommentReference"/>
          <w:rFonts w:eastAsiaTheme="majorEastAsia"/>
        </w:rPr>
        <w:commentReference w:id="42"/>
      </w:r>
      <w:r w:rsidRPr="004E06DE">
        <w:rPr>
          <w:rFonts w:ascii="Times New Roman" w:hAnsi="Times New Roman" w:cs="Times New Roman"/>
        </w:rPr>
        <w:t xml:space="preserve">. Indeed, she aligns the Paiutes with whites, identifying Paiute interests with white interests. Her strategy amplifies the injustice of the Paiutes’ postwar treatment where even those who the whites should have recognized as war heroes, such as “the very man who killed [Bannock chief and rebel leader] Buffalo Horn was sent to the Yakima Reservation.” </w:t>
      </w:r>
    </w:p>
    <w:p w14:paraId="71AC0C63" w14:textId="77777777" w:rsidR="00287C65" w:rsidRPr="004E06DE" w:rsidRDefault="00287C65" w:rsidP="00287C65">
      <w:pPr>
        <w:autoSpaceDE w:val="0"/>
        <w:autoSpaceDN w:val="0"/>
        <w:adjustRightInd w:val="0"/>
        <w:spacing w:line="480" w:lineRule="auto"/>
        <w:ind w:firstLine="720"/>
        <w:rPr>
          <w:rFonts w:ascii="Times New Roman" w:hAnsi="Times New Roman" w:cs="Times New Roman"/>
        </w:rPr>
      </w:pPr>
      <w:r w:rsidRPr="004E06DE">
        <w:rPr>
          <w:rFonts w:ascii="Times New Roman" w:hAnsi="Times New Roman" w:cs="Times New Roman"/>
        </w:rPr>
        <w:t>Winnemucca Hopkins’s distinction between the “good” Paiutes and the “bad” Bannocks leads into a more specific appeal for justice for the Northern Paiutes. She declares that while “that the leaders” of the Bannock rebellion “should be punished—</w:t>
      </w:r>
      <w:proofErr w:type="gramStart"/>
      <w:r w:rsidRPr="004E06DE">
        <w:rPr>
          <w:rFonts w:ascii="Times New Roman" w:hAnsi="Times New Roman" w:cs="Times New Roman"/>
        </w:rPr>
        <w:t>hanged, or</w:t>
      </w:r>
      <w:proofErr w:type="gramEnd"/>
      <w:r w:rsidRPr="004E06DE">
        <w:rPr>
          <w:rFonts w:ascii="Times New Roman" w:hAnsi="Times New Roman" w:cs="Times New Roman"/>
        </w:rPr>
        <w:t xml:space="preserve"> imprisoned for life…the people [the Paiutes] </w:t>
      </w:r>
      <w:bookmarkStart w:id="43" w:name="_Hlk155823041"/>
      <w:r w:rsidRPr="004E06DE">
        <w:rPr>
          <w:rFonts w:ascii="Times New Roman" w:hAnsi="Times New Roman" w:cs="Times New Roman"/>
        </w:rPr>
        <w:t>should be allowed to go on a good Reservation, they should be taught to build and farm, and educated without the interference of an agent, they could make their own living, and would be glad to do so</w:t>
      </w:r>
      <w:bookmarkEnd w:id="43"/>
      <w:r w:rsidRPr="004E06DE">
        <w:rPr>
          <w:rFonts w:ascii="Times New Roman" w:hAnsi="Times New Roman" w:cs="Times New Roman"/>
        </w:rPr>
        <w:t xml:space="preserve">” (qtd. in Carpenter and Sorisio 93-4). She repeated these arguments often in lectures but also in other venues as well. For instance, in a letter she wrote to Major Henry Douglas that was eventually published in </w:t>
      </w:r>
      <w:r w:rsidRPr="004E06DE">
        <w:rPr>
          <w:rFonts w:ascii="Times New Roman" w:hAnsi="Times New Roman" w:cs="Times New Roman"/>
          <w:i/>
          <w:iCs/>
        </w:rPr>
        <w:t xml:space="preserve">Harper’s Weekly </w:t>
      </w:r>
      <w:r w:rsidRPr="004E06DE">
        <w:rPr>
          <w:rFonts w:ascii="Times New Roman" w:hAnsi="Times New Roman" w:cs="Times New Roman"/>
        </w:rPr>
        <w:t>in 1870, Winnemucca Hopkins assured Douglas:</w:t>
      </w:r>
    </w:p>
    <w:p w14:paraId="70642E45" w14:textId="77777777" w:rsidR="00287C65" w:rsidRPr="004E06DE" w:rsidRDefault="00287C65" w:rsidP="00287C65">
      <w:pPr>
        <w:autoSpaceDE w:val="0"/>
        <w:autoSpaceDN w:val="0"/>
        <w:adjustRightInd w:val="0"/>
        <w:spacing w:line="480" w:lineRule="auto"/>
        <w:ind w:left="720"/>
        <w:rPr>
          <w:rFonts w:ascii="Times New Roman" w:hAnsi="Times New Roman" w:cs="Times New Roman"/>
        </w:rPr>
      </w:pPr>
      <w:r w:rsidRPr="004E06DE">
        <w:rPr>
          <w:rFonts w:ascii="Times New Roman" w:hAnsi="Times New Roman" w:cs="Times New Roman"/>
        </w:rPr>
        <w:t xml:space="preserve">If the Indians have any guarantee that they can secure a permanent home on their own native soil, and that our white neighbors can be kept from encroaching on our rights, after having a reasonable share of ground allotted to us as our own, and giving us the required advantages of learning, I warrant that the savage (as he is </w:t>
      </w:r>
      <w:r w:rsidRPr="004E06DE">
        <w:rPr>
          <w:rFonts w:ascii="Times New Roman" w:hAnsi="Times New Roman" w:cs="Times New Roman"/>
        </w:rPr>
        <w:lastRenderedPageBreak/>
        <w:t>called today) will be a thrifty and law-abiding member of the community. (</w:t>
      </w:r>
      <w:proofErr w:type="gramStart"/>
      <w:r w:rsidRPr="004E06DE">
        <w:rPr>
          <w:rFonts w:ascii="Times New Roman" w:hAnsi="Times New Roman" w:cs="Times New Roman"/>
        </w:rPr>
        <w:t>qtd</w:t>
      </w:r>
      <w:proofErr w:type="gramEnd"/>
      <w:r w:rsidRPr="004E06DE">
        <w:rPr>
          <w:rFonts w:ascii="Times New Roman" w:hAnsi="Times New Roman" w:cs="Times New Roman"/>
        </w:rPr>
        <w:t>. in Wilson 84)</w:t>
      </w:r>
    </w:p>
    <w:p w14:paraId="4E4FF418" w14:textId="77777777" w:rsidR="00287C65" w:rsidRPr="004E06DE" w:rsidRDefault="00287C65" w:rsidP="00287C65">
      <w:pPr>
        <w:autoSpaceDE w:val="0"/>
        <w:autoSpaceDN w:val="0"/>
        <w:adjustRightInd w:val="0"/>
        <w:spacing w:line="480" w:lineRule="auto"/>
        <w:rPr>
          <w:rFonts w:ascii="Times New Roman" w:hAnsi="Times New Roman" w:cs="Times New Roman"/>
        </w:rPr>
      </w:pPr>
      <w:r w:rsidRPr="004E06DE">
        <w:rPr>
          <w:rFonts w:ascii="Times New Roman" w:hAnsi="Times New Roman" w:cs="Times New Roman"/>
        </w:rPr>
        <w:t xml:space="preserve">On the surface these arguments seem like Winnemucca Hopkins espousing assimilationism for the Paiutes, something the federal government aimed for under President Grant’s Peace Policy. But her statement bears more scrutiny, for here we see Winnemucca Hopkins engaging in “constructive resistance.” </w:t>
      </w:r>
    </w:p>
    <w:p w14:paraId="6C540D44" w14:textId="77777777" w:rsidR="00287C65" w:rsidRPr="004E06DE" w:rsidRDefault="00287C65" w:rsidP="00287C65">
      <w:pPr>
        <w:autoSpaceDE w:val="0"/>
        <w:autoSpaceDN w:val="0"/>
        <w:adjustRightInd w:val="0"/>
        <w:spacing w:line="480" w:lineRule="auto"/>
        <w:ind w:firstLine="720"/>
        <w:rPr>
          <w:rFonts w:ascii="Times New Roman" w:hAnsi="Times New Roman" w:cs="Times New Roman"/>
        </w:rPr>
      </w:pPr>
      <w:r w:rsidRPr="004E06DE">
        <w:rPr>
          <w:rFonts w:ascii="Times New Roman" w:hAnsi="Times New Roman" w:cs="Times New Roman"/>
        </w:rPr>
        <w:t xml:space="preserve">To see her constructive resistance in the right light, one must first understand the importance of the Malheur Reservation to the Northern Paiutes in the 1870’s and 80’s. In 1868, in the direct aftermath of General George Crook’s genocidal assault on the Northern Paiutes, Bannocks, and other Great Basin peoples that is today misleadingly called the Snake War, the chiefs of seven Northern Paiute bands signed an unratified treaty drawn up by Indian Agent John Webster Perit Huntington. The treaty required the Paiutes to move to and reside on a reservation “in their own country” (Wilson 75). The cosigners of Huntington’s treaty interpreted this language to refer to their traditional homelands in the areas surrounding what are now called Lake </w:t>
      </w:r>
      <w:proofErr w:type="spellStart"/>
      <w:r w:rsidRPr="004E06DE">
        <w:rPr>
          <w:rFonts w:ascii="Times New Roman" w:hAnsi="Times New Roman" w:cs="Times New Roman"/>
        </w:rPr>
        <w:t>Hearny</w:t>
      </w:r>
      <w:proofErr w:type="spellEnd"/>
      <w:r w:rsidRPr="004E06DE">
        <w:rPr>
          <w:rFonts w:ascii="Times New Roman" w:hAnsi="Times New Roman" w:cs="Times New Roman"/>
        </w:rPr>
        <w:t xml:space="preserve"> and Lake Malheur in southeastern Oregon (</w:t>
      </w:r>
      <w:r w:rsidRPr="004E06DE">
        <w:rPr>
          <w:rFonts w:ascii="Times New Roman" w:hAnsi="Times New Roman" w:cs="Times New Roman"/>
          <w:i/>
          <w:iCs/>
        </w:rPr>
        <w:t>The Snake or Piute Indians v. United States</w:t>
      </w:r>
      <w:r w:rsidRPr="004E06DE">
        <w:rPr>
          <w:rFonts w:ascii="Times New Roman" w:hAnsi="Times New Roman" w:cs="Times New Roman"/>
        </w:rPr>
        <w:t xml:space="preserve">). In 1872, plans were drawn up for a reservation for the seven bands of Northern Paiutes who had signed Huntington’s treaty upon these lands. President Grant approved the Malheur Reservation by Executive Order on September 12, 1872. Though reservation life was far from perfect and represented a form of colonial oppression, the importance of the establishment of the Malheur Reservation on traditional Northern Paiutes lands cannot be overstated. It meant </w:t>
      </w:r>
      <w:r w:rsidRPr="004E06DE">
        <w:rPr>
          <w:rFonts w:ascii="Times New Roman" w:hAnsi="Times New Roman" w:cs="Times New Roman"/>
        </w:rPr>
        <w:lastRenderedPageBreak/>
        <w:t xml:space="preserve">that, rather than be forcibly moved from the lands where their ancestors lived and were buried, as had been federal policy in the era of removal, those bands of Northern Paiutes could remain in their home. From 1872-1876, the Malheur Reservation was overseen by agent Samuel Parrish, whom Winnemucca Hopkins writes about glowingly. In a lecture she delivered in Platt Hall’s in December 1879, Winnemucca Hopkins “dwelt at length upon [Parrish’s] kindness to ‘my people’” and she jokingly said that with Mrs. Parrish as their teacher and Winnemucca Hopkins herself as her assistant, “in five months…some of our children—Indian children—could spell words of two syllables. Think of that!”( qtd. in Carpenter and Sorisio 98). Winnemucca Hopkins’s sarcasm, less mischievous here, is nonetheless constructive. Simultaneously proud of her people and disparaging of Rinehart, whose failure to educate the Paiutes is brought out in sharp relief against the </w:t>
      </w:r>
      <w:proofErr w:type="spellStart"/>
      <w:r w:rsidRPr="004E06DE">
        <w:rPr>
          <w:rFonts w:ascii="Times New Roman" w:hAnsi="Times New Roman" w:cs="Times New Roman"/>
        </w:rPr>
        <w:t>Parrishes</w:t>
      </w:r>
      <w:proofErr w:type="spellEnd"/>
      <w:r w:rsidRPr="004E06DE">
        <w:rPr>
          <w:rFonts w:ascii="Times New Roman" w:hAnsi="Times New Roman" w:cs="Times New Roman"/>
        </w:rPr>
        <w:t xml:space="preserve">’ example, Winnemucca Hopkins literally invites her audience to “think of” what might have been and what still could </w:t>
      </w:r>
      <w:commentRangeStart w:id="44"/>
      <w:r w:rsidRPr="004E06DE">
        <w:rPr>
          <w:rFonts w:ascii="Times New Roman" w:hAnsi="Times New Roman" w:cs="Times New Roman"/>
        </w:rPr>
        <w:t>be</w:t>
      </w:r>
      <w:commentRangeEnd w:id="44"/>
      <w:r w:rsidRPr="004E06DE">
        <w:rPr>
          <w:rStyle w:val="CommentReference"/>
          <w:rFonts w:eastAsiaTheme="majorEastAsia"/>
        </w:rPr>
        <w:commentReference w:id="44"/>
      </w:r>
      <w:r w:rsidRPr="004E06DE">
        <w:rPr>
          <w:rFonts w:ascii="Times New Roman" w:hAnsi="Times New Roman" w:cs="Times New Roman"/>
        </w:rPr>
        <w:t>.</w:t>
      </w:r>
    </w:p>
    <w:p w14:paraId="6F8DCDA8" w14:textId="77777777" w:rsidR="00287C65" w:rsidRPr="004E06DE" w:rsidRDefault="00287C65" w:rsidP="00287C65">
      <w:pPr>
        <w:autoSpaceDE w:val="0"/>
        <w:autoSpaceDN w:val="0"/>
        <w:adjustRightInd w:val="0"/>
        <w:spacing w:line="480" w:lineRule="auto"/>
        <w:ind w:firstLine="720"/>
        <w:rPr>
          <w:rFonts w:ascii="Times New Roman" w:hAnsi="Times New Roman" w:cs="Times New Roman"/>
        </w:rPr>
      </w:pPr>
      <w:r w:rsidRPr="004E06DE">
        <w:rPr>
          <w:rFonts w:ascii="Times New Roman" w:hAnsi="Times New Roman" w:cs="Times New Roman"/>
        </w:rPr>
        <w:t xml:space="preserve">But the </w:t>
      </w:r>
      <w:proofErr w:type="spellStart"/>
      <w:r w:rsidRPr="004E06DE">
        <w:rPr>
          <w:rFonts w:ascii="Times New Roman" w:hAnsi="Times New Roman" w:cs="Times New Roman"/>
        </w:rPr>
        <w:t>Parrishes</w:t>
      </w:r>
      <w:proofErr w:type="spellEnd"/>
      <w:r w:rsidRPr="004E06DE">
        <w:rPr>
          <w:rFonts w:ascii="Times New Roman" w:hAnsi="Times New Roman" w:cs="Times New Roman"/>
        </w:rPr>
        <w:t xml:space="preserve"> did not stay; they were replaced in 1876 by Rinehart, whose mistreatment of the Piutes of Malheur Winnemucca Hopkins documents thoroughly. Rinehart’s tenure was so oppressive to the Northern Paiutes that they all willingly vacated Malheur, despite its location </w:t>
      </w:r>
      <w:proofErr w:type="gramStart"/>
      <w:r w:rsidRPr="004E06DE">
        <w:rPr>
          <w:rFonts w:ascii="Times New Roman" w:hAnsi="Times New Roman" w:cs="Times New Roman"/>
        </w:rPr>
        <w:t>on</w:t>
      </w:r>
      <w:proofErr w:type="gramEnd"/>
      <w:r w:rsidRPr="004E06DE">
        <w:rPr>
          <w:rFonts w:ascii="Times New Roman" w:hAnsi="Times New Roman" w:cs="Times New Roman"/>
        </w:rPr>
        <w:t xml:space="preserve"> their homelands. In November 1879 the </w:t>
      </w:r>
      <w:r w:rsidRPr="004E06DE">
        <w:rPr>
          <w:rFonts w:ascii="Times New Roman" w:hAnsi="Times New Roman" w:cs="Times New Roman"/>
          <w:i/>
          <w:iCs/>
        </w:rPr>
        <w:t xml:space="preserve">Daily Alta California </w:t>
      </w:r>
      <w:r w:rsidRPr="004E06DE">
        <w:rPr>
          <w:rFonts w:ascii="Times New Roman" w:hAnsi="Times New Roman" w:cs="Times New Roman"/>
        </w:rPr>
        <w:t xml:space="preserve">published a report from </w:t>
      </w:r>
      <w:proofErr w:type="gramStart"/>
      <w:r w:rsidRPr="004E06DE">
        <w:rPr>
          <w:rFonts w:ascii="Times New Roman" w:hAnsi="Times New Roman" w:cs="Times New Roman"/>
        </w:rPr>
        <w:t>eye witnesses</w:t>
      </w:r>
      <w:proofErr w:type="gramEnd"/>
      <w:r w:rsidRPr="004E06DE">
        <w:rPr>
          <w:rFonts w:ascii="Times New Roman" w:hAnsi="Times New Roman" w:cs="Times New Roman"/>
        </w:rPr>
        <w:t xml:space="preserve"> in Washington corroborating Winnemucca Hopkins’s claim that the Paiutes had all abandoned Malheur (94). After the Bannocks’ and Northern Paiutes’ forced deportation to Yakama in 1878, and under pressure from white settlers greedy for still more land, the Malheur Reservation was </w:t>
      </w:r>
      <w:r w:rsidRPr="004E06DE">
        <w:rPr>
          <w:rFonts w:ascii="Times New Roman" w:hAnsi="Times New Roman" w:cs="Times New Roman"/>
        </w:rPr>
        <w:lastRenderedPageBreak/>
        <w:t>discontinued. In September 1882, President Arthur issued an executive order declaring the lands be “restored to the public domain” (</w:t>
      </w:r>
      <w:r w:rsidRPr="004E06DE">
        <w:rPr>
          <w:rFonts w:ascii="Times New Roman" w:hAnsi="Times New Roman" w:cs="Times New Roman"/>
          <w:i/>
          <w:iCs/>
        </w:rPr>
        <w:t>Executive Orders</w:t>
      </w:r>
      <w:r w:rsidRPr="004E06DE">
        <w:rPr>
          <w:rFonts w:ascii="Times New Roman" w:hAnsi="Times New Roman" w:cs="Times New Roman"/>
        </w:rPr>
        <w:t xml:space="preserve"> 95). Reporting on the order a few days later, Oregon newspaper </w:t>
      </w:r>
      <w:r w:rsidRPr="004E06DE">
        <w:rPr>
          <w:rFonts w:ascii="Times New Roman" w:hAnsi="Times New Roman" w:cs="Times New Roman"/>
          <w:i/>
          <w:iCs/>
        </w:rPr>
        <w:t xml:space="preserve">The Morning Astorian </w:t>
      </w:r>
      <w:r w:rsidRPr="004E06DE">
        <w:rPr>
          <w:rFonts w:ascii="Times New Roman" w:hAnsi="Times New Roman" w:cs="Times New Roman"/>
        </w:rPr>
        <w:t xml:space="preserve">declared the former Malheur lands “build for settlement” (30 Sept. 1882, 3). This was the historical context in which, between 1879 and 1884, Winnemucca Hopkins appealed to non-Native audiences across the United States. In her lectures, she reiterated this narrative of her people’s early cooperation with whites, the rise and fall of the Malheur under Parrish and Rinehart, the Paiutes’ innocence in the Bannock War, and their unjust confinement to the Yakama Reservation. </w:t>
      </w:r>
    </w:p>
    <w:p w14:paraId="2E178BDC" w14:textId="77777777" w:rsidR="00287C65" w:rsidRPr="004E06DE" w:rsidRDefault="00287C65" w:rsidP="00287C65">
      <w:pPr>
        <w:autoSpaceDE w:val="0"/>
        <w:autoSpaceDN w:val="0"/>
        <w:adjustRightInd w:val="0"/>
        <w:spacing w:line="480" w:lineRule="auto"/>
        <w:ind w:firstLine="720"/>
        <w:rPr>
          <w:rFonts w:ascii="Times New Roman" w:hAnsi="Times New Roman" w:cs="Times New Roman"/>
        </w:rPr>
      </w:pPr>
      <w:r w:rsidRPr="004E06DE">
        <w:rPr>
          <w:rFonts w:ascii="Times New Roman" w:hAnsi="Times New Roman" w:cs="Times New Roman"/>
        </w:rPr>
        <w:t xml:space="preserve">Thus, we can see how Winnemucca Hopkins’s physical humor in her 1879 lectures helps establish a shared space of constructive resistance. Physical comedy like her pantomime of Rinehart does not only ridicule the agent’s obvious corruption in order to critique the BIA and call for reform, although it does that; it also opens up a dialogic space where she and her audience can imagine alternative future possibilities for the reservation system. Rather than an abject space of containment or oppression ruled by figures like Rinehart, Winnemucca Hopkins calls her audience to imagine the reservation (re)mapped as Native space. Similarly to how, according to Noreen Groover Lape, Winnemucca Hopkins employs “parody and hidden polemic” to “redefine assimilation” in </w:t>
      </w:r>
      <w:r w:rsidRPr="004E06DE">
        <w:rPr>
          <w:rFonts w:ascii="Times New Roman" w:hAnsi="Times New Roman" w:cs="Times New Roman"/>
          <w:i/>
          <w:iCs/>
        </w:rPr>
        <w:t xml:space="preserve">Life Among the Piutes </w:t>
      </w:r>
      <w:r w:rsidRPr="004E06DE">
        <w:rPr>
          <w:rFonts w:ascii="Times New Roman" w:hAnsi="Times New Roman" w:cs="Times New Roman"/>
        </w:rPr>
        <w:t xml:space="preserve">(263), in her lectures Winnemucca Hopkins used humor to (re)map the colonial space of the reservation system into a space defined by Paiute sovereignty and </w:t>
      </w:r>
      <w:commentRangeStart w:id="45"/>
      <w:r w:rsidRPr="004E06DE">
        <w:rPr>
          <w:rFonts w:ascii="Times New Roman" w:hAnsi="Times New Roman" w:cs="Times New Roman"/>
        </w:rPr>
        <w:t>futurity</w:t>
      </w:r>
      <w:commentRangeEnd w:id="45"/>
      <w:r w:rsidRPr="004E06DE">
        <w:rPr>
          <w:rStyle w:val="CommentReference"/>
          <w:rFonts w:eastAsiaTheme="majorEastAsia"/>
        </w:rPr>
        <w:commentReference w:id="45"/>
      </w:r>
      <w:r w:rsidRPr="004E06DE">
        <w:rPr>
          <w:rFonts w:ascii="Times New Roman" w:hAnsi="Times New Roman" w:cs="Times New Roman"/>
        </w:rPr>
        <w:t xml:space="preserve">. Notice her crucial qualification in 1879, easily passed over in </w:t>
      </w:r>
      <w:r w:rsidRPr="004E06DE">
        <w:rPr>
          <w:rFonts w:ascii="Times New Roman" w:hAnsi="Times New Roman" w:cs="Times New Roman"/>
        </w:rPr>
        <w:lastRenderedPageBreak/>
        <w:t xml:space="preserve">reading, that Paiutes “should be taught to build and farm, and educated </w:t>
      </w:r>
      <w:r w:rsidRPr="004E06DE">
        <w:rPr>
          <w:rFonts w:ascii="Times New Roman" w:hAnsi="Times New Roman" w:cs="Times New Roman"/>
          <w:i/>
          <w:iCs/>
        </w:rPr>
        <w:t>without the interference of an agent</w:t>
      </w:r>
      <w:r w:rsidRPr="004E06DE">
        <w:rPr>
          <w:rFonts w:ascii="Times New Roman" w:hAnsi="Times New Roman" w:cs="Times New Roman"/>
        </w:rPr>
        <w:t xml:space="preserve">, they could make their own living, and would be glad to do so” (qtd. in Carpenter and Sorisio 93-4, emphasis mine). Winnemucca Hopkins here defines the reservation as a space of self-determination free from the arbitrary power wielded by despots like Rinehart and even the well-meaning paternalism of </w:t>
      </w:r>
      <w:proofErr w:type="gramStart"/>
      <w:r w:rsidRPr="004E06DE">
        <w:rPr>
          <w:rFonts w:ascii="Times New Roman" w:hAnsi="Times New Roman" w:cs="Times New Roman"/>
        </w:rPr>
        <w:t>a Samuel</w:t>
      </w:r>
      <w:proofErr w:type="gramEnd"/>
      <w:r w:rsidRPr="004E06DE">
        <w:rPr>
          <w:rFonts w:ascii="Times New Roman" w:hAnsi="Times New Roman" w:cs="Times New Roman"/>
        </w:rPr>
        <w:t xml:space="preserve"> Parrish. Moreover, Northern Paiutes had already proved themselves adept at weaving traditional knowledge and values into western practices. Northern Paiutes thus transformed building, farming, and education, hallowed tenets of the Bureau of Indian Affairs’ plan to enculturate Native peoples, into tools for community-building, mutual support, and grassroot political organizing (Knack 109). Winnemucca Hopkins</w:t>
      </w:r>
      <w:commentRangeStart w:id="46"/>
      <w:r w:rsidRPr="004E06DE">
        <w:rPr>
          <w:rFonts w:ascii="Times New Roman" w:hAnsi="Times New Roman" w:cs="Times New Roman"/>
        </w:rPr>
        <w:t>’s body on stage offers further proof for her assertions of Paiute capability</w:t>
      </w:r>
      <w:commentRangeEnd w:id="46"/>
      <w:r w:rsidRPr="004E06DE">
        <w:rPr>
          <w:rStyle w:val="CommentReference"/>
          <w:rFonts w:eastAsiaTheme="majorEastAsia"/>
        </w:rPr>
        <w:commentReference w:id="46"/>
      </w:r>
      <w:r w:rsidRPr="004E06DE">
        <w:rPr>
          <w:rFonts w:ascii="Times New Roman" w:hAnsi="Times New Roman" w:cs="Times New Roman"/>
        </w:rPr>
        <w:t xml:space="preserve">. Nearly every newspaper article about her lectures lauds her communicative and rhetorical abilities. To her non-Native audience, Winnemucca Hopkins’s attainments indicate the future possibilities for the Paiutes if men such as Rinehart did not continue to oppress them for personal </w:t>
      </w:r>
      <w:commentRangeStart w:id="47"/>
      <w:r w:rsidRPr="004E06DE">
        <w:rPr>
          <w:rFonts w:ascii="Times New Roman" w:hAnsi="Times New Roman" w:cs="Times New Roman"/>
        </w:rPr>
        <w:t>gain</w:t>
      </w:r>
      <w:commentRangeEnd w:id="47"/>
      <w:r w:rsidRPr="004E06DE">
        <w:rPr>
          <w:rStyle w:val="CommentReference"/>
          <w:rFonts w:eastAsiaTheme="majorEastAsia"/>
        </w:rPr>
        <w:commentReference w:id="47"/>
      </w:r>
      <w:r w:rsidRPr="004E06DE">
        <w:rPr>
          <w:rFonts w:ascii="Times New Roman" w:hAnsi="Times New Roman" w:cs="Times New Roman"/>
        </w:rPr>
        <w:t xml:space="preserve">. </w:t>
      </w:r>
    </w:p>
    <w:p w14:paraId="585D4B11" w14:textId="77777777" w:rsidR="00287C65" w:rsidRPr="004E06DE" w:rsidRDefault="00287C65" w:rsidP="00287C65">
      <w:pPr>
        <w:autoSpaceDE w:val="0"/>
        <w:autoSpaceDN w:val="0"/>
        <w:adjustRightInd w:val="0"/>
        <w:spacing w:line="480" w:lineRule="auto"/>
        <w:ind w:firstLine="720"/>
        <w:rPr>
          <w:rFonts w:ascii="Times New Roman" w:hAnsi="Times New Roman" w:cs="Times New Roman"/>
        </w:rPr>
      </w:pPr>
      <w:r w:rsidRPr="004E06DE">
        <w:rPr>
          <w:rFonts w:ascii="Times New Roman" w:hAnsi="Times New Roman" w:cs="Times New Roman"/>
        </w:rPr>
        <w:t xml:space="preserve"> While Hopkin’s 1879 lectures did not result in a lasting change in the Northern Paiutes’ official status, in the establishment of a permanent home on the Malheur Reservation, or the sacking of Rinehart, she succeeded in connecting with her non-Native audience and engaging them in imagining alternative futures for the Paiutes outside colonial narratives. Her success is evident in the press of the time. For instance, an 1880 column in the </w:t>
      </w:r>
      <w:r w:rsidRPr="004E06DE">
        <w:rPr>
          <w:rFonts w:ascii="Times New Roman" w:hAnsi="Times New Roman" w:cs="Times New Roman"/>
          <w:i/>
          <w:iCs/>
        </w:rPr>
        <w:t xml:space="preserve">Daily Alta California </w:t>
      </w:r>
      <w:r w:rsidRPr="004E06DE">
        <w:rPr>
          <w:rFonts w:ascii="Times New Roman" w:hAnsi="Times New Roman" w:cs="Times New Roman"/>
        </w:rPr>
        <w:t>reporting on Winnemucca Hopkins’s meeting with Secretary Schurz in Washington proclaimed that:</w:t>
      </w:r>
    </w:p>
    <w:p w14:paraId="0E15A458" w14:textId="77777777" w:rsidR="00287C65" w:rsidRPr="004E06DE" w:rsidRDefault="00287C65" w:rsidP="00287C65">
      <w:pPr>
        <w:autoSpaceDE w:val="0"/>
        <w:autoSpaceDN w:val="0"/>
        <w:adjustRightInd w:val="0"/>
        <w:spacing w:line="480" w:lineRule="auto"/>
        <w:ind w:left="720"/>
        <w:rPr>
          <w:rFonts w:ascii="Times New Roman" w:hAnsi="Times New Roman" w:cs="Times New Roman"/>
          <w:shd w:val="clear" w:color="auto" w:fill="FFFFFF"/>
        </w:rPr>
      </w:pPr>
      <w:r w:rsidRPr="004E06DE">
        <w:rPr>
          <w:rFonts w:ascii="Times New Roman" w:hAnsi="Times New Roman" w:cs="Times New Roman"/>
          <w:shd w:val="clear" w:color="auto" w:fill="FFFFFF"/>
        </w:rPr>
        <w:lastRenderedPageBreak/>
        <w:t xml:space="preserve">The agreement appears to be that they [the Paiutes] and their tribe, or such of them as choose, may go [to] the Malheur Reservation, and there take up lands in severalty, thus conforming to the habits of white people, and so doing away with the Reservation curse, starvation and oppression from the Indian Agency, which, according to Sarah, were the causes of dissatisfaction on their part, resulting in every Piute leaving the Reservation and obtaining an uncertain and scanty subsistence elsewhere… Thus, after so many years and centuries, some of the descendants of the natives of this continent are to be treated as if they were rational, human like </w:t>
      </w:r>
      <w:proofErr w:type="gramStart"/>
      <w:r w:rsidRPr="004E06DE">
        <w:rPr>
          <w:rFonts w:ascii="Times New Roman" w:hAnsi="Times New Roman" w:cs="Times New Roman"/>
          <w:shd w:val="clear" w:color="auto" w:fill="FFFFFF"/>
        </w:rPr>
        <w:t>ourselves</w:t>
      </w:r>
      <w:proofErr w:type="gramEnd"/>
      <w:r w:rsidRPr="004E06DE">
        <w:rPr>
          <w:rFonts w:ascii="Times New Roman" w:hAnsi="Times New Roman" w:cs="Times New Roman"/>
          <w:shd w:val="clear" w:color="auto" w:fill="FFFFFF"/>
        </w:rPr>
        <w:t>, and entitled to living and a home on the land of their ancestors. We believe that a similar policy toward the Indians would have saved the country from most of the Indian wars of two hundred and fifty years. (</w:t>
      </w:r>
      <w:proofErr w:type="gramStart"/>
      <w:r w:rsidRPr="004E06DE">
        <w:rPr>
          <w:rFonts w:ascii="Times New Roman" w:hAnsi="Times New Roman" w:cs="Times New Roman"/>
        </w:rPr>
        <w:t>qtd</w:t>
      </w:r>
      <w:proofErr w:type="gramEnd"/>
      <w:r w:rsidRPr="004E06DE">
        <w:rPr>
          <w:rFonts w:ascii="Times New Roman" w:hAnsi="Times New Roman" w:cs="Times New Roman"/>
        </w:rPr>
        <w:t xml:space="preserve">. in </w:t>
      </w:r>
      <w:r w:rsidRPr="004E06DE">
        <w:rPr>
          <w:rFonts w:ascii="Times New Roman" w:hAnsi="Times New Roman" w:cs="Times New Roman"/>
          <w:shd w:val="clear" w:color="auto" w:fill="FFFFFF"/>
        </w:rPr>
        <w:t>Carpenter and Sorisio 116)</w:t>
      </w:r>
    </w:p>
    <w:p w14:paraId="31295800" w14:textId="77777777" w:rsidR="00287C65" w:rsidRPr="004E06DE" w:rsidRDefault="00287C65" w:rsidP="00287C65">
      <w:pPr>
        <w:autoSpaceDE w:val="0"/>
        <w:autoSpaceDN w:val="0"/>
        <w:adjustRightInd w:val="0"/>
        <w:spacing w:line="480" w:lineRule="auto"/>
        <w:rPr>
          <w:rFonts w:ascii="Times New Roman" w:hAnsi="Times New Roman" w:cs="Times New Roman"/>
          <w:shd w:val="clear" w:color="auto" w:fill="FFFFFF"/>
        </w:rPr>
      </w:pPr>
      <w:r w:rsidRPr="004E06DE">
        <w:rPr>
          <w:rFonts w:ascii="Times New Roman" w:hAnsi="Times New Roman" w:cs="Times New Roman"/>
          <w:shd w:val="clear" w:color="auto" w:fill="FFFFFF"/>
        </w:rPr>
        <w:t xml:space="preserve">The writer then turns from reportage to editorialization and critique. They continue: </w:t>
      </w:r>
    </w:p>
    <w:p w14:paraId="1A21C2DB" w14:textId="77777777" w:rsidR="00287C65" w:rsidRPr="004E06DE" w:rsidRDefault="00287C65" w:rsidP="00287C65">
      <w:pPr>
        <w:autoSpaceDE w:val="0"/>
        <w:autoSpaceDN w:val="0"/>
        <w:adjustRightInd w:val="0"/>
        <w:spacing w:line="480" w:lineRule="auto"/>
        <w:ind w:left="720"/>
        <w:rPr>
          <w:rFonts w:ascii="Times New Roman" w:hAnsi="Times New Roman" w:cs="Times New Roman"/>
          <w:shd w:val="clear" w:color="auto" w:fill="FFFFFF"/>
        </w:rPr>
      </w:pPr>
      <w:r w:rsidRPr="004E06DE">
        <w:rPr>
          <w:rFonts w:ascii="Times New Roman" w:hAnsi="Times New Roman" w:cs="Times New Roman"/>
          <w:shd w:val="clear" w:color="auto" w:fill="FFFFFF"/>
        </w:rPr>
        <w:t xml:space="preserve">We like our country, its institutions, its laws, its people generally, and, as a good American, are proud of them and ready on all proper occasions to defend them. But, like that railroad bridge over the Tay, some of its political spans are defective, unworthy of the country, and liable at some day or night, when the winds howl and clouds float athwart our sky, to plunge the passing train into the depths of the seething waters disaster and destruction. Had our </w:t>
      </w:r>
      <w:proofErr w:type="gramStart"/>
      <w:r w:rsidRPr="004E06DE">
        <w:rPr>
          <w:rFonts w:ascii="Times New Roman" w:hAnsi="Times New Roman" w:cs="Times New Roman"/>
          <w:shd w:val="clear" w:color="auto" w:fill="FFFFFF"/>
        </w:rPr>
        <w:t>Government</w:t>
      </w:r>
      <w:proofErr w:type="gramEnd"/>
      <w:r w:rsidRPr="004E06DE">
        <w:rPr>
          <w:rFonts w:ascii="Times New Roman" w:hAnsi="Times New Roman" w:cs="Times New Roman"/>
          <w:shd w:val="clear" w:color="auto" w:fill="FFFFFF"/>
        </w:rPr>
        <w:t xml:space="preserve"> and people dealt with the Indians on the principle that </w:t>
      </w:r>
      <w:commentRangeStart w:id="48"/>
      <w:r w:rsidRPr="004E06DE">
        <w:rPr>
          <w:rFonts w:ascii="Times New Roman" w:hAnsi="Times New Roman" w:cs="Times New Roman"/>
          <w:shd w:val="clear" w:color="auto" w:fill="FFFFFF"/>
        </w:rPr>
        <w:t>they had rights which we were bound to respect</w:t>
      </w:r>
      <w:commentRangeEnd w:id="48"/>
      <w:r w:rsidRPr="004E06DE">
        <w:rPr>
          <w:rStyle w:val="CommentReference"/>
          <w:rFonts w:eastAsiaTheme="majorEastAsia"/>
        </w:rPr>
        <w:commentReference w:id="48"/>
      </w:r>
      <w:r w:rsidRPr="004E06DE">
        <w:rPr>
          <w:rFonts w:ascii="Times New Roman" w:hAnsi="Times New Roman" w:cs="Times New Roman"/>
          <w:shd w:val="clear" w:color="auto" w:fill="FFFFFF"/>
        </w:rPr>
        <w:t xml:space="preserve">, most of our bloody and cruel Indian wars might have been </w:t>
      </w:r>
      <w:r w:rsidRPr="004E06DE">
        <w:rPr>
          <w:rFonts w:ascii="Times New Roman" w:hAnsi="Times New Roman" w:cs="Times New Roman"/>
          <w:shd w:val="clear" w:color="auto" w:fill="FFFFFF"/>
        </w:rPr>
        <w:lastRenderedPageBreak/>
        <w:t xml:space="preserve">avoided. At </w:t>
      </w:r>
      <w:proofErr w:type="gramStart"/>
      <w:r w:rsidRPr="004E06DE">
        <w:rPr>
          <w:rFonts w:ascii="Times New Roman" w:hAnsi="Times New Roman" w:cs="Times New Roman"/>
          <w:shd w:val="clear" w:color="auto" w:fill="FFFFFF"/>
        </w:rPr>
        <w:t>last</w:t>
      </w:r>
      <w:proofErr w:type="gramEnd"/>
      <w:r w:rsidRPr="004E06DE">
        <w:rPr>
          <w:rFonts w:ascii="Times New Roman" w:hAnsi="Times New Roman" w:cs="Times New Roman"/>
          <w:shd w:val="clear" w:color="auto" w:fill="FFFFFF"/>
        </w:rPr>
        <w:t xml:space="preserve"> we have, to some extent, adopted this idea, by allowing the Indian to choose and own his particular home. After more than 250 years of false policy and an unworthy humanity, we have come to this view of the question at last. (116-7)</w:t>
      </w:r>
    </w:p>
    <w:p w14:paraId="1C3D10A5" w14:textId="77777777" w:rsidR="00287C65" w:rsidRPr="004E06DE" w:rsidRDefault="00287C65" w:rsidP="00287C65">
      <w:pPr>
        <w:autoSpaceDE w:val="0"/>
        <w:autoSpaceDN w:val="0"/>
        <w:adjustRightInd w:val="0"/>
        <w:spacing w:line="480" w:lineRule="auto"/>
        <w:rPr>
          <w:rFonts w:ascii="Times New Roman" w:hAnsi="Times New Roman" w:cs="Times New Roman"/>
          <w:shd w:val="clear" w:color="auto" w:fill="FFFFFF"/>
        </w:rPr>
      </w:pPr>
      <w:r w:rsidRPr="004E06DE">
        <w:rPr>
          <w:rFonts w:ascii="Times New Roman" w:hAnsi="Times New Roman" w:cs="Times New Roman"/>
          <w:shd w:val="clear" w:color="auto" w:fill="FFFFFF"/>
        </w:rPr>
        <w:t xml:space="preserve">Much like Winnemucca Hopkins, </w:t>
      </w:r>
      <w:proofErr w:type="gramStart"/>
      <w:r w:rsidRPr="004E06DE">
        <w:rPr>
          <w:rFonts w:ascii="Times New Roman" w:hAnsi="Times New Roman" w:cs="Times New Roman"/>
          <w:shd w:val="clear" w:color="auto" w:fill="FFFFFF"/>
        </w:rPr>
        <w:t xml:space="preserve">the </w:t>
      </w:r>
      <w:r w:rsidRPr="004E06DE">
        <w:rPr>
          <w:rFonts w:ascii="Times New Roman" w:hAnsi="Times New Roman" w:cs="Times New Roman"/>
          <w:i/>
          <w:iCs/>
          <w:shd w:val="clear" w:color="auto" w:fill="FFFFFF"/>
        </w:rPr>
        <w:t>Alta</w:t>
      </w:r>
      <w:r w:rsidRPr="004E06DE">
        <w:rPr>
          <w:rFonts w:ascii="Times New Roman" w:hAnsi="Times New Roman" w:cs="Times New Roman"/>
          <w:shd w:val="clear" w:color="auto" w:fill="FFFFFF"/>
        </w:rPr>
        <w:t>’s</w:t>
      </w:r>
      <w:proofErr w:type="gramEnd"/>
      <w:r w:rsidRPr="004E06DE">
        <w:rPr>
          <w:rFonts w:ascii="Times New Roman" w:hAnsi="Times New Roman" w:cs="Times New Roman"/>
          <w:shd w:val="clear" w:color="auto" w:fill="FFFFFF"/>
        </w:rPr>
        <w:t xml:space="preserve"> critique of the government’s inhumanity does not merely tear down its country’s venerated institutions but focuses on imagining an alternative history of neighborly respect between Natives and non-Natives. The future they imagine is based </w:t>
      </w:r>
      <w:proofErr w:type="gramStart"/>
      <w:r w:rsidRPr="004E06DE">
        <w:rPr>
          <w:rFonts w:ascii="Times New Roman" w:hAnsi="Times New Roman" w:cs="Times New Roman"/>
          <w:shd w:val="clear" w:color="auto" w:fill="FFFFFF"/>
        </w:rPr>
        <w:t>in</w:t>
      </w:r>
      <w:proofErr w:type="gramEnd"/>
      <w:r w:rsidRPr="004E06DE">
        <w:rPr>
          <w:rFonts w:ascii="Times New Roman" w:hAnsi="Times New Roman" w:cs="Times New Roman"/>
          <w:shd w:val="clear" w:color="auto" w:fill="FFFFFF"/>
        </w:rPr>
        <w:t xml:space="preserve"> honoring Native nations’ connections to their lands by acknowledging those lands as sovereign Native space. Of course, </w:t>
      </w:r>
      <w:proofErr w:type="gramStart"/>
      <w:r w:rsidRPr="004E06DE">
        <w:rPr>
          <w:rFonts w:ascii="Times New Roman" w:hAnsi="Times New Roman" w:cs="Times New Roman"/>
          <w:shd w:val="clear" w:color="auto" w:fill="FFFFFF"/>
        </w:rPr>
        <w:t xml:space="preserve">the </w:t>
      </w:r>
      <w:r w:rsidRPr="004E06DE">
        <w:rPr>
          <w:rFonts w:ascii="Times New Roman" w:hAnsi="Times New Roman" w:cs="Times New Roman"/>
          <w:i/>
          <w:iCs/>
          <w:shd w:val="clear" w:color="auto" w:fill="FFFFFF"/>
        </w:rPr>
        <w:t>Alta</w:t>
      </w:r>
      <w:r w:rsidRPr="004E06DE">
        <w:rPr>
          <w:rFonts w:ascii="Times New Roman" w:hAnsi="Times New Roman" w:cs="Times New Roman"/>
          <w:shd w:val="clear" w:color="auto" w:fill="FFFFFF"/>
        </w:rPr>
        <w:t>’s</w:t>
      </w:r>
      <w:proofErr w:type="gramEnd"/>
      <w:r w:rsidRPr="004E06DE">
        <w:rPr>
          <w:rFonts w:ascii="Times New Roman" w:hAnsi="Times New Roman" w:cs="Times New Roman"/>
          <w:shd w:val="clear" w:color="auto" w:fill="FFFFFF"/>
        </w:rPr>
        <w:t xml:space="preserve"> vision still assumes the federal government’s right to remove and contain Native populations, however liberally. It is not an unproblematic vision, but it nevertheless indicates that Winnemucca Hopkins’s humor found some purchase with non-Native </w:t>
      </w:r>
      <w:commentRangeStart w:id="49"/>
      <w:r w:rsidRPr="004E06DE">
        <w:rPr>
          <w:rFonts w:ascii="Times New Roman" w:hAnsi="Times New Roman" w:cs="Times New Roman"/>
          <w:shd w:val="clear" w:color="auto" w:fill="FFFFFF"/>
        </w:rPr>
        <w:t>audiences</w:t>
      </w:r>
      <w:commentRangeEnd w:id="49"/>
      <w:r w:rsidRPr="004E06DE">
        <w:rPr>
          <w:rStyle w:val="CommentReference"/>
          <w:rFonts w:eastAsiaTheme="majorEastAsia"/>
        </w:rPr>
        <w:commentReference w:id="49"/>
      </w:r>
      <w:r w:rsidRPr="004E06DE">
        <w:rPr>
          <w:rFonts w:ascii="Times New Roman" w:hAnsi="Times New Roman" w:cs="Times New Roman"/>
          <w:shd w:val="clear" w:color="auto" w:fill="FFFFFF"/>
        </w:rPr>
        <w:t xml:space="preserve">.  </w:t>
      </w:r>
    </w:p>
    <w:p w14:paraId="395CA43F" w14:textId="77777777" w:rsidR="00287C65" w:rsidRPr="00287C65" w:rsidRDefault="00287C65" w:rsidP="00287C65">
      <w:pPr>
        <w:pStyle w:val="Heading2"/>
        <w:jc w:val="center"/>
        <w:rPr>
          <w:rFonts w:ascii="Times New Roman" w:hAnsi="Times New Roman" w:cs="Times New Roman"/>
          <w:b/>
          <w:bCs/>
          <w:color w:val="auto"/>
          <w:sz w:val="24"/>
          <w:szCs w:val="24"/>
          <w:shd w:val="clear" w:color="auto" w:fill="FFFFFF"/>
        </w:rPr>
      </w:pPr>
      <w:bookmarkStart w:id="50" w:name="_Toc169279176"/>
      <w:r w:rsidRPr="00287C65">
        <w:rPr>
          <w:rFonts w:ascii="Times New Roman" w:hAnsi="Times New Roman" w:cs="Times New Roman"/>
          <w:b/>
          <w:bCs/>
          <w:color w:val="auto"/>
          <w:sz w:val="24"/>
          <w:szCs w:val="24"/>
          <w:shd w:val="clear" w:color="auto" w:fill="FFFFFF"/>
        </w:rPr>
        <w:t>Native Erasure and National Renewal in Twain’s Lectures, 1867-1872</w:t>
      </w:r>
      <w:bookmarkEnd w:id="50"/>
    </w:p>
    <w:p w14:paraId="3215DE6D" w14:textId="77777777" w:rsidR="00287C65" w:rsidRPr="004E06DE" w:rsidRDefault="00287C65" w:rsidP="00287C65">
      <w:pPr>
        <w:spacing w:line="480" w:lineRule="auto"/>
        <w:rPr>
          <w:rFonts w:ascii="Times New Roman" w:hAnsi="Times New Roman" w:cs="Times New Roman"/>
        </w:rPr>
      </w:pPr>
    </w:p>
    <w:p w14:paraId="0C02D7C3"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While Winnemucca Hopkins used her embodied humor to (re)map colonial spatial paradigms and to promote neighborliness and cooperation between Northern Paiutes and non-Native whites, Mark Twain’s stylistic manner of lecturing, which mixed irreverent humor with sublime natural description, worked to erase Native presence from traditional lands in the U.S. West and Hawai’i and to territorialize those places as property of the American republic. Twain’s politics with regards to American imperialism and Native rights shifted across his lifetime; nevertheless, his travel writings </w:t>
      </w:r>
      <w:r w:rsidRPr="004E06DE">
        <w:rPr>
          <w:rFonts w:ascii="Times New Roman" w:hAnsi="Times New Roman" w:cs="Times New Roman"/>
        </w:rPr>
        <w:lastRenderedPageBreak/>
        <w:t>and lectures continued use racializing and exoticizing humor to present Native people as others against whom his white, East Coast American audiences defined themselves racially and nationalistically. For instance, in his earliest and most popular lecture, which he sometimes called “Our Fellow Savages of the Sandwich Islands,” much of Twain’s humor arises out of the incongruity between the ostensibly ridiculous customs of the Native Hawaiians and the supremely practical American expatriates and visitors (including Twain himself) who represented the colonizing forces of American commerce and culture in the islands. In one example, Twain jokes that it is a “peculiarity of these Kanakas…that nearly every one of them has a dozen mothers” (</w:t>
      </w:r>
      <w:proofErr w:type="spellStart"/>
      <w:r w:rsidRPr="004E06DE">
        <w:rPr>
          <w:rFonts w:ascii="Times New Roman" w:hAnsi="Times New Roman" w:cs="Times New Roman"/>
        </w:rPr>
        <w:t>Fatout</w:t>
      </w:r>
      <w:proofErr w:type="spellEnd"/>
      <w:r w:rsidRPr="004E06DE">
        <w:rPr>
          <w:rFonts w:ascii="Times New Roman" w:hAnsi="Times New Roman" w:cs="Times New Roman"/>
        </w:rPr>
        <w:t xml:space="preserve"> 8). He presents a funny dialogue between </w:t>
      </w:r>
      <w:commentRangeStart w:id="51"/>
      <w:r w:rsidRPr="004E06DE">
        <w:rPr>
          <w:rFonts w:ascii="Times New Roman" w:hAnsi="Times New Roman" w:cs="Times New Roman"/>
        </w:rPr>
        <w:t xml:space="preserve">a Native Hawaiian laborer and a sugar grower </w:t>
      </w:r>
      <w:commentRangeEnd w:id="51"/>
      <w:r w:rsidRPr="004E06DE">
        <w:rPr>
          <w:rStyle w:val="CommentReference"/>
          <w:rFonts w:eastAsiaTheme="majorEastAsia"/>
        </w:rPr>
        <w:commentReference w:id="51"/>
      </w:r>
      <w:r w:rsidRPr="004E06DE">
        <w:rPr>
          <w:rFonts w:ascii="Times New Roman" w:hAnsi="Times New Roman" w:cs="Times New Roman"/>
        </w:rPr>
        <w:t xml:space="preserve">from California who grows increasingly more exasperated as the worker asks off work again and again, each time burying another mother. The premise of Twain’s anecdote points to </w:t>
      </w:r>
      <w:r w:rsidRPr="004E06DE">
        <w:rPr>
          <w:rStyle w:val="cf01"/>
          <w:rFonts w:ascii="Times New Roman" w:hAnsi="Times New Roman" w:cs="Times New Roman"/>
        </w:rPr>
        <w:t>American colonizers’ theft of Native Hawaiian lands and the extraction of Native labor and natural resources, which continues to this day.</w:t>
      </w:r>
      <w:r w:rsidRPr="004E06DE">
        <w:rPr>
          <w:rFonts w:ascii="Times New Roman" w:hAnsi="Times New Roman" w:cs="Times New Roman"/>
        </w:rPr>
        <w:t xml:space="preserve"> Eventually, the exasperated plantation owner explodes: “I don’t want to be hard on you in your affliction, but it appears to me that your stock of mothers holds out pretty well. It interferes with business, so clear out, and never come back until you have buried every mother you have in the world” (9).</w:t>
      </w:r>
    </w:p>
    <w:p w14:paraId="641C1759"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This joke illustrates the kind of exoticizing humor that made Twain’s travel writing and lectures about other places so popular with white audiences in the nineteenth century and today. However, Twain’s jokes should not be separated from the historical specificity of mid- to late-nineteenth century America. In 1868, when Twain first performed his “Sandwich Islands” lecture, the United States was still riven by divisions </w:t>
      </w:r>
      <w:r w:rsidRPr="004E06DE">
        <w:rPr>
          <w:rFonts w:ascii="Times New Roman" w:hAnsi="Times New Roman" w:cs="Times New Roman"/>
        </w:rPr>
        <w:lastRenderedPageBreak/>
        <w:t xml:space="preserve">over the Civil War and Radical Reconstruction. Mark Twain entered into a postwar United States permeated with racial tensions and a fractured sense of national identity. </w:t>
      </w:r>
      <w:proofErr w:type="gramStart"/>
      <w:r w:rsidRPr="004E06DE">
        <w:rPr>
          <w:rFonts w:ascii="Times New Roman" w:hAnsi="Times New Roman" w:cs="Times New Roman"/>
        </w:rPr>
        <w:t>Much</w:t>
      </w:r>
      <w:proofErr w:type="gramEnd"/>
      <w:r w:rsidRPr="004E06DE">
        <w:rPr>
          <w:rFonts w:ascii="Times New Roman" w:hAnsi="Times New Roman" w:cs="Times New Roman"/>
        </w:rPr>
        <w:t xml:space="preserve"> Twain scholarship attests to the role of Twain’s writings and lectures in the emergence of a new sense of the nation. For instance, Marlene Boyd Vallin argues that Twain’s irreverent humor holds up the experience of the “American Everyman” against the “Establishment’s hypocrisy” (4), “consistently and doggedly” promoting “virtues of authenticity and autonomy,” which cultural commentators like Twain claim “derived naturally from the uniquely American frontier experience” (8). Thus, for many Twain scholars, Twain occupies an interesting and complex position as simultaneously a populist standard bearer for authenticity and autonomy in the face of civilizing institutions and also what Vallin calls a “Representative American” who contributed mightily to the emergence of a coherent American national identity in the post-Civil War period (12). As I show below, decolonizing such perspectives is necessary if we are to get a good sense of how Twain’s writings and critical legacy </w:t>
      </w:r>
      <w:proofErr w:type="gramStart"/>
      <w:r w:rsidRPr="004E06DE">
        <w:rPr>
          <w:rFonts w:ascii="Times New Roman" w:hAnsi="Times New Roman" w:cs="Times New Roman"/>
        </w:rPr>
        <w:t>perpetuate</w:t>
      </w:r>
      <w:proofErr w:type="gramEnd"/>
      <w:r w:rsidRPr="004E06DE">
        <w:rPr>
          <w:rFonts w:ascii="Times New Roman" w:hAnsi="Times New Roman" w:cs="Times New Roman"/>
        </w:rPr>
        <w:t xml:space="preserve"> settler colonialist ideology.  </w:t>
      </w:r>
    </w:p>
    <w:p w14:paraId="24B8A46D" w14:textId="77777777" w:rsidR="00287C65" w:rsidRPr="004E06DE" w:rsidRDefault="00287C65" w:rsidP="00287C65">
      <w:pPr>
        <w:spacing w:line="480" w:lineRule="auto"/>
        <w:ind w:firstLine="720"/>
        <w:rPr>
          <w:rFonts w:ascii="Times New Roman" w:hAnsi="Times New Roman" w:cs="Times New Roman"/>
          <w:color w:val="000000"/>
        </w:rPr>
      </w:pPr>
      <w:r w:rsidRPr="004E06DE">
        <w:rPr>
          <w:rFonts w:ascii="Times New Roman" w:hAnsi="Times New Roman" w:cs="Times New Roman"/>
        </w:rPr>
        <w:t xml:space="preserve">Viewing Twain’s writing through an Indigenous Studies lens reveals how some strains of Twain scholarship have naturalized virtues like “authenticity,” obscuring the way that these constructed categories contribute to the erasure of Native peoples in his work. I argue that viewing Twain’s lectures as expressions of a cultural settler colonialist ideology helps bridge these apparent contradictions. As we saw in Chapter 2, claims to autochthonic “virtues” such as autonomy, authenticity, and “real living” are common </w:t>
      </w:r>
      <w:r w:rsidRPr="004E06DE">
        <w:rPr>
          <w:rFonts w:ascii="Times New Roman" w:hAnsi="Times New Roman" w:cs="Times New Roman"/>
        </w:rPr>
        <w:lastRenderedPageBreak/>
        <w:t xml:space="preserve">discursive ways of articulating a sense of place and </w:t>
      </w:r>
      <w:commentRangeStart w:id="52"/>
      <w:r w:rsidRPr="004E06DE">
        <w:rPr>
          <w:rFonts w:ascii="Times New Roman" w:hAnsi="Times New Roman" w:cs="Times New Roman"/>
        </w:rPr>
        <w:t>indigenizing whiteness in dispossessed Native lands</w:t>
      </w:r>
      <w:commentRangeEnd w:id="52"/>
      <w:r w:rsidRPr="004E06DE">
        <w:rPr>
          <w:rStyle w:val="CommentReference"/>
          <w:rFonts w:eastAsiaTheme="majorEastAsia"/>
        </w:rPr>
        <w:commentReference w:id="52"/>
      </w:r>
      <w:r w:rsidRPr="004E06DE">
        <w:rPr>
          <w:rFonts w:ascii="Times New Roman" w:hAnsi="Times New Roman" w:cs="Times New Roman"/>
        </w:rPr>
        <w:t xml:space="preserve">. Like other contemporary cultural figureheads of his day, Twain built his identity as “Representative American” against exoticized, racialized, and erased Native bodies. I begin with a discussion of the humor of Twain’s “Sandwich Islands” lecture, sometimes called “Our Fellow Savages of the Sandwich Islands,” and the ways that his comedy renders Native bodies and cultures ridiculous in order to enhance and promote a sense of superiority and even paternal responsibility over the Kanaka </w:t>
      </w:r>
      <w:proofErr w:type="spellStart"/>
      <w:r w:rsidRPr="004E06DE">
        <w:rPr>
          <w:rFonts w:ascii="Times New Roman" w:hAnsi="Times New Roman" w:cs="Times New Roman"/>
        </w:rPr>
        <w:t>Maoli</w:t>
      </w:r>
      <w:proofErr w:type="spellEnd"/>
      <w:r w:rsidRPr="004E06DE">
        <w:rPr>
          <w:rFonts w:ascii="Times New Roman" w:hAnsi="Times New Roman" w:cs="Times New Roman"/>
        </w:rPr>
        <w:t xml:space="preserve"> (Native Hawaiians). </w:t>
      </w:r>
      <w:commentRangeStart w:id="53"/>
      <w:r w:rsidRPr="004E06DE">
        <w:rPr>
          <w:rFonts w:ascii="Times New Roman" w:hAnsi="Times New Roman" w:cs="Times New Roman"/>
        </w:rPr>
        <w:t xml:space="preserve">That Twain’s humor, like Washington Irving’s as seen in Chapter 1, also casts a </w:t>
      </w:r>
      <w:proofErr w:type="spellStart"/>
      <w:r w:rsidRPr="004E06DE">
        <w:rPr>
          <w:rFonts w:ascii="Times New Roman" w:hAnsi="Times New Roman" w:cs="Times New Roman"/>
        </w:rPr>
        <w:t>wry</w:t>
      </w:r>
      <w:proofErr w:type="spellEnd"/>
      <w:r w:rsidRPr="004E06DE">
        <w:rPr>
          <w:rFonts w:ascii="Times New Roman" w:hAnsi="Times New Roman" w:cs="Times New Roman"/>
        </w:rPr>
        <w:t xml:space="preserve"> eye on the ironies of colonialism, it is not to weaken his audiences’ faith in their national institutions, but to amplify his moral criticism of hypocrisy</w:t>
      </w:r>
      <w:commentRangeEnd w:id="53"/>
      <w:r w:rsidRPr="004E06DE">
        <w:rPr>
          <w:rStyle w:val="CommentReference"/>
          <w:rFonts w:eastAsiaTheme="majorEastAsia"/>
        </w:rPr>
        <w:commentReference w:id="53"/>
      </w:r>
      <w:r w:rsidRPr="004E06DE">
        <w:rPr>
          <w:rFonts w:ascii="Times New Roman" w:hAnsi="Times New Roman" w:cs="Times New Roman"/>
        </w:rPr>
        <w:t xml:space="preserve">. Therefore, as well shall see, the erasure and elimination of Native bodies in Twain’s lectures </w:t>
      </w:r>
      <w:commentRangeStart w:id="54"/>
      <w:r w:rsidRPr="004E06DE">
        <w:rPr>
          <w:rFonts w:ascii="Times New Roman" w:hAnsi="Times New Roman" w:cs="Times New Roman"/>
        </w:rPr>
        <w:t>does not  criticize the American nation-state but rather reinforces it by shoring up a sense of the mentally, physically, and morally superior white, masculine individual at the center of the republic</w:t>
      </w:r>
      <w:commentRangeEnd w:id="54"/>
      <w:r w:rsidRPr="004E06DE">
        <w:rPr>
          <w:rStyle w:val="CommentReference"/>
          <w:rFonts w:eastAsiaTheme="majorEastAsia"/>
        </w:rPr>
        <w:commentReference w:id="54"/>
      </w:r>
      <w:r w:rsidRPr="004E06DE">
        <w:rPr>
          <w:rFonts w:ascii="Times New Roman" w:hAnsi="Times New Roman" w:cs="Times New Roman"/>
        </w:rPr>
        <w:t xml:space="preserve">. In this way, Twain’s lectures </w:t>
      </w:r>
      <w:r w:rsidRPr="004E06DE">
        <w:rPr>
          <w:rFonts w:ascii="Times New Roman" w:hAnsi="Times New Roman" w:cs="Times New Roman"/>
          <w:color w:val="000000"/>
        </w:rPr>
        <w:t>provided “America…[an imaginary] site where it could explore and act out its nationhood away from recurring squabbles” (McBride 51).</w:t>
      </w:r>
    </w:p>
    <w:p w14:paraId="5A889D12"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My analysis of Twain’s investments in settler colonial projects in Hawai’i consider that Twain has long been understood as an anti-imperialist. According to an older scholarly consensus, the Spanish-American War, the Philippines-American War, and the Second Boer War instantiated a turning point in Twain’s supposedly stalwart nationalism and patriotism throughout the 1860’s, 70’s, and 80’s. While Twain saw the </w:t>
      </w:r>
      <w:r w:rsidRPr="004E06DE">
        <w:rPr>
          <w:rFonts w:ascii="Times New Roman" w:hAnsi="Times New Roman" w:cs="Times New Roman"/>
        </w:rPr>
        <w:lastRenderedPageBreak/>
        <w:t xml:space="preserve">Spanish-American War as an emancipatory war and thus demonstrative of the United States’s continued commitment to spreading global democracy (Gibson 437), he strongly denounced the annexation of Puerto Rico, Guam, and the Philippines after the war. Many scholars point to an anti-imperialist “period” in Twain’s writing lasting from roughly 1898 to 1902 responsive to these world events (Gibson, Bridgman, Hawkins). However, John Carlos Rowe argues that this tradition of periodizing Twain’s anti-imperialist sympathies obscures how “anticolonial and anti-imperialist attitudes inflect virtually all of Twain’s writings” (176). Rowe backdates Twain’s “ambivalence regarding </w:t>
      </w:r>
      <w:proofErr w:type="spellStart"/>
      <w:r w:rsidRPr="004E06DE">
        <w:rPr>
          <w:rFonts w:ascii="Times New Roman" w:hAnsi="Times New Roman" w:cs="Times New Roman"/>
        </w:rPr>
        <w:t>Euroamerican</w:t>
      </w:r>
      <w:proofErr w:type="spellEnd"/>
      <w:r w:rsidRPr="004E06DE">
        <w:rPr>
          <w:rFonts w:ascii="Times New Roman" w:hAnsi="Times New Roman" w:cs="Times New Roman"/>
        </w:rPr>
        <w:t xml:space="preserve"> imperialism” at least a decade to the publication of </w:t>
      </w:r>
      <w:r w:rsidRPr="004E06DE">
        <w:rPr>
          <w:rFonts w:ascii="Times New Roman" w:hAnsi="Times New Roman" w:cs="Times New Roman"/>
          <w:i/>
          <w:iCs/>
        </w:rPr>
        <w:t>A Connecticut Yankee in King Arthur’s Court</w:t>
      </w:r>
      <w:r w:rsidRPr="004E06DE">
        <w:rPr>
          <w:rFonts w:ascii="Times New Roman" w:hAnsi="Times New Roman" w:cs="Times New Roman"/>
        </w:rPr>
        <w:t xml:space="preserve"> (1889). </w:t>
      </w:r>
    </w:p>
    <w:p w14:paraId="45FEB393"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More recent critics have problematized this narrative by examining Twain’s lifelong imbrication with American imperialism. Amy Kaplan, in </w:t>
      </w:r>
      <w:r w:rsidRPr="004E06DE">
        <w:rPr>
          <w:rFonts w:ascii="Times New Roman" w:hAnsi="Times New Roman" w:cs="Times New Roman"/>
          <w:i/>
          <w:iCs/>
        </w:rPr>
        <w:t>The Anarchy of Empire</w:t>
      </w:r>
      <w:r w:rsidRPr="004E06DE">
        <w:rPr>
          <w:rFonts w:ascii="Times New Roman" w:hAnsi="Times New Roman" w:cs="Times New Roman"/>
        </w:rPr>
        <w:t xml:space="preserve">, focuses on Twain’s encounters with American colonialism in Hawai’i in 1866 and draws provocative connections between his earliest journalistic reports from the islands and his later fictionalized treatments of American </w:t>
      </w:r>
      <w:commentRangeStart w:id="55"/>
      <w:r w:rsidRPr="004E06DE">
        <w:rPr>
          <w:rFonts w:ascii="Times New Roman" w:hAnsi="Times New Roman" w:cs="Times New Roman"/>
        </w:rPr>
        <w:t>slavery</w:t>
      </w:r>
      <w:commentRangeEnd w:id="55"/>
      <w:r w:rsidRPr="004E06DE">
        <w:rPr>
          <w:rStyle w:val="CommentReference"/>
          <w:rFonts w:eastAsiaTheme="majorEastAsia"/>
        </w:rPr>
        <w:commentReference w:id="55"/>
      </w:r>
      <w:r w:rsidRPr="004E06DE">
        <w:rPr>
          <w:rFonts w:ascii="Times New Roman" w:hAnsi="Times New Roman" w:cs="Times New Roman"/>
        </w:rPr>
        <w:t xml:space="preserve">. Kaplan “proposes that the nationality identity of Mark Twain” and his iconographic status as the Representative American writer, “was forged in an international context of imperial expansion” (52). Separating the persona Mark Twain from the man Samuel Clemens, Christopher McBride argues that Clemens self-consciously “refashion[ed] himself as a figure of national consolidation.” “With…entertaining travel descriptions, [Clemens] created a comic persona [Twain] that sided with American imperial and capitalist interests, while </w:t>
      </w:r>
      <w:r w:rsidRPr="004E06DE">
        <w:rPr>
          <w:rFonts w:ascii="Times New Roman" w:hAnsi="Times New Roman" w:cs="Times New Roman"/>
        </w:rPr>
        <w:lastRenderedPageBreak/>
        <w:t xml:space="preserve">simultaneously uniting a divided America around economic gain and subjugation of “lesser” island natives” (67). McBride concludes that Clemens </w:t>
      </w:r>
      <w:r w:rsidRPr="004E06DE">
        <w:rPr>
          <w:rFonts w:ascii="Times New Roman" w:hAnsi="Times New Roman" w:cs="Times New Roman"/>
        </w:rPr>
        <w:br/>
        <w:t xml:space="preserve">“could not maintain this humorous imperial stance indefinitely;” as evidenced in his later anti-imperialist writings (67). In her study of Mark Twain’s relationship to the Indigenous peoples of North America, Kerry Driscoll locates a tension in Twain’s newfound anti-imperialism. Holding up Twain’s evidently changing attitudes about the domination of Indigenous peoples abroad alongside his ostensible progressive view of Black-white race relations in the U.S., Driscoll points out that Twain does not seem to have demonstrated the same epiphanic “imperial conscience” regarding the attempted structural elimination of the Native populations at home. While his experiences abroad, particularly among the Māori in Aotearoa, “caused the writer to question both the notion of progress and long-held assumptions concerning the binaries of savagery and civilization,” Twain nevertheless “continued to avoid the uncomfortable topic of American Indians during his last decade” despite his seeming awareness of the clear parallels between European and American settler </w:t>
      </w:r>
      <w:commentRangeStart w:id="56"/>
      <w:r w:rsidRPr="004E06DE">
        <w:rPr>
          <w:rFonts w:ascii="Times New Roman" w:hAnsi="Times New Roman" w:cs="Times New Roman"/>
        </w:rPr>
        <w:t>colonialism</w:t>
      </w:r>
      <w:commentRangeEnd w:id="56"/>
      <w:r w:rsidRPr="004E06DE">
        <w:rPr>
          <w:rStyle w:val="CommentReference"/>
          <w:rFonts w:eastAsiaTheme="majorEastAsia"/>
        </w:rPr>
        <w:commentReference w:id="56"/>
      </w:r>
      <w:r w:rsidRPr="004E06DE">
        <w:rPr>
          <w:rFonts w:ascii="Times New Roman" w:hAnsi="Times New Roman" w:cs="Times New Roman"/>
        </w:rPr>
        <w:t xml:space="preserve"> (11-2).  </w:t>
      </w:r>
    </w:p>
    <w:p w14:paraId="573BE7CA"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t xml:space="preserve"> </w:t>
      </w:r>
      <w:r w:rsidRPr="004E06DE">
        <w:rPr>
          <w:rFonts w:ascii="Times New Roman" w:hAnsi="Times New Roman" w:cs="Times New Roman"/>
        </w:rPr>
        <w:tab/>
      </w:r>
      <w:bookmarkStart w:id="57" w:name="_Hlk158806964"/>
      <w:r w:rsidRPr="004E06DE">
        <w:rPr>
          <w:rFonts w:ascii="Times New Roman" w:hAnsi="Times New Roman" w:cs="Times New Roman"/>
        </w:rPr>
        <w:t xml:space="preserve">I aim to clear some ground in this debate by calling attention to Twain’s actions as signaling his investments in American settler colonial projects. I follow Patrick Wolfe in distinguishing between settler colonialism as a “structure, not an event” predicated upon the “logic of elimination” of the Native, and franchise colonialism, in which the geographically distinct (and perhaps distant) metropole imposes an oppressive economic and political regime upon a Native population in order to extract its resources (388). The </w:t>
      </w:r>
      <w:r w:rsidRPr="004E06DE">
        <w:rPr>
          <w:rFonts w:ascii="Times New Roman" w:hAnsi="Times New Roman" w:cs="Times New Roman"/>
        </w:rPr>
        <w:lastRenderedPageBreak/>
        <w:t xml:space="preserve">important difference between the two systems is that under settler colonialism, settlers </w:t>
      </w:r>
      <w:proofErr w:type="gramStart"/>
      <w:r w:rsidRPr="004E06DE">
        <w:rPr>
          <w:rFonts w:ascii="Times New Roman" w:hAnsi="Times New Roman" w:cs="Times New Roman"/>
        </w:rPr>
        <w:t>come</w:t>
      </w:r>
      <w:proofErr w:type="gramEnd"/>
      <w:r w:rsidRPr="004E06DE">
        <w:rPr>
          <w:rFonts w:ascii="Times New Roman" w:hAnsi="Times New Roman" w:cs="Times New Roman"/>
        </w:rPr>
        <w:t xml:space="preserve"> to stay and seek to transform dispossessed Native lands into the metropole. In settler states, structural techniques of containment, erasure, and elimination serve to remove and vanish Indigenous owners of the land and naturalize (or indigenize) settler epistemologies, histories, and land claims, as we saw in Chapter 2. These systemic processes (which many scholars aptly term “logics”) inhere at the level of ideology and become rote and normative for settler subjects. Mark Rifkin terms this permeated worldview “settler common sense,” which he writes “suggest the ways the legal and political structures that enable non-Native access to Indigenous territories come to be lived as given, as simply the unmarked, generic conditions of possibility for occupancy, association, history, and personhood” (xvi). Rifkin chooses the authors he examines, </w:t>
      </w:r>
      <w:proofErr w:type="spellStart"/>
      <w:r w:rsidRPr="004E06DE">
        <w:rPr>
          <w:rFonts w:ascii="Times New Roman" w:hAnsi="Times New Roman" w:cs="Times New Roman"/>
        </w:rPr>
        <w:t>hypercanonized</w:t>
      </w:r>
      <w:proofErr w:type="spellEnd"/>
      <w:r w:rsidRPr="004E06DE">
        <w:rPr>
          <w:rFonts w:ascii="Times New Roman" w:hAnsi="Times New Roman" w:cs="Times New Roman"/>
        </w:rPr>
        <w:t xml:space="preserve"> icons of the American Renaissance, because their writing, though it is “written and set far from the frontier’” and does not feature Native figures to significant degrees, “can be theorized and historicized as relying in critical ways on the institutionalized dynamics through which Indigenous presence and polities are translated, managed, and/or elided, demonstrating how everyday instantiations of settlement provide the materials out of which non-Native ethics, ideals, and orientations emerge” (xvii). Mark Twain </w:t>
      </w:r>
      <w:proofErr w:type="gramStart"/>
      <w:r w:rsidRPr="004E06DE">
        <w:rPr>
          <w:rFonts w:ascii="Times New Roman" w:hAnsi="Times New Roman" w:cs="Times New Roman"/>
        </w:rPr>
        <w:t>is writing</w:t>
      </w:r>
      <w:proofErr w:type="gramEnd"/>
      <w:r w:rsidRPr="004E06DE">
        <w:rPr>
          <w:rFonts w:ascii="Times New Roman" w:hAnsi="Times New Roman" w:cs="Times New Roman"/>
        </w:rPr>
        <w:t xml:space="preserve"> and speaking about the frontier and is to a great extent himself a literary creation of the frontier, but he is no less entrenched in the normative psychic (and literal) landscapes of settler colonialism for that. Indeed, Rifkin’s framework helps us see how the “democratic values” that, above, Marlene Boyd Vallin attributes to Twain </w:t>
      </w:r>
      <w:r w:rsidRPr="004E06DE">
        <w:rPr>
          <w:rFonts w:ascii="Times New Roman" w:hAnsi="Times New Roman" w:cs="Times New Roman"/>
        </w:rPr>
        <w:lastRenderedPageBreak/>
        <w:t xml:space="preserve">(autonomy, authenticity, common sense) did not simply come from his experiences on the “frontier” but are themselves discursive manifestations of settler colonial logics that structure and territorialize the “frontier” as a non-Native space of subject formation, rather than contested Native space. </w:t>
      </w:r>
    </w:p>
    <w:p w14:paraId="303824F9"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tab/>
        <w:t>It is important to distinguish between settler colonialism and franchise colonialism in Mark Twain’s case, because it helps explain his seemingly incommensurate attitudes towards America’s treatment of Puerto Ricans, Filipinos, and other native populations abroad on the one hand and the plight of Indigenous peoples, such as the Northern Paiutes of the Great Basin, in the U.</w:t>
      </w:r>
      <w:commentRangeStart w:id="58"/>
      <w:r w:rsidRPr="004E06DE">
        <w:rPr>
          <w:rFonts w:ascii="Times New Roman" w:hAnsi="Times New Roman" w:cs="Times New Roman"/>
        </w:rPr>
        <w:t>S</w:t>
      </w:r>
      <w:commentRangeEnd w:id="58"/>
      <w:r w:rsidRPr="004E06DE">
        <w:rPr>
          <w:rStyle w:val="CommentReference"/>
          <w:rFonts w:eastAsiaTheme="majorEastAsia"/>
        </w:rPr>
        <w:commentReference w:id="58"/>
      </w:r>
      <w:r w:rsidRPr="004E06DE">
        <w:rPr>
          <w:rFonts w:ascii="Times New Roman" w:hAnsi="Times New Roman" w:cs="Times New Roman"/>
        </w:rPr>
        <w:t>. The United States’s annexation of former Spanish colonies in 1898 and its treatment of the Filipino resistance in the Philippines-American War seemed to Twain to resemble tyrannical European-style colonialism antithetical to democratic American principles. In his satirical “A Defense of General Funston” (1902) Twain draws ironic contrasts between Eduardo Aguinaldo, the leader of the Filipino revolutionary forces who resisted U.S. occupation, and George Washington, calling attention to the United States’s hypocritical abandonment of its core republican principles.</w:t>
      </w:r>
      <w:r w:rsidRPr="004E06DE">
        <w:rPr>
          <w:rStyle w:val="FootnoteReference"/>
          <w:rFonts w:ascii="Times New Roman" w:eastAsiaTheme="majorEastAsia" w:hAnsi="Times New Roman" w:cs="Times New Roman"/>
        </w:rPr>
        <w:footnoteReference w:id="57"/>
      </w:r>
      <w:r w:rsidRPr="004E06DE">
        <w:rPr>
          <w:rFonts w:ascii="Times New Roman" w:hAnsi="Times New Roman" w:cs="Times New Roman"/>
        </w:rPr>
        <w:t xml:space="preserve"> “I thought it would be a great thing to give a whole lot of freedom to the Filipinos,” Twain unironically told the </w:t>
      </w:r>
      <w:r w:rsidRPr="004E06DE">
        <w:rPr>
          <w:rFonts w:ascii="Times New Roman" w:hAnsi="Times New Roman" w:cs="Times New Roman"/>
          <w:i/>
          <w:iCs/>
        </w:rPr>
        <w:t xml:space="preserve">Chicago Tribune </w:t>
      </w:r>
      <w:r w:rsidRPr="004E06DE">
        <w:rPr>
          <w:rFonts w:ascii="Times New Roman" w:hAnsi="Times New Roman" w:cs="Times New Roman"/>
        </w:rPr>
        <w:t xml:space="preserve">in 1900, “but I guess now that it’s better to let them give it to themselves” (qtd. in Rowe 177-78). Whereas the colonization of foreign lands seemed to Twain a betrayal of America’s basic </w:t>
      </w:r>
      <w:r w:rsidRPr="004E06DE">
        <w:rPr>
          <w:rFonts w:ascii="Times New Roman" w:hAnsi="Times New Roman" w:cs="Times New Roman"/>
        </w:rPr>
        <w:lastRenderedPageBreak/>
        <w:t xml:space="preserve">values, the United States’s dispossession of Native lands in North America and Hawai’i are invisible in his work. His corpus is full of momentary recognition of Native humanity and political sympathy for Indigenous resistance to U.S. oppression, but such moments almost always give way to Twain’s acknowledgment of the inevitability of U.S. hegemony and Native disappearance. Speaking about Native Hawaiians, he says, “It isn’t the education or civilization that has settled them; it is the imported diseases, and they have all got the consumption and other reliable distempers, and to speak figuratively, they are retiring from business pretty fast. When they pick up and </w:t>
      </w:r>
      <w:proofErr w:type="gramStart"/>
      <w:r w:rsidRPr="004E06DE">
        <w:rPr>
          <w:rFonts w:ascii="Times New Roman" w:hAnsi="Times New Roman" w:cs="Times New Roman"/>
        </w:rPr>
        <w:t>leave</w:t>
      </w:r>
      <w:proofErr w:type="gramEnd"/>
      <w:r w:rsidRPr="004E06DE">
        <w:rPr>
          <w:rFonts w:ascii="Times New Roman" w:hAnsi="Times New Roman" w:cs="Times New Roman"/>
        </w:rPr>
        <w:t xml:space="preserve"> we will take possession as lawful heirs” (</w:t>
      </w:r>
      <w:proofErr w:type="spellStart"/>
      <w:r w:rsidRPr="004E06DE">
        <w:rPr>
          <w:rFonts w:ascii="Times New Roman" w:hAnsi="Times New Roman" w:cs="Times New Roman"/>
        </w:rPr>
        <w:t>Fatout</w:t>
      </w:r>
      <w:proofErr w:type="spellEnd"/>
      <w:r w:rsidRPr="004E06DE">
        <w:rPr>
          <w:rFonts w:ascii="Times New Roman" w:hAnsi="Times New Roman" w:cs="Times New Roman"/>
        </w:rPr>
        <w:t xml:space="preserve"> 6). Here the Kanaka </w:t>
      </w:r>
      <w:proofErr w:type="spellStart"/>
      <w:r w:rsidRPr="004E06DE">
        <w:rPr>
          <w:rFonts w:ascii="Times New Roman" w:hAnsi="Times New Roman" w:cs="Times New Roman"/>
        </w:rPr>
        <w:t>Maoli</w:t>
      </w:r>
      <w:proofErr w:type="spellEnd"/>
      <w:r w:rsidRPr="004E06DE">
        <w:rPr>
          <w:rFonts w:ascii="Times New Roman" w:hAnsi="Times New Roman" w:cs="Times New Roman"/>
        </w:rPr>
        <w:t xml:space="preserve"> are already “settled” and though Twain casts sarcastic doubt over the “lawfulness” of the Americans’ possession of Hawaiian lands, it does not blunt his assurance of the Hawaiians’ ultimate disappearance from the landscape. </w:t>
      </w:r>
    </w:p>
    <w:p w14:paraId="74EF3035"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tab/>
        <w:t>Twain’s belief in American settlers’ impending “possession” of Hawai’i reflects the logic of elimination that is central to settler colonialism. Haole scholar Judy Rohrer summarizes key “strategies of elimination” as theorized by Patrick Wolfe and Lorenzo Veracini, including “large-scale genocide” but also “‘narrative transfers,’ including the [I]</w:t>
      </w:r>
      <w:proofErr w:type="spellStart"/>
      <w:r w:rsidRPr="004E06DE">
        <w:rPr>
          <w:rFonts w:ascii="Times New Roman" w:hAnsi="Times New Roman" w:cs="Times New Roman"/>
        </w:rPr>
        <w:t>ndigenous</w:t>
      </w:r>
      <w:proofErr w:type="spellEnd"/>
      <w:r w:rsidRPr="004E06DE">
        <w:rPr>
          <w:rFonts w:ascii="Times New Roman" w:hAnsi="Times New Roman" w:cs="Times New Roman"/>
        </w:rPr>
        <w:t xml:space="preserve"> as hopelessly backwards, ‘inevitably vanishing,’ and collapsed into the category of ‘exogenous alterity’” (60).</w:t>
      </w:r>
      <w:r w:rsidRPr="004E06DE">
        <w:rPr>
          <w:rStyle w:val="FootnoteReference"/>
          <w:rFonts w:ascii="Times New Roman" w:eastAsiaTheme="majorEastAsia" w:hAnsi="Times New Roman" w:cs="Times New Roman"/>
        </w:rPr>
        <w:footnoteReference w:id="58"/>
      </w:r>
      <w:r w:rsidRPr="004E06DE">
        <w:rPr>
          <w:rFonts w:ascii="Times New Roman" w:hAnsi="Times New Roman" w:cs="Times New Roman"/>
        </w:rPr>
        <w:t xml:space="preserve"> Twain’s half-joking allusion to the Kanaka </w:t>
      </w:r>
      <w:proofErr w:type="spellStart"/>
      <w:r w:rsidRPr="004E06DE">
        <w:rPr>
          <w:rFonts w:ascii="Times New Roman" w:hAnsi="Times New Roman" w:cs="Times New Roman"/>
        </w:rPr>
        <w:lastRenderedPageBreak/>
        <w:t>Maoli’s</w:t>
      </w:r>
      <w:proofErr w:type="spellEnd"/>
      <w:r w:rsidRPr="004E06DE">
        <w:rPr>
          <w:rFonts w:ascii="Times New Roman" w:hAnsi="Times New Roman" w:cs="Times New Roman"/>
        </w:rPr>
        <w:t xml:space="preserve"> speedy “retirement” exemplifies such a “narrative transfer” that overwrites the realities of the Kanaka </w:t>
      </w:r>
      <w:proofErr w:type="spellStart"/>
      <w:r w:rsidRPr="004E06DE">
        <w:rPr>
          <w:rFonts w:ascii="Times New Roman" w:hAnsi="Times New Roman" w:cs="Times New Roman"/>
        </w:rPr>
        <w:t>Maoli’s</w:t>
      </w:r>
      <w:proofErr w:type="spellEnd"/>
      <w:r w:rsidRPr="004E06DE">
        <w:rPr>
          <w:rFonts w:ascii="Times New Roman" w:hAnsi="Times New Roman" w:cs="Times New Roman"/>
        </w:rPr>
        <w:t xml:space="preserve"> resistance to elimination, which continues to this day. </w:t>
      </w:r>
      <w:commentRangeStart w:id="59"/>
      <w:r w:rsidRPr="004E06DE">
        <w:rPr>
          <w:rFonts w:ascii="Times New Roman" w:hAnsi="Times New Roman" w:cs="Times New Roman"/>
        </w:rPr>
        <w:t xml:space="preserve">Moreover, Twain’s joke conflates the dispossession and disappearance of Native Hawaiians with the success of American capitalism on the islands, in effect naturalizing the domination of the Kanaka </w:t>
      </w:r>
      <w:proofErr w:type="spellStart"/>
      <w:r w:rsidRPr="004E06DE">
        <w:rPr>
          <w:rFonts w:ascii="Times New Roman" w:hAnsi="Times New Roman" w:cs="Times New Roman"/>
        </w:rPr>
        <w:t>Maoli</w:t>
      </w:r>
      <w:proofErr w:type="spellEnd"/>
      <w:r w:rsidRPr="004E06DE">
        <w:rPr>
          <w:rFonts w:ascii="Times New Roman" w:hAnsi="Times New Roman" w:cs="Times New Roman"/>
        </w:rPr>
        <w:t xml:space="preserve"> as the inevitable result of competition and market forces</w:t>
      </w:r>
      <w:commentRangeEnd w:id="59"/>
      <w:r w:rsidRPr="004E06DE">
        <w:rPr>
          <w:rStyle w:val="CommentReference"/>
          <w:rFonts w:eastAsiaTheme="majorEastAsia"/>
        </w:rPr>
        <w:commentReference w:id="59"/>
      </w:r>
      <w:r w:rsidRPr="004E06DE">
        <w:rPr>
          <w:rFonts w:ascii="Times New Roman" w:hAnsi="Times New Roman" w:cs="Times New Roman"/>
        </w:rPr>
        <w:t>. American settlement of Hawai’i is depicted as a hostile takeover, which both acknowledges and erases the crimes of the settler state. Twain’s erasure of Native presence is more obvious in his later “</w:t>
      </w:r>
      <w:r w:rsidRPr="004E06DE">
        <w:rPr>
          <w:rFonts w:ascii="Times New Roman" w:hAnsi="Times New Roman" w:cs="Times New Roman"/>
          <w:i/>
          <w:iCs/>
        </w:rPr>
        <w:t>Roughing It</w:t>
      </w:r>
      <w:r w:rsidRPr="004E06DE">
        <w:rPr>
          <w:rFonts w:ascii="Times New Roman" w:hAnsi="Times New Roman" w:cs="Times New Roman"/>
        </w:rPr>
        <w:t>” lecture. The humor of that lecture, as we shall see, comes from Twain’s performance of a western identity for his Eastern audiences. He exoticizes the U.S. West, depicting the Great Basin and Nevada Territory as a barren, inhospitable place peopled with irascible “frontier” types, reminiscent of the Old Southwestern humorists’ representation of rural Southern whites as regional Others. Twain positions himself variously as a green fish-out-of-water, the butt of the miners’ hilarious pranks, and an expert in the region’s local history and topography. Notably, few if any examples of the “</w:t>
      </w:r>
      <w:r w:rsidRPr="004E06DE">
        <w:rPr>
          <w:rFonts w:ascii="Times New Roman" w:hAnsi="Times New Roman" w:cs="Times New Roman"/>
          <w:i/>
          <w:iCs/>
        </w:rPr>
        <w:t>Roughing It</w:t>
      </w:r>
      <w:r w:rsidRPr="004E06DE">
        <w:rPr>
          <w:rFonts w:ascii="Times New Roman" w:hAnsi="Times New Roman" w:cs="Times New Roman"/>
        </w:rPr>
        <w:t xml:space="preserve">” lecture make any significant mention of the Indigenous Great Basin peoples who continue to live in the region today. Twain’s omission of Native presence from his reminiscences of the Nevada Territory exemplifies the settler state’s structural drive to indigenize non-Natives in dispossessed Native space, naturalizing settler land claims while historicizing (or completely silencing) ongoing </w:t>
      </w:r>
      <w:r w:rsidRPr="004E06DE">
        <w:rPr>
          <w:rFonts w:ascii="Times New Roman" w:hAnsi="Times New Roman" w:cs="Times New Roman"/>
        </w:rPr>
        <w:lastRenderedPageBreak/>
        <w:t>Indigenous resistance to these narratives. Sarah Winnemucca Hopkins is just one contemporaneous voice demonstrating the eloquent absence of Native presence in Twain’s performed history of the West.</w:t>
      </w:r>
    </w:p>
    <w:p w14:paraId="17195399"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tab/>
        <w:t xml:space="preserve">The settler colonial logics of Twain’s lectures operate in his frequent humorous treatment of Native and non-Native bodies within occupied and/or territorialized Native space. The effect (not to say the goal) of his depictions of both Native and non-Native physicality is to imaginatively dispossess Natives of their Indigeneity and land claims through satire and ridicule and to, in turn, indigenize white non-Native settlers in Native space via the same techniques.  </w:t>
      </w:r>
      <w:bookmarkEnd w:id="57"/>
      <w:r w:rsidRPr="004E06DE">
        <w:rPr>
          <w:rFonts w:ascii="Times New Roman" w:hAnsi="Times New Roman" w:cs="Times New Roman"/>
          <w:color w:val="000000"/>
        </w:rPr>
        <w:t>The very first joke in his “Sandwich Islands” speech begins with the image of “a repulsive…case of Oriental leprosy, of so dreadful a nature that I have never been able to get it out of my mind since” (</w:t>
      </w:r>
      <w:proofErr w:type="spellStart"/>
      <w:r w:rsidRPr="004E06DE">
        <w:rPr>
          <w:rFonts w:ascii="Times New Roman" w:hAnsi="Times New Roman" w:cs="Times New Roman"/>
          <w:color w:val="000000"/>
        </w:rPr>
        <w:t>Fatout</w:t>
      </w:r>
      <w:proofErr w:type="spellEnd"/>
      <w:r w:rsidRPr="004E06DE">
        <w:rPr>
          <w:rFonts w:ascii="Times New Roman" w:hAnsi="Times New Roman" w:cs="Times New Roman"/>
          <w:color w:val="000000"/>
        </w:rPr>
        <w:t xml:space="preserve"> 4).</w:t>
      </w:r>
      <w:r w:rsidRPr="004E06DE">
        <w:rPr>
          <w:rStyle w:val="FootnoteReference"/>
          <w:rFonts w:ascii="Times New Roman" w:eastAsiaTheme="majorEastAsia" w:hAnsi="Times New Roman" w:cs="Times New Roman"/>
          <w:color w:val="000000"/>
        </w:rPr>
        <w:footnoteReference w:id="59"/>
      </w:r>
      <w:r w:rsidRPr="004E06DE">
        <w:rPr>
          <w:rFonts w:ascii="Times New Roman" w:hAnsi="Times New Roman" w:cs="Times New Roman"/>
          <w:color w:val="000000"/>
        </w:rPr>
        <w:t xml:space="preserve"> By the late 1860’s, leprosy or Hansen’s Disease had become, like many other diseases in the nineteenth century, a metaphor for racial purity. Today, we know that Hansen’s Disease is caused by the bacteria </w:t>
      </w:r>
      <w:r w:rsidRPr="004E06DE">
        <w:rPr>
          <w:rFonts w:ascii="Times New Roman" w:hAnsi="Times New Roman" w:cs="Times New Roman"/>
          <w:i/>
          <w:iCs/>
          <w:color w:val="000000"/>
        </w:rPr>
        <w:t xml:space="preserve">Mycobacterium leprae </w:t>
      </w:r>
      <w:r w:rsidRPr="004E06DE">
        <w:rPr>
          <w:rFonts w:ascii="Times New Roman" w:hAnsi="Times New Roman" w:cs="Times New Roman"/>
          <w:color w:val="000000"/>
        </w:rPr>
        <w:t xml:space="preserve">and that it is not easily transmissible between humans (CDC). However, in the nineteenth century, the origin and transmission of the disease was still a highly debated topic. The prominent physician Dr. Joseph Jones, who studied the history of Hansen’s Disease in Louisiana, claimed in 1887 that it had </w:t>
      </w:r>
      <w:r w:rsidRPr="004E06DE">
        <w:rPr>
          <w:rFonts w:ascii="Times New Roman" w:hAnsi="Times New Roman" w:cs="Times New Roman"/>
          <w:color w:val="000000"/>
        </w:rPr>
        <w:lastRenderedPageBreak/>
        <w:t xml:space="preserve">been brought to the United States by early European settlers in the Gulf of Mexico, enslaved Africans, and Acadians who had contracted the disease in the miasmatic environment of Nova Scotia (Gussow 55). Thus, Jones characterized Hansen’s Disease as an invasive disease infecting the United States via “the immigration of foreigners from a leprous country” (55). Jones specifically attributed the prevalence of the disease in Hawaii to the immigration of Chinese workers to the islands and used the example of Hawaii when he warned against “the instrumentality of the filthy, vicious, debased, heathen leprous Chinese” as potential disease vectors within the United States (56). Elsewhere, Jones, who was a Confederate soldier during the Civil War, linked the spread of Hansen’s Disease in the U.S. to “Yellow Peril” and white supremacy narratives, writing: </w:t>
      </w:r>
      <w:r w:rsidRPr="004E06DE">
        <w:rPr>
          <w:rFonts w:ascii="Times New Roman" w:hAnsi="Times New Roman" w:cs="Times New Roman"/>
        </w:rPr>
        <w:t xml:space="preserve">“At the </w:t>
      </w:r>
      <w:proofErr w:type="gramStart"/>
      <w:r w:rsidRPr="004E06DE">
        <w:rPr>
          <w:rFonts w:ascii="Times New Roman" w:hAnsi="Times New Roman" w:cs="Times New Roman"/>
        </w:rPr>
        <w:t>present day</w:t>
      </w:r>
      <w:proofErr w:type="gramEnd"/>
      <w:r w:rsidRPr="004E06DE">
        <w:rPr>
          <w:rFonts w:ascii="Times New Roman" w:hAnsi="Times New Roman" w:cs="Times New Roman"/>
        </w:rPr>
        <w:t xml:space="preserve"> Louisiana is threatened with an influx of Chinese and Malays, with filth, rice [sic] and leprous diseases. An inferior and barbarous race transferred from the burning heats of Africa has already been the occasion of the shedding of the blood of more than one million of the white inhabitants of the United States…The contact of a superior with an inferior race must lead eventually to two results: The annihilation of one or the other, or the amalgamation of the two” (56-57). As Jones’s words demonstrate, by the end of the nineteenth century, Hansen’s Disease had become a metaphor for national and racial contagion. </w:t>
      </w:r>
    </w:p>
    <w:p w14:paraId="41A8CF40"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tab/>
        <w:t xml:space="preserve">The image of the suffering Native Hawaiian initiates a series of non-sequitur memories that humorously defers the lecture’s advertised material on Hawai’i. One on hand, this deferral interrupts his white non-Native audiences’ colonialist consumption of </w:t>
      </w:r>
      <w:r w:rsidRPr="004E06DE">
        <w:rPr>
          <w:rFonts w:ascii="Times New Roman" w:hAnsi="Times New Roman" w:cs="Times New Roman"/>
        </w:rPr>
        <w:lastRenderedPageBreak/>
        <w:t>Hawai’i as exotic paradise and economic resource. One reviewer of Twain’s lecture complained in 1869 of its “irrelevance and senselessness”: “What new or valuable thing did he tell us of the Sandwich Islands? What that we could not have read at home?” (</w:t>
      </w:r>
      <w:proofErr w:type="gramStart"/>
      <w:r w:rsidRPr="004E06DE">
        <w:rPr>
          <w:rFonts w:ascii="Times New Roman" w:hAnsi="Times New Roman" w:cs="Times New Roman"/>
        </w:rPr>
        <w:t>qtd</w:t>
      </w:r>
      <w:proofErr w:type="gramEnd"/>
      <w:r w:rsidRPr="004E06DE">
        <w:rPr>
          <w:rFonts w:ascii="Times New Roman" w:hAnsi="Times New Roman" w:cs="Times New Roman"/>
        </w:rPr>
        <w:t xml:space="preserve">. in Lorch, “Sandwich Islands” 316-7). To certain members of his audience, the usefulness of Twain’s lecture lay in its ability to make the distant lands of Hawai’i legible to American citizens. However, on the other hand, the series of “irrelevant” images inspired by the suffering Native body are all figures of pain, death, and civilizational collapse. One such object is the statue of </w:t>
      </w:r>
      <w:r w:rsidRPr="004E06DE">
        <w:rPr>
          <w:rFonts w:ascii="Times New Roman" w:hAnsi="Times New Roman" w:cs="Times New Roman"/>
          <w:i/>
          <w:iCs/>
        </w:rPr>
        <w:t xml:space="preserve">St. Bartholomew Flayed </w:t>
      </w:r>
      <w:r w:rsidRPr="004E06DE">
        <w:rPr>
          <w:rFonts w:ascii="Times New Roman" w:hAnsi="Times New Roman" w:cs="Times New Roman"/>
        </w:rPr>
        <w:t xml:space="preserve">(1562) which Twain saw at the Duomo in Milan during his visit there in 1867. In </w:t>
      </w:r>
      <w:r w:rsidRPr="004E06DE">
        <w:rPr>
          <w:rFonts w:ascii="Times New Roman" w:hAnsi="Times New Roman" w:cs="Times New Roman"/>
          <w:i/>
          <w:iCs/>
        </w:rPr>
        <w:t xml:space="preserve">Innocents Abroad </w:t>
      </w:r>
      <w:r w:rsidRPr="004E06DE">
        <w:rPr>
          <w:rFonts w:ascii="Times New Roman" w:hAnsi="Times New Roman" w:cs="Times New Roman"/>
        </w:rPr>
        <w:t xml:space="preserve">(1869) Twain describes the statue as “a coffee-colored” figure “of a man without a skin; with every vein, artery, muscle, every fiber and tendon and tissue of the human frame represented in minute detail. It looked natural, because somehow it looked as if it were in pain. A skinned man would be likely to look that way unless his attention was occupied with some other matter” (175). In both </w:t>
      </w:r>
      <w:r w:rsidRPr="004E06DE">
        <w:rPr>
          <w:rFonts w:ascii="Times New Roman" w:hAnsi="Times New Roman" w:cs="Times New Roman"/>
          <w:i/>
          <w:iCs/>
        </w:rPr>
        <w:t xml:space="preserve">Innocents Abroad </w:t>
      </w:r>
      <w:r w:rsidRPr="004E06DE">
        <w:rPr>
          <w:rFonts w:ascii="Times New Roman" w:hAnsi="Times New Roman" w:cs="Times New Roman"/>
        </w:rPr>
        <w:t>and the “Sandwich Islands” lectures, the skinless statue haunts Twain as a recurring nightmare and an example of how difficult it is “to get a disagreeable object out of one’s memory” (</w:t>
      </w:r>
      <w:proofErr w:type="spellStart"/>
      <w:r w:rsidRPr="004E06DE">
        <w:rPr>
          <w:rFonts w:ascii="Times New Roman" w:hAnsi="Times New Roman" w:cs="Times New Roman"/>
        </w:rPr>
        <w:t>Fatout</w:t>
      </w:r>
      <w:proofErr w:type="spellEnd"/>
      <w:r w:rsidRPr="004E06DE">
        <w:rPr>
          <w:rFonts w:ascii="Times New Roman" w:hAnsi="Times New Roman" w:cs="Times New Roman"/>
        </w:rPr>
        <w:t xml:space="preserve"> 4).</w:t>
      </w:r>
      <w:r w:rsidRPr="004E06DE">
        <w:rPr>
          <w:rStyle w:val="FootnoteReference"/>
          <w:rFonts w:ascii="Times New Roman" w:eastAsiaTheme="majorEastAsia" w:hAnsi="Times New Roman" w:cs="Times New Roman"/>
        </w:rPr>
        <w:footnoteReference w:id="60"/>
      </w:r>
      <w:r w:rsidRPr="004E06DE">
        <w:rPr>
          <w:rFonts w:ascii="Times New Roman" w:hAnsi="Times New Roman" w:cs="Times New Roman"/>
        </w:rPr>
        <w:t xml:space="preserve"> </w:t>
      </w:r>
    </w:p>
    <w:p w14:paraId="0423ACB6"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lastRenderedPageBreak/>
        <w:t xml:space="preserve">In Twain’s performed stream of consciousness, the apparently dissociated images of the debilitated Native Hawaiian and the statue of the suffering man link contemporary Native bodies with a “curious,” “ancient,” and unrecoverable past (5). This kind of temporalization is another technique of settler colonialism that strives for the erasure of Native peoples from the present and future by relegating them to history, an ideological process that, Jean O’Brien explains, simultaneously bolsters non-Native claims to modernity (xxi).  This move denies Indigenous sovereignty via the imposition of settler time on Native peoples and empowers settler colonial notions of “civilization’s” superiority over “savage” peoples. </w:t>
      </w:r>
    </w:p>
    <w:p w14:paraId="67A56927"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Interestingly, this moment from the lectures is also reminiscent of “The Petrified Man” (1862) an early squib that Clemens published anonymously four weeks before the first published appearance of the name “Mark Twain” (Driscoll 93). As Kerry Driscoll explains, as Twain revisited the hoax of the Petrified Man many times over the 1870’s, his description of the figure became unmistakably that of a Native man (101-2). Perhaps the statue of St. Bartholomew put Twain in mind of his hoax. In any case, the link between the Native body and the strange, </w:t>
      </w:r>
      <w:proofErr w:type="gramStart"/>
      <w:r w:rsidRPr="004E06DE">
        <w:rPr>
          <w:rFonts w:ascii="Times New Roman" w:hAnsi="Times New Roman" w:cs="Times New Roman"/>
        </w:rPr>
        <w:t>ancient flayed</w:t>
      </w:r>
      <w:proofErr w:type="gramEnd"/>
      <w:r w:rsidRPr="004E06DE">
        <w:rPr>
          <w:rFonts w:ascii="Times New Roman" w:hAnsi="Times New Roman" w:cs="Times New Roman"/>
        </w:rPr>
        <w:t xml:space="preserve"> statue enacts, like the petrified Native, the “supplanting of the Indian in the landscape by symbolically relegating him to the past” (Driscoll 95).</w:t>
      </w:r>
    </w:p>
    <w:p w14:paraId="4FBFEF5C"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Twain distrusted and frequently satirized the civilization/savagery binary (the equivalence within the sometimes-title of his lecture, “Our Fellow Savages of the Sandwich Islands” is but one example) but the objects of his satires of civilization are </w:t>
      </w:r>
      <w:r w:rsidRPr="004E06DE">
        <w:rPr>
          <w:rFonts w:ascii="Times New Roman" w:hAnsi="Times New Roman" w:cs="Times New Roman"/>
        </w:rPr>
        <w:lastRenderedPageBreak/>
        <w:t xml:space="preserve">typically white non-Native hypocrites who deny their obvious barbarism, </w:t>
      </w:r>
      <w:commentRangeStart w:id="60"/>
      <w:r w:rsidRPr="004E06DE">
        <w:rPr>
          <w:rFonts w:ascii="Times New Roman" w:hAnsi="Times New Roman" w:cs="Times New Roman"/>
        </w:rPr>
        <w:t>rather than the temporalized notion of Western society’s modernity versus Natives’ (Hawaiian or otherwise) primitivity</w:t>
      </w:r>
      <w:commentRangeEnd w:id="60"/>
      <w:r w:rsidRPr="004E06DE">
        <w:rPr>
          <w:rStyle w:val="CommentReference"/>
          <w:rFonts w:eastAsiaTheme="majorEastAsia"/>
        </w:rPr>
        <w:commentReference w:id="60"/>
      </w:r>
      <w:r w:rsidRPr="004E06DE">
        <w:rPr>
          <w:rFonts w:ascii="Times New Roman" w:hAnsi="Times New Roman" w:cs="Times New Roman"/>
        </w:rPr>
        <w:t xml:space="preserve">. The goal of these satires is not to advocate for Indigenous rights or to thwart the expansion of United States hegemony, but moral reform that points to the “savage” behavior of the supposedly “civilized” person in order to supplant stuffy Victorian morality with a bracing truthfulness and self-knowledge at the level of the individual: what Marlene Boyd Vallin calls Twain’s “rebellion against the moral hollowness of the dominant culture” (9). </w:t>
      </w:r>
    </w:p>
    <w:p w14:paraId="114E6F5F"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One example of this from the “Sandwich Islands” lectures is Twain’s famous cannibalism joke. Entering into a discussion of Native Hawaiians’ eating habits (“A Kanaka will eat anything he can bite—a live fish, scales and all, which must be annoying to the fish, but the Kanaka doesn’t mind that.”) he denies the popular “slander” that they are cannibals (</w:t>
      </w:r>
      <w:proofErr w:type="spellStart"/>
      <w:r w:rsidRPr="004E06DE">
        <w:rPr>
          <w:rFonts w:ascii="Times New Roman" w:hAnsi="Times New Roman" w:cs="Times New Roman"/>
        </w:rPr>
        <w:t>Fatout</w:t>
      </w:r>
      <w:proofErr w:type="spellEnd"/>
      <w:r w:rsidRPr="004E06DE">
        <w:rPr>
          <w:rFonts w:ascii="Times New Roman" w:hAnsi="Times New Roman" w:cs="Times New Roman"/>
        </w:rPr>
        <w:t xml:space="preserve"> 10). He would then offer “to illustrate cannibalism” if a member of his audience would “lend me an infant” (10). After a long pause as if waiting for someone to actually offer a child, Twain seemed to struggle with disappointment: “it </w:t>
      </w:r>
      <w:proofErr w:type="gramStart"/>
      <w:r w:rsidRPr="004E06DE">
        <w:rPr>
          <w:rFonts w:ascii="Times New Roman" w:hAnsi="Times New Roman" w:cs="Times New Roman"/>
        </w:rPr>
        <w:t>don’t</w:t>
      </w:r>
      <w:proofErr w:type="gramEnd"/>
      <w:r w:rsidRPr="004E06DE">
        <w:rPr>
          <w:rFonts w:ascii="Times New Roman" w:hAnsi="Times New Roman" w:cs="Times New Roman"/>
        </w:rPr>
        <w:t xml:space="preserve"> matter. I know children have become scarce and high, owing to the inattention they have received since the women’s rights movement began. I will leave out that part of my program, though it is very neat and pleasant. Yet it is not necessary. </w:t>
      </w:r>
      <w:r w:rsidRPr="004E06DE">
        <w:rPr>
          <w:rFonts w:ascii="Times New Roman" w:hAnsi="Times New Roman" w:cs="Times New Roman"/>
          <w:i/>
          <w:iCs/>
        </w:rPr>
        <w:t xml:space="preserve">I </w:t>
      </w:r>
      <w:r w:rsidRPr="004E06DE">
        <w:rPr>
          <w:rFonts w:ascii="Times New Roman" w:hAnsi="Times New Roman" w:cs="Times New Roman"/>
        </w:rPr>
        <w:t>am not hungry” (10). The humor here arises from the absurdity of Twain’s offer to eat a baby and his apparent embarrassment that no one volunteered (a comic element coming from his physical manner and thus largely lost in print</w:t>
      </w:r>
      <w:proofErr w:type="gramStart"/>
      <w:r w:rsidRPr="004E06DE">
        <w:rPr>
          <w:rFonts w:ascii="Times New Roman" w:hAnsi="Times New Roman" w:cs="Times New Roman"/>
        </w:rPr>
        <w:t>)</w:t>
      </w:r>
      <w:proofErr w:type="gramEnd"/>
      <w:r w:rsidRPr="004E06DE">
        <w:rPr>
          <w:rFonts w:ascii="Times New Roman" w:hAnsi="Times New Roman" w:cs="Times New Roman"/>
        </w:rPr>
        <w:t xml:space="preserve"> but it is also a joke about his American </w:t>
      </w:r>
      <w:r w:rsidRPr="004E06DE">
        <w:rPr>
          <w:rFonts w:ascii="Times New Roman" w:hAnsi="Times New Roman" w:cs="Times New Roman"/>
        </w:rPr>
        <w:lastRenderedPageBreak/>
        <w:t>audiences’ expectations of Native Hawaiians’ exotic and dangerous lifeways. Stories of Native cannibalism have been a key element in colonial powers’ (both in both settler and franchise systems) racialization of Indigenous peoples.</w:t>
      </w:r>
      <w:r w:rsidRPr="004E06DE">
        <w:rPr>
          <w:rStyle w:val="FootnoteReference"/>
          <w:rFonts w:ascii="Times New Roman" w:eastAsiaTheme="majorEastAsia" w:hAnsi="Times New Roman" w:cs="Times New Roman"/>
        </w:rPr>
        <w:footnoteReference w:id="61"/>
      </w:r>
      <w:r w:rsidRPr="004E06DE">
        <w:rPr>
          <w:rFonts w:ascii="Times New Roman" w:hAnsi="Times New Roman" w:cs="Times New Roman"/>
        </w:rPr>
        <w:t xml:space="preserve"> Twain goes against dominant settler fictions by claiming that Native Hawaiians are not </w:t>
      </w:r>
      <w:proofErr w:type="gramStart"/>
      <w:r w:rsidRPr="004E06DE">
        <w:rPr>
          <w:rFonts w:ascii="Times New Roman" w:hAnsi="Times New Roman" w:cs="Times New Roman"/>
        </w:rPr>
        <w:t>cannibalistic, but</w:t>
      </w:r>
      <w:proofErr w:type="gramEnd"/>
      <w:r w:rsidRPr="004E06DE">
        <w:rPr>
          <w:rFonts w:ascii="Times New Roman" w:hAnsi="Times New Roman" w:cs="Times New Roman"/>
        </w:rPr>
        <w:t xml:space="preserve"> turns the joke around by revealing that </w:t>
      </w:r>
      <w:r w:rsidRPr="004E06DE">
        <w:rPr>
          <w:rFonts w:ascii="Times New Roman" w:hAnsi="Times New Roman" w:cs="Times New Roman"/>
          <w:i/>
          <w:iCs/>
        </w:rPr>
        <w:t xml:space="preserve">he </w:t>
      </w:r>
      <w:r w:rsidRPr="004E06DE">
        <w:rPr>
          <w:rFonts w:ascii="Times New Roman" w:hAnsi="Times New Roman" w:cs="Times New Roman"/>
        </w:rPr>
        <w:t xml:space="preserve">is and, furthermore, that the practice is “very neat and pleasant.” </w:t>
      </w:r>
      <w:commentRangeStart w:id="61"/>
      <w:r w:rsidRPr="004E06DE">
        <w:rPr>
          <w:rFonts w:ascii="Times New Roman" w:hAnsi="Times New Roman" w:cs="Times New Roman"/>
        </w:rPr>
        <w:t>The joke flips the civilized/savagery binary on its head but does not subvert it</w:t>
      </w:r>
      <w:commentRangeEnd w:id="61"/>
      <w:r w:rsidRPr="004E06DE">
        <w:rPr>
          <w:rStyle w:val="CommentReference"/>
          <w:rFonts w:eastAsiaTheme="majorEastAsia"/>
        </w:rPr>
        <w:commentReference w:id="61"/>
      </w:r>
      <w:r w:rsidRPr="004E06DE">
        <w:rPr>
          <w:rFonts w:ascii="Times New Roman" w:hAnsi="Times New Roman" w:cs="Times New Roman"/>
        </w:rPr>
        <w:t xml:space="preserve">. He plays on and lampoons his audiences’ hunger for first-hand knowledge about Hawai’i, but again he satirizes individual hypocrisy and moral squeamishness rather than the “comfortable fictions” of Native inhumanity that serve to further erase Native presence in the land (Deloria Jr. 378).  </w:t>
      </w:r>
    </w:p>
    <w:p w14:paraId="091345EA"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tab/>
        <w:t xml:space="preserve">Returning to the image of the “repulsive” Kanaka </w:t>
      </w:r>
      <w:proofErr w:type="spellStart"/>
      <w:r w:rsidRPr="004E06DE">
        <w:rPr>
          <w:rFonts w:ascii="Times New Roman" w:hAnsi="Times New Roman" w:cs="Times New Roman"/>
        </w:rPr>
        <w:t>Maoli</w:t>
      </w:r>
      <w:proofErr w:type="spellEnd"/>
      <w:r w:rsidRPr="004E06DE">
        <w:rPr>
          <w:rFonts w:ascii="Times New Roman" w:hAnsi="Times New Roman" w:cs="Times New Roman"/>
        </w:rPr>
        <w:t xml:space="preserve"> suffering from Hansen’s Disease with which Twain opens his lecture allows us to see how settler colonial ideologies of Native’s innate savagery and inevitable disappearance recur throughout his speech. The spectacle of the debilitated Native body tragically afflicted by settler institutions tells a story about Native Hawaiians’ physical inferiority relative to the hale and hearty Americans who elsewhere in the lecture are depicted as industrious and practical authorities over Hawaiian bodies. Twain claims that “There are about 3,000 white people in the islands…mostly Americans” against the “dwindled” population of 55,000 Natives (</w:t>
      </w:r>
      <w:proofErr w:type="spellStart"/>
      <w:r w:rsidRPr="004E06DE">
        <w:rPr>
          <w:rFonts w:ascii="Times New Roman" w:hAnsi="Times New Roman" w:cs="Times New Roman"/>
        </w:rPr>
        <w:t>Fatout</w:t>
      </w:r>
      <w:proofErr w:type="spellEnd"/>
      <w:r w:rsidRPr="004E06DE">
        <w:rPr>
          <w:rFonts w:ascii="Times New Roman" w:hAnsi="Times New Roman" w:cs="Times New Roman"/>
        </w:rPr>
        <w:t xml:space="preserve"> 6). The white settlers, he states, are “in fact…kings of the </w:t>
      </w:r>
      <w:r w:rsidRPr="004E06DE">
        <w:rPr>
          <w:rFonts w:ascii="Times New Roman" w:hAnsi="Times New Roman" w:cs="Times New Roman"/>
        </w:rPr>
        <w:lastRenderedPageBreak/>
        <w:t>Sandwich Islands; the monarchy is not much more than a mere name” (6). This is partly a joke about the self-importance of non-Native white planters and missionaries, but it also presumes the inevitable replacement of Native Hawaiian government and people with white non-Native institutions. Twain presents a brief history of America’s involvement in Hawai’i that makes this narrative arc clear:</w:t>
      </w:r>
    </w:p>
    <w:p w14:paraId="436DD08A" w14:textId="77777777" w:rsidR="00287C65" w:rsidRPr="004E06DE" w:rsidRDefault="00287C65" w:rsidP="00287C65">
      <w:pPr>
        <w:spacing w:line="480" w:lineRule="auto"/>
        <w:ind w:left="720"/>
        <w:rPr>
          <w:rFonts w:ascii="Times New Roman" w:hAnsi="Times New Roman" w:cs="Times New Roman"/>
        </w:rPr>
      </w:pPr>
      <w:r w:rsidRPr="004E06DE">
        <w:rPr>
          <w:rFonts w:ascii="Times New Roman" w:hAnsi="Times New Roman" w:cs="Times New Roman"/>
        </w:rPr>
        <w:t>In the old times the king was absolute, his person was sacred and if even the shadow of a common Kanaka fell upon him the Kanaka had to die. There was no help for him. Whatever the king tabooed it was death to touch or speak of. After the king, came the high priests who sacrificed human victims; after them came the great feudal chiefs, and then the common Kanakas, who were the slaves of all, and wretchedly oppressed. Away down at the bottom were the women, the abject slaves of the whole party. They did all the work and were cruelly mistreated…They were a rusty set all around—those Kanakas. By and by the American missionaries came and they struck off the shackles from the whole race, breaking the power of the kings and chiefs. They set the common man free, elevated his wife to a position of equality, and gave a spot of land to each to hold forever. The missionaries taught the whole nation to read and write with facility, in the native tongue. I don’t suppose there is today a single uneducated person above eight years of age in the Sandwich Islands. It is the best educated country in the world, I believe, not excepting portions of the United States. (7-8)</w:t>
      </w:r>
    </w:p>
    <w:p w14:paraId="66E61041"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lastRenderedPageBreak/>
        <w:t xml:space="preserve">Twain’s history drastically simplifies and deliberately misrepresents the evolution of Native Hawaiian society and governance in response to growing pressure from haole (non-Native white) officials and missionaries. While Native Hawaiians society was striated into something analogous to western notions of a class system, with the </w:t>
      </w:r>
      <w:proofErr w:type="spellStart"/>
      <w:r w:rsidRPr="004E06DE">
        <w:rPr>
          <w:rFonts w:ascii="Times New Roman" w:hAnsi="Times New Roman" w:cs="Times New Roman"/>
        </w:rPr>
        <w:t>ali’i</w:t>
      </w:r>
      <w:proofErr w:type="spellEnd"/>
      <w:r w:rsidRPr="004E06DE">
        <w:rPr>
          <w:rFonts w:ascii="Times New Roman" w:hAnsi="Times New Roman" w:cs="Times New Roman"/>
        </w:rPr>
        <w:t xml:space="preserve"> (ruling chiefs/nobles) holding significant political, social, and religious power, it is untrue that “the common Kanakas” and women were “abject slaves.” Hawaiian scholar </w:t>
      </w:r>
      <w:proofErr w:type="spellStart"/>
      <w:r w:rsidRPr="004E06DE">
        <w:rPr>
          <w:rFonts w:ascii="Times New Roman" w:hAnsi="Times New Roman" w:cs="Times New Roman"/>
        </w:rPr>
        <w:t>Noenoe</w:t>
      </w:r>
      <w:proofErr w:type="spellEnd"/>
      <w:r w:rsidRPr="004E06DE">
        <w:rPr>
          <w:rFonts w:ascii="Times New Roman" w:hAnsi="Times New Roman" w:cs="Times New Roman"/>
        </w:rPr>
        <w:t xml:space="preserve"> K. Silva explains that the </w:t>
      </w:r>
      <w:proofErr w:type="spellStart"/>
      <w:r w:rsidRPr="004E06DE">
        <w:rPr>
          <w:rFonts w:ascii="Times New Roman" w:hAnsi="Times New Roman" w:cs="Times New Roman"/>
        </w:rPr>
        <w:t>maka‘āinana</w:t>
      </w:r>
      <w:proofErr w:type="spellEnd"/>
      <w:r w:rsidRPr="004E06DE">
        <w:rPr>
          <w:rFonts w:ascii="Times New Roman" w:hAnsi="Times New Roman" w:cs="Times New Roman"/>
        </w:rPr>
        <w:t xml:space="preserve">, the “ordinary people of the land” (239) “regarded themselves as related much more closely and affectionately” to the </w:t>
      </w:r>
      <w:proofErr w:type="spellStart"/>
      <w:r w:rsidRPr="004E06DE">
        <w:rPr>
          <w:rFonts w:ascii="Times New Roman" w:hAnsi="Times New Roman" w:cs="Times New Roman"/>
        </w:rPr>
        <w:t>ali’i</w:t>
      </w:r>
      <w:proofErr w:type="spellEnd"/>
      <w:r w:rsidRPr="004E06DE">
        <w:rPr>
          <w:rFonts w:ascii="Times New Roman" w:hAnsi="Times New Roman" w:cs="Times New Roman"/>
        </w:rPr>
        <w:t xml:space="preserve"> and kahuna “than did feudal landlords and serfs” (39). Furthermore, Native Hawaiian epistemology understands all Kanaka </w:t>
      </w:r>
      <w:proofErr w:type="spellStart"/>
      <w:r w:rsidRPr="004E06DE">
        <w:rPr>
          <w:rFonts w:ascii="Times New Roman" w:hAnsi="Times New Roman" w:cs="Times New Roman"/>
        </w:rPr>
        <w:t>Maoli</w:t>
      </w:r>
      <w:proofErr w:type="spellEnd"/>
      <w:r w:rsidRPr="004E06DE">
        <w:rPr>
          <w:rFonts w:ascii="Times New Roman" w:hAnsi="Times New Roman" w:cs="Times New Roman"/>
        </w:rPr>
        <w:t xml:space="preserve">, their deities, and the environment as inextricably linked in reciprocal, familial genealogies that is governed by pono. The Hawaiian term pono has many meanings, but it points to a holistic ethical system of balance and mutual responsibility. Silva quotes Hawaiian historian </w:t>
      </w:r>
      <w:proofErr w:type="spellStart"/>
      <w:r w:rsidRPr="004E06DE">
        <w:rPr>
          <w:rFonts w:ascii="Times New Roman" w:hAnsi="Times New Roman" w:cs="Times New Roman"/>
        </w:rPr>
        <w:t>Lilikalā</w:t>
      </w:r>
      <w:proofErr w:type="spellEnd"/>
      <w:r w:rsidRPr="004E06DE">
        <w:rPr>
          <w:rFonts w:ascii="Times New Roman" w:hAnsi="Times New Roman" w:cs="Times New Roman"/>
        </w:rPr>
        <w:t xml:space="preserve"> K. </w:t>
      </w:r>
      <w:proofErr w:type="spellStart"/>
      <w:r w:rsidRPr="004E06DE">
        <w:rPr>
          <w:rFonts w:ascii="Times New Roman" w:hAnsi="Times New Roman" w:cs="Times New Roman"/>
        </w:rPr>
        <w:t>Kameʻeleihiwa’s</w:t>
      </w:r>
      <w:proofErr w:type="spellEnd"/>
      <w:r w:rsidRPr="004E06DE">
        <w:rPr>
          <w:rFonts w:ascii="Times New Roman" w:hAnsi="Times New Roman" w:cs="Times New Roman"/>
        </w:rPr>
        <w:t xml:space="preserve"> description of the “relationships among akua (gods), </w:t>
      </w:r>
      <w:proofErr w:type="spellStart"/>
      <w:r w:rsidRPr="004E06DE">
        <w:rPr>
          <w:rFonts w:ascii="Times New Roman" w:hAnsi="Times New Roman" w:cs="Times New Roman"/>
        </w:rPr>
        <w:t>ali’i</w:t>
      </w:r>
      <w:proofErr w:type="spellEnd"/>
      <w:r w:rsidRPr="004E06DE">
        <w:rPr>
          <w:rFonts w:ascii="Times New Roman" w:hAnsi="Times New Roman" w:cs="Times New Roman"/>
        </w:rPr>
        <w:t xml:space="preserve">, and </w:t>
      </w:r>
      <w:proofErr w:type="spellStart"/>
      <w:r w:rsidRPr="004E06DE">
        <w:rPr>
          <w:rFonts w:ascii="Times New Roman" w:hAnsi="Times New Roman" w:cs="Times New Roman"/>
        </w:rPr>
        <w:t>maka‘āinana</w:t>
      </w:r>
      <w:proofErr w:type="spellEnd"/>
      <w:r w:rsidRPr="004E06DE">
        <w:rPr>
          <w:rFonts w:ascii="Times New Roman" w:hAnsi="Times New Roman" w:cs="Times New Roman"/>
        </w:rPr>
        <w:t>”:</w:t>
      </w:r>
    </w:p>
    <w:p w14:paraId="230A6A74" w14:textId="77777777" w:rsidR="00287C65" w:rsidRPr="004E06DE" w:rsidRDefault="00287C65" w:rsidP="00287C65">
      <w:pPr>
        <w:spacing w:line="480" w:lineRule="auto"/>
        <w:ind w:left="720"/>
        <w:rPr>
          <w:rFonts w:ascii="Times New Roman" w:hAnsi="Times New Roman" w:cs="Times New Roman"/>
        </w:rPr>
      </w:pPr>
      <w:r w:rsidRPr="004E06DE">
        <w:rPr>
          <w:rFonts w:ascii="Times New Roman" w:hAnsi="Times New Roman" w:cs="Times New Roman"/>
          <w:i/>
          <w:iCs/>
        </w:rPr>
        <w:t xml:space="preserve">Ali’i Nui </w:t>
      </w:r>
      <w:r w:rsidRPr="004E06DE">
        <w:rPr>
          <w:rFonts w:ascii="Times New Roman" w:hAnsi="Times New Roman" w:cs="Times New Roman"/>
        </w:rPr>
        <w:t xml:space="preserve">were the protectors of the </w:t>
      </w:r>
      <w:proofErr w:type="spellStart"/>
      <w:r w:rsidRPr="004E06DE">
        <w:rPr>
          <w:rFonts w:ascii="Times New Roman" w:hAnsi="Times New Roman" w:cs="Times New Roman"/>
          <w:i/>
          <w:iCs/>
        </w:rPr>
        <w:t>maka‘āinana</w:t>
      </w:r>
      <w:proofErr w:type="spellEnd"/>
      <w:r w:rsidRPr="004E06DE">
        <w:rPr>
          <w:rFonts w:ascii="Times New Roman" w:hAnsi="Times New Roman" w:cs="Times New Roman"/>
        </w:rPr>
        <w:t xml:space="preserve">, sheltering them from terrible unseen forces…Should a famine arise, the </w:t>
      </w:r>
      <w:r w:rsidRPr="004E06DE">
        <w:rPr>
          <w:rFonts w:ascii="Times New Roman" w:hAnsi="Times New Roman" w:cs="Times New Roman"/>
          <w:i/>
          <w:iCs/>
        </w:rPr>
        <w:t xml:space="preserve">Ali’i Nui </w:t>
      </w:r>
      <w:r w:rsidRPr="004E06DE">
        <w:rPr>
          <w:rFonts w:ascii="Times New Roman" w:hAnsi="Times New Roman" w:cs="Times New Roman"/>
        </w:rPr>
        <w:t xml:space="preserve">was held at fault and deposed…Should an </w:t>
      </w:r>
      <w:r w:rsidRPr="004E06DE">
        <w:rPr>
          <w:rFonts w:ascii="Times New Roman" w:hAnsi="Times New Roman" w:cs="Times New Roman"/>
          <w:i/>
          <w:iCs/>
        </w:rPr>
        <w:t xml:space="preserve">Ali’i Nui </w:t>
      </w:r>
      <w:r w:rsidRPr="004E06DE">
        <w:rPr>
          <w:rFonts w:ascii="Times New Roman" w:hAnsi="Times New Roman" w:cs="Times New Roman"/>
        </w:rPr>
        <w:t xml:space="preserve">be stingy and cruel to the commoners…he or she would cease to be </w:t>
      </w:r>
      <w:r w:rsidRPr="004E06DE">
        <w:rPr>
          <w:rFonts w:ascii="Times New Roman" w:hAnsi="Times New Roman" w:cs="Times New Roman"/>
          <w:i/>
          <w:iCs/>
        </w:rPr>
        <w:t>pono</w:t>
      </w:r>
      <w:r w:rsidRPr="004E06DE">
        <w:rPr>
          <w:rFonts w:ascii="Times New Roman" w:hAnsi="Times New Roman" w:cs="Times New Roman"/>
        </w:rPr>
        <w:t xml:space="preserve">, lose favor with the </w:t>
      </w:r>
      <w:r w:rsidRPr="004E06DE">
        <w:rPr>
          <w:rFonts w:ascii="Times New Roman" w:hAnsi="Times New Roman" w:cs="Times New Roman"/>
          <w:i/>
          <w:iCs/>
        </w:rPr>
        <w:t xml:space="preserve">Akua </w:t>
      </w:r>
      <w:r w:rsidRPr="004E06DE">
        <w:rPr>
          <w:rFonts w:ascii="Times New Roman" w:hAnsi="Times New Roman" w:cs="Times New Roman"/>
        </w:rPr>
        <w:t xml:space="preserve">and be struck down, usually by the people…A reciprocal relationship was maintained: the </w:t>
      </w:r>
      <w:r w:rsidRPr="004E06DE">
        <w:rPr>
          <w:rFonts w:ascii="Times New Roman" w:hAnsi="Times New Roman" w:cs="Times New Roman"/>
          <w:i/>
          <w:iCs/>
        </w:rPr>
        <w:t xml:space="preserve">Ali’i Nui </w:t>
      </w:r>
      <w:r w:rsidRPr="004E06DE">
        <w:rPr>
          <w:rFonts w:ascii="Times New Roman" w:hAnsi="Times New Roman" w:cs="Times New Roman"/>
        </w:rPr>
        <w:t xml:space="preserve">kept the </w:t>
      </w:r>
      <w:r w:rsidRPr="004E06DE">
        <w:rPr>
          <w:rFonts w:ascii="Times New Roman" w:hAnsi="Times New Roman" w:cs="Times New Roman"/>
          <w:i/>
          <w:iCs/>
        </w:rPr>
        <w:t>‘</w:t>
      </w:r>
      <w:proofErr w:type="spellStart"/>
      <w:r w:rsidRPr="004E06DE">
        <w:rPr>
          <w:rFonts w:ascii="Times New Roman" w:hAnsi="Times New Roman" w:cs="Times New Roman"/>
          <w:i/>
          <w:iCs/>
        </w:rPr>
        <w:t>Āina</w:t>
      </w:r>
      <w:proofErr w:type="spellEnd"/>
      <w:r w:rsidRPr="004E06DE">
        <w:rPr>
          <w:rFonts w:ascii="Times New Roman" w:hAnsi="Times New Roman" w:cs="Times New Roman"/>
          <w:i/>
          <w:iCs/>
        </w:rPr>
        <w:t xml:space="preserve"> </w:t>
      </w:r>
      <w:r w:rsidRPr="004E06DE">
        <w:rPr>
          <w:rFonts w:ascii="Times New Roman" w:hAnsi="Times New Roman" w:cs="Times New Roman"/>
        </w:rPr>
        <w:t xml:space="preserve">[lands] fertile and </w:t>
      </w:r>
      <w:r w:rsidRPr="004E06DE">
        <w:rPr>
          <w:rFonts w:ascii="Times New Roman" w:hAnsi="Times New Roman" w:cs="Times New Roman"/>
          <w:i/>
          <w:iCs/>
        </w:rPr>
        <w:t xml:space="preserve">Akua </w:t>
      </w:r>
      <w:r w:rsidRPr="004E06DE">
        <w:rPr>
          <w:rFonts w:ascii="Times New Roman" w:hAnsi="Times New Roman" w:cs="Times New Roman"/>
        </w:rPr>
        <w:t xml:space="preserve">appeased; the </w:t>
      </w:r>
      <w:proofErr w:type="spellStart"/>
      <w:r w:rsidRPr="004E06DE">
        <w:rPr>
          <w:rFonts w:ascii="Times New Roman" w:hAnsi="Times New Roman" w:cs="Times New Roman"/>
          <w:i/>
          <w:iCs/>
        </w:rPr>
        <w:t>maka‘āinana</w:t>
      </w:r>
      <w:proofErr w:type="spellEnd"/>
      <w:r w:rsidRPr="004E06DE">
        <w:rPr>
          <w:rFonts w:ascii="Times New Roman" w:hAnsi="Times New Roman" w:cs="Times New Roman"/>
          <w:i/>
          <w:iCs/>
        </w:rPr>
        <w:t xml:space="preserve"> </w:t>
      </w:r>
      <w:r w:rsidRPr="004E06DE">
        <w:rPr>
          <w:rFonts w:ascii="Times New Roman" w:hAnsi="Times New Roman" w:cs="Times New Roman"/>
        </w:rPr>
        <w:t xml:space="preserve">fed and clothed the </w:t>
      </w:r>
      <w:r w:rsidRPr="004E06DE">
        <w:rPr>
          <w:rFonts w:ascii="Times New Roman" w:hAnsi="Times New Roman" w:cs="Times New Roman"/>
          <w:i/>
          <w:iCs/>
        </w:rPr>
        <w:t>Ali’i Nui</w:t>
      </w:r>
      <w:r w:rsidRPr="004E06DE">
        <w:rPr>
          <w:rFonts w:ascii="Times New Roman" w:hAnsi="Times New Roman" w:cs="Times New Roman"/>
        </w:rPr>
        <w:t>. (</w:t>
      </w:r>
      <w:proofErr w:type="gramStart"/>
      <w:r w:rsidRPr="004E06DE">
        <w:rPr>
          <w:rFonts w:ascii="Times New Roman" w:hAnsi="Times New Roman" w:cs="Times New Roman"/>
        </w:rPr>
        <w:t>qtd</w:t>
      </w:r>
      <w:proofErr w:type="gramEnd"/>
      <w:r w:rsidRPr="004E06DE">
        <w:rPr>
          <w:rFonts w:ascii="Times New Roman" w:hAnsi="Times New Roman" w:cs="Times New Roman"/>
        </w:rPr>
        <w:t>. in Silva 39-40)</w:t>
      </w:r>
    </w:p>
    <w:p w14:paraId="61A299A3"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lastRenderedPageBreak/>
        <w:t xml:space="preserve">Silva points out that it was common for nineteenth-century non-Native commentators to conflate Native Hawaiian social structures with feudal systems of land </w:t>
      </w:r>
      <w:commentRangeStart w:id="62"/>
      <w:r w:rsidRPr="004E06DE">
        <w:rPr>
          <w:rFonts w:ascii="Times New Roman" w:hAnsi="Times New Roman" w:cs="Times New Roman"/>
        </w:rPr>
        <w:t>tenure</w:t>
      </w:r>
      <w:commentRangeEnd w:id="62"/>
      <w:r w:rsidRPr="004E06DE">
        <w:rPr>
          <w:rStyle w:val="CommentReference"/>
          <w:rFonts w:eastAsiaTheme="majorEastAsia"/>
        </w:rPr>
        <w:commentReference w:id="62"/>
      </w:r>
      <w:r w:rsidRPr="004E06DE">
        <w:rPr>
          <w:rFonts w:ascii="Times New Roman" w:hAnsi="Times New Roman" w:cs="Times New Roman"/>
        </w:rPr>
        <w:t xml:space="preserve"> (39). Indeed, it was not until the imposition of a capitalist economy after the </w:t>
      </w:r>
      <w:proofErr w:type="spellStart"/>
      <w:r w:rsidRPr="004E06DE">
        <w:rPr>
          <w:rFonts w:ascii="Times New Roman" w:hAnsi="Times New Roman" w:cs="Times New Roman"/>
        </w:rPr>
        <w:t>Māhele</w:t>
      </w:r>
      <w:proofErr w:type="spellEnd"/>
      <w:r w:rsidRPr="004E06DE">
        <w:rPr>
          <w:rFonts w:ascii="Times New Roman" w:hAnsi="Times New Roman" w:cs="Times New Roman"/>
        </w:rPr>
        <w:t xml:space="preserve">, the 1848 division of Hawaiian lands into private property, that the relationship between </w:t>
      </w:r>
      <w:proofErr w:type="spellStart"/>
      <w:r w:rsidRPr="004E06DE">
        <w:rPr>
          <w:rFonts w:ascii="Times New Roman" w:hAnsi="Times New Roman" w:cs="Times New Roman"/>
        </w:rPr>
        <w:t>maka‘āinana</w:t>
      </w:r>
      <w:proofErr w:type="spellEnd"/>
      <w:r w:rsidRPr="004E06DE">
        <w:rPr>
          <w:rFonts w:ascii="Times New Roman" w:hAnsi="Times New Roman" w:cs="Times New Roman"/>
        </w:rPr>
        <w:t xml:space="preserve"> and </w:t>
      </w:r>
      <w:proofErr w:type="spellStart"/>
      <w:r w:rsidRPr="004E06DE">
        <w:rPr>
          <w:rFonts w:ascii="Times New Roman" w:hAnsi="Times New Roman" w:cs="Times New Roman"/>
        </w:rPr>
        <w:t>konohiki</w:t>
      </w:r>
      <w:proofErr w:type="spellEnd"/>
      <w:r w:rsidRPr="004E06DE">
        <w:rPr>
          <w:rFonts w:ascii="Times New Roman" w:hAnsi="Times New Roman" w:cs="Times New Roman"/>
        </w:rPr>
        <w:t xml:space="preserve"> (traditionally administrators of land districts under the direction of the </w:t>
      </w:r>
      <w:proofErr w:type="spellStart"/>
      <w:r w:rsidRPr="004E06DE">
        <w:rPr>
          <w:rFonts w:ascii="Times New Roman" w:hAnsi="Times New Roman" w:cs="Times New Roman"/>
        </w:rPr>
        <w:t>ali’i</w:t>
      </w:r>
      <w:proofErr w:type="spellEnd"/>
      <w:r w:rsidRPr="004E06DE">
        <w:rPr>
          <w:rFonts w:ascii="Times New Roman" w:hAnsi="Times New Roman" w:cs="Times New Roman"/>
        </w:rPr>
        <w:t xml:space="preserve">) came to resemble that between tenant and landlord (43). The effect of this rhetorical equivalency, in Twain’s lecture and elsewhere, is to associate Hawaiian culture with backwards, uncivilized behavior in the style of “Old World” European despotism incommensurate with American republican values. Surely the language of slavery in Twain’s lecture added an additional emotional charge to his characterization of Hawaiian society in the immediate post-Civil War period. Whether or not Twain is being ironic (and it is often difficult to know) his language enables proponents of Hawaiian civilization and, later, annexation/assimilation by identifying Hawaiian culture as in need of American-style freedom. </w:t>
      </w:r>
    </w:p>
    <w:p w14:paraId="35ECF694"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Furthermore, Twain misrepresents the status of Hawaiian women in his lecture. He claims that prior to the intercession of white non-Native missionaries, Hawaiian women were degraded and enslaved to their husbands. This is yet another common trope in settler fictions about Native peoples. </w:t>
      </w:r>
      <w:commentRangeStart w:id="63"/>
      <w:r w:rsidRPr="004E06DE">
        <w:rPr>
          <w:rFonts w:ascii="Times New Roman" w:hAnsi="Times New Roman" w:cs="Times New Roman"/>
        </w:rPr>
        <w:t>As Tai S. Edwards reminds us, when Europeans arrived in North America, they brought with them entrenched gender roles of masculine outside activity and corresponding female domestic passivity</w:t>
      </w:r>
      <w:commentRangeEnd w:id="63"/>
      <w:r w:rsidRPr="004E06DE">
        <w:rPr>
          <w:rStyle w:val="CommentReference"/>
          <w:rFonts w:eastAsiaTheme="majorEastAsia"/>
        </w:rPr>
        <w:commentReference w:id="63"/>
      </w:r>
      <w:r w:rsidRPr="004E06DE">
        <w:rPr>
          <w:rFonts w:ascii="Times New Roman" w:hAnsi="Times New Roman" w:cs="Times New Roman"/>
        </w:rPr>
        <w:t xml:space="preserve">. “This social construction,” Edwards writes, “biased Europeans and Americans in their interactions with Indigenous </w:t>
      </w:r>
      <w:r w:rsidRPr="004E06DE">
        <w:rPr>
          <w:rFonts w:ascii="Times New Roman" w:hAnsi="Times New Roman" w:cs="Times New Roman"/>
        </w:rPr>
        <w:lastRenderedPageBreak/>
        <w:t xml:space="preserve">people, producing misunderstandings. [Native] Women’s labor was just one piece of evidence, not only of their degraded condition, but also of an entire Indigenous society’s lack of civilization” (3). Contrary to such claims, Hawaiian women in the traditional era enjoyed freedoms and exercised power in ways equal to men. Like men, Hawaiian women embarked on voyages across the Pacific and served in all classes of Hawaiian society, including as </w:t>
      </w:r>
      <w:proofErr w:type="spellStart"/>
      <w:r w:rsidRPr="004E06DE">
        <w:rPr>
          <w:rFonts w:ascii="Times New Roman" w:hAnsi="Times New Roman" w:cs="Times New Roman"/>
        </w:rPr>
        <w:t>ali’i</w:t>
      </w:r>
      <w:proofErr w:type="spellEnd"/>
      <w:r w:rsidRPr="004E06DE">
        <w:rPr>
          <w:rFonts w:ascii="Times New Roman" w:hAnsi="Times New Roman" w:cs="Times New Roman"/>
        </w:rPr>
        <w:t xml:space="preserve"> </w:t>
      </w:r>
      <w:proofErr w:type="spellStart"/>
      <w:r w:rsidRPr="004E06DE">
        <w:rPr>
          <w:rFonts w:ascii="Times New Roman" w:hAnsi="Times New Roman" w:cs="Times New Roman"/>
        </w:rPr>
        <w:t>wahine</w:t>
      </w:r>
      <w:proofErr w:type="spellEnd"/>
      <w:r w:rsidRPr="004E06DE">
        <w:rPr>
          <w:rFonts w:ascii="Times New Roman" w:hAnsi="Times New Roman" w:cs="Times New Roman"/>
        </w:rPr>
        <w:t xml:space="preserve">, female </w:t>
      </w:r>
      <w:proofErr w:type="spellStart"/>
      <w:r w:rsidRPr="004E06DE">
        <w:rPr>
          <w:rFonts w:ascii="Times New Roman" w:hAnsi="Times New Roman" w:cs="Times New Roman"/>
        </w:rPr>
        <w:t>ali’i</w:t>
      </w:r>
      <w:proofErr w:type="spellEnd"/>
      <w:r w:rsidRPr="004E06DE">
        <w:rPr>
          <w:rFonts w:ascii="Times New Roman" w:hAnsi="Times New Roman" w:cs="Times New Roman"/>
        </w:rPr>
        <w:t xml:space="preserve">, and </w:t>
      </w:r>
      <w:proofErr w:type="spellStart"/>
      <w:r w:rsidRPr="004E06DE">
        <w:rPr>
          <w:rFonts w:ascii="Times New Roman" w:hAnsi="Times New Roman" w:cs="Times New Roman"/>
        </w:rPr>
        <w:t>kuhina</w:t>
      </w:r>
      <w:proofErr w:type="spellEnd"/>
      <w:r w:rsidRPr="004E06DE">
        <w:rPr>
          <w:rFonts w:ascii="Times New Roman" w:hAnsi="Times New Roman" w:cs="Times New Roman"/>
        </w:rPr>
        <w:t xml:space="preserve"> </w:t>
      </w:r>
      <w:proofErr w:type="spellStart"/>
      <w:r w:rsidRPr="004E06DE">
        <w:rPr>
          <w:rFonts w:ascii="Times New Roman" w:hAnsi="Times New Roman" w:cs="Times New Roman"/>
        </w:rPr>
        <w:t>nui</w:t>
      </w:r>
      <w:proofErr w:type="spellEnd"/>
      <w:r w:rsidRPr="004E06DE">
        <w:rPr>
          <w:rFonts w:ascii="Times New Roman" w:hAnsi="Times New Roman" w:cs="Times New Roman"/>
        </w:rPr>
        <w:t xml:space="preserve">, co-ruler with the </w:t>
      </w:r>
      <w:proofErr w:type="spellStart"/>
      <w:r w:rsidRPr="004E06DE">
        <w:rPr>
          <w:rFonts w:ascii="Times New Roman" w:hAnsi="Times New Roman" w:cs="Times New Roman"/>
        </w:rPr>
        <w:t>mō’ī</w:t>
      </w:r>
      <w:proofErr w:type="spellEnd"/>
      <w:r w:rsidRPr="004E06DE">
        <w:rPr>
          <w:rFonts w:ascii="Times New Roman" w:hAnsi="Times New Roman" w:cs="Times New Roman"/>
        </w:rPr>
        <w:t xml:space="preserve"> (ruler over the archipelago). </w:t>
      </w:r>
      <w:proofErr w:type="spellStart"/>
      <w:r w:rsidRPr="004E06DE">
        <w:rPr>
          <w:rFonts w:ascii="Times New Roman" w:hAnsi="Times New Roman" w:cs="Times New Roman"/>
        </w:rPr>
        <w:t>Keōpūolani</w:t>
      </w:r>
      <w:proofErr w:type="spellEnd"/>
      <w:r w:rsidRPr="004E06DE">
        <w:rPr>
          <w:rFonts w:ascii="Times New Roman" w:hAnsi="Times New Roman" w:cs="Times New Roman"/>
        </w:rPr>
        <w:t xml:space="preserve"> and </w:t>
      </w:r>
      <w:proofErr w:type="spellStart"/>
      <w:r w:rsidRPr="004E06DE">
        <w:rPr>
          <w:rFonts w:ascii="Times New Roman" w:hAnsi="Times New Roman" w:cs="Times New Roman"/>
        </w:rPr>
        <w:t>Ka’ahumanu</w:t>
      </w:r>
      <w:proofErr w:type="spellEnd"/>
      <w:r w:rsidRPr="004E06DE">
        <w:rPr>
          <w:rFonts w:ascii="Times New Roman" w:hAnsi="Times New Roman" w:cs="Times New Roman"/>
        </w:rPr>
        <w:t xml:space="preserve"> are two examples of powerful Hawaiian women who held enormous power over Hawaiian society. </w:t>
      </w:r>
      <w:proofErr w:type="spellStart"/>
      <w:r w:rsidRPr="004E06DE">
        <w:rPr>
          <w:rFonts w:ascii="Times New Roman" w:hAnsi="Times New Roman" w:cs="Times New Roman"/>
        </w:rPr>
        <w:t>Keōpūolani</w:t>
      </w:r>
      <w:proofErr w:type="spellEnd"/>
      <w:r w:rsidRPr="004E06DE">
        <w:rPr>
          <w:rFonts w:ascii="Times New Roman" w:hAnsi="Times New Roman" w:cs="Times New Roman"/>
        </w:rPr>
        <w:t xml:space="preserve"> was the first of the “favored </w:t>
      </w:r>
      <w:proofErr w:type="spellStart"/>
      <w:r w:rsidRPr="004E06DE">
        <w:rPr>
          <w:rFonts w:ascii="Times New Roman" w:hAnsi="Times New Roman" w:cs="Times New Roman"/>
        </w:rPr>
        <w:t>wāhine</w:t>
      </w:r>
      <w:proofErr w:type="spellEnd"/>
      <w:r w:rsidRPr="004E06DE">
        <w:rPr>
          <w:rFonts w:ascii="Times New Roman" w:hAnsi="Times New Roman" w:cs="Times New Roman"/>
        </w:rPr>
        <w:t xml:space="preserve"> of Kamehameha I” and the mother of Liholiho and Kauikeaouli, later called Kamehameha II and III, respectively (</w:t>
      </w:r>
      <w:commentRangeStart w:id="64"/>
      <w:r w:rsidRPr="004E06DE">
        <w:rPr>
          <w:rFonts w:ascii="Times New Roman" w:hAnsi="Times New Roman" w:cs="Times New Roman"/>
        </w:rPr>
        <w:t>Silva</w:t>
      </w:r>
      <w:commentRangeEnd w:id="64"/>
      <w:r w:rsidRPr="004E06DE">
        <w:rPr>
          <w:rStyle w:val="CommentReference"/>
          <w:rFonts w:eastAsiaTheme="majorEastAsia"/>
        </w:rPr>
        <w:commentReference w:id="64"/>
      </w:r>
      <w:r w:rsidRPr="004E06DE">
        <w:rPr>
          <w:rFonts w:ascii="Times New Roman" w:hAnsi="Times New Roman" w:cs="Times New Roman"/>
        </w:rPr>
        <w:t xml:space="preserve"> 32). After the death of Kamehameha I, </w:t>
      </w:r>
      <w:proofErr w:type="spellStart"/>
      <w:r w:rsidRPr="004E06DE">
        <w:rPr>
          <w:rFonts w:ascii="Times New Roman" w:hAnsi="Times New Roman" w:cs="Times New Roman"/>
        </w:rPr>
        <w:t>Keōpūolani</w:t>
      </w:r>
      <w:proofErr w:type="spellEnd"/>
      <w:r w:rsidRPr="004E06DE">
        <w:rPr>
          <w:rFonts w:ascii="Times New Roman" w:hAnsi="Times New Roman" w:cs="Times New Roman"/>
        </w:rPr>
        <w:t xml:space="preserve"> acting as </w:t>
      </w:r>
      <w:proofErr w:type="spellStart"/>
      <w:r w:rsidRPr="004E06DE">
        <w:rPr>
          <w:rFonts w:ascii="Times New Roman" w:hAnsi="Times New Roman" w:cs="Times New Roman"/>
        </w:rPr>
        <w:t>ali’i</w:t>
      </w:r>
      <w:proofErr w:type="spellEnd"/>
      <w:r w:rsidRPr="004E06DE">
        <w:rPr>
          <w:rFonts w:ascii="Times New Roman" w:hAnsi="Times New Roman" w:cs="Times New Roman"/>
        </w:rPr>
        <w:t xml:space="preserve"> </w:t>
      </w:r>
      <w:proofErr w:type="spellStart"/>
      <w:r w:rsidRPr="004E06DE">
        <w:rPr>
          <w:rFonts w:ascii="Times New Roman" w:hAnsi="Times New Roman" w:cs="Times New Roman"/>
        </w:rPr>
        <w:t>wahine</w:t>
      </w:r>
      <w:proofErr w:type="spellEnd"/>
      <w:r w:rsidRPr="004E06DE">
        <w:rPr>
          <w:rFonts w:ascii="Times New Roman" w:hAnsi="Times New Roman" w:cs="Times New Roman"/>
        </w:rPr>
        <w:t xml:space="preserve"> ended the traditional practice of ‘ai </w:t>
      </w:r>
      <w:proofErr w:type="spellStart"/>
      <w:r w:rsidRPr="004E06DE">
        <w:rPr>
          <w:rFonts w:ascii="Times New Roman" w:hAnsi="Times New Roman" w:cs="Times New Roman"/>
        </w:rPr>
        <w:t>kapu</w:t>
      </w:r>
      <w:proofErr w:type="spellEnd"/>
      <w:r w:rsidRPr="004E06DE">
        <w:rPr>
          <w:rFonts w:ascii="Times New Roman" w:hAnsi="Times New Roman" w:cs="Times New Roman"/>
        </w:rPr>
        <w:t xml:space="preserve">, “a system of rules that specified that men do all the cooking, that men and women eat separately, and that certain foods…be </w:t>
      </w:r>
      <w:proofErr w:type="spellStart"/>
      <w:r w:rsidRPr="004E06DE">
        <w:rPr>
          <w:rFonts w:ascii="Times New Roman" w:hAnsi="Times New Roman" w:cs="Times New Roman"/>
        </w:rPr>
        <w:t>kapu</w:t>
      </w:r>
      <w:proofErr w:type="spellEnd"/>
      <w:r w:rsidRPr="004E06DE">
        <w:rPr>
          <w:rFonts w:ascii="Times New Roman" w:hAnsi="Times New Roman" w:cs="Times New Roman"/>
        </w:rPr>
        <w:t xml:space="preserve"> [forbidden] to women” (28). </w:t>
      </w:r>
      <w:proofErr w:type="spellStart"/>
      <w:r w:rsidRPr="004E06DE">
        <w:rPr>
          <w:rFonts w:ascii="Times New Roman" w:hAnsi="Times New Roman" w:cs="Times New Roman"/>
        </w:rPr>
        <w:t>Noenoe</w:t>
      </w:r>
      <w:proofErr w:type="spellEnd"/>
      <w:r w:rsidRPr="004E06DE">
        <w:rPr>
          <w:rFonts w:ascii="Times New Roman" w:hAnsi="Times New Roman" w:cs="Times New Roman"/>
        </w:rPr>
        <w:t xml:space="preserve"> K. Silva also notes that </w:t>
      </w:r>
      <w:proofErr w:type="spellStart"/>
      <w:r w:rsidRPr="004E06DE">
        <w:rPr>
          <w:rFonts w:ascii="Times New Roman" w:hAnsi="Times New Roman" w:cs="Times New Roman"/>
        </w:rPr>
        <w:t>Keōpūolani</w:t>
      </w:r>
      <w:proofErr w:type="spellEnd"/>
      <w:r w:rsidRPr="004E06DE">
        <w:rPr>
          <w:rFonts w:ascii="Times New Roman" w:hAnsi="Times New Roman" w:cs="Times New Roman"/>
        </w:rPr>
        <w:t xml:space="preserve"> was among the earliest converts to Calvinism and “greatly influenced the conversion of other powerful </w:t>
      </w:r>
      <w:proofErr w:type="spellStart"/>
      <w:r w:rsidRPr="004E06DE">
        <w:rPr>
          <w:rFonts w:ascii="Times New Roman" w:hAnsi="Times New Roman" w:cs="Times New Roman"/>
        </w:rPr>
        <w:t>ali’i</w:t>
      </w:r>
      <w:proofErr w:type="spellEnd"/>
      <w:r w:rsidRPr="004E06DE">
        <w:rPr>
          <w:rFonts w:ascii="Times New Roman" w:hAnsi="Times New Roman" w:cs="Times New Roman"/>
        </w:rPr>
        <w:t xml:space="preserve">” (32). Additionally, Silva calls the </w:t>
      </w:r>
      <w:proofErr w:type="spellStart"/>
      <w:r w:rsidRPr="004E06DE">
        <w:rPr>
          <w:rFonts w:ascii="Times New Roman" w:hAnsi="Times New Roman" w:cs="Times New Roman"/>
        </w:rPr>
        <w:t>kuhina</w:t>
      </w:r>
      <w:proofErr w:type="spellEnd"/>
      <w:r w:rsidRPr="004E06DE">
        <w:rPr>
          <w:rFonts w:ascii="Times New Roman" w:hAnsi="Times New Roman" w:cs="Times New Roman"/>
        </w:rPr>
        <w:t xml:space="preserve"> </w:t>
      </w:r>
      <w:proofErr w:type="spellStart"/>
      <w:r w:rsidRPr="004E06DE">
        <w:rPr>
          <w:rFonts w:ascii="Times New Roman" w:hAnsi="Times New Roman" w:cs="Times New Roman"/>
        </w:rPr>
        <w:t>nui</w:t>
      </w:r>
      <w:proofErr w:type="spellEnd"/>
      <w:r w:rsidRPr="004E06DE">
        <w:rPr>
          <w:rFonts w:ascii="Times New Roman" w:hAnsi="Times New Roman" w:cs="Times New Roman"/>
        </w:rPr>
        <w:t xml:space="preserve"> </w:t>
      </w:r>
      <w:proofErr w:type="spellStart"/>
      <w:r w:rsidRPr="004E06DE">
        <w:rPr>
          <w:rFonts w:ascii="Times New Roman" w:hAnsi="Times New Roman" w:cs="Times New Roman"/>
        </w:rPr>
        <w:t>Ka’ahumanu</w:t>
      </w:r>
      <w:proofErr w:type="spellEnd"/>
      <w:r w:rsidRPr="004E06DE">
        <w:rPr>
          <w:rFonts w:ascii="Times New Roman" w:hAnsi="Times New Roman" w:cs="Times New Roman"/>
        </w:rPr>
        <w:t xml:space="preserve"> “the most feared and revered of the queens” of Hawaii (32). After the death of </w:t>
      </w:r>
      <w:proofErr w:type="spellStart"/>
      <w:r w:rsidRPr="004E06DE">
        <w:rPr>
          <w:rFonts w:ascii="Times New Roman" w:hAnsi="Times New Roman" w:cs="Times New Roman"/>
        </w:rPr>
        <w:t>Kamehamehame</w:t>
      </w:r>
      <w:proofErr w:type="spellEnd"/>
      <w:r w:rsidRPr="004E06DE">
        <w:rPr>
          <w:rFonts w:ascii="Times New Roman" w:hAnsi="Times New Roman" w:cs="Times New Roman"/>
        </w:rPr>
        <w:t xml:space="preserve"> I, </w:t>
      </w:r>
      <w:proofErr w:type="spellStart"/>
      <w:r w:rsidRPr="004E06DE">
        <w:rPr>
          <w:rFonts w:ascii="Times New Roman" w:hAnsi="Times New Roman" w:cs="Times New Roman"/>
        </w:rPr>
        <w:t>Ka’ahumanu</w:t>
      </w:r>
      <w:proofErr w:type="spellEnd"/>
      <w:r w:rsidRPr="004E06DE">
        <w:rPr>
          <w:rFonts w:ascii="Times New Roman" w:hAnsi="Times New Roman" w:cs="Times New Roman"/>
        </w:rPr>
        <w:t xml:space="preserve"> proclaimed herself joint ruler alongside Liholiho (Kamehameha II) and was another important ally to the early Christian missionaries (34). Contrary to Twain’s claim that American missionaries “elevated” the wife of the common male </w:t>
      </w:r>
      <w:proofErr w:type="spellStart"/>
      <w:r w:rsidRPr="004E06DE">
        <w:rPr>
          <w:rFonts w:ascii="Times New Roman" w:hAnsi="Times New Roman" w:cs="Times New Roman"/>
        </w:rPr>
        <w:t>maka‘āinana</w:t>
      </w:r>
      <w:proofErr w:type="spellEnd"/>
      <w:r w:rsidRPr="004E06DE">
        <w:rPr>
          <w:rFonts w:ascii="Times New Roman" w:hAnsi="Times New Roman" w:cs="Times New Roman"/>
        </w:rPr>
        <w:t xml:space="preserve"> “to a position of equality,” the establishment of capitalism in the islands imposed foreign, westernized gender roles. </w:t>
      </w:r>
      <w:r w:rsidRPr="004E06DE">
        <w:rPr>
          <w:rFonts w:ascii="Times New Roman" w:hAnsi="Times New Roman" w:cs="Times New Roman"/>
        </w:rPr>
        <w:lastRenderedPageBreak/>
        <w:t xml:space="preserve">Nevertheless, Hawaiian women continued to exercise power and resist colonialism from within this containment. Silva provides copious examples of Hawaiian women’s resistance across the nineteenth and twentieth centuries, including “veiled communications…through the composition of poems and songs that were published in the newspaper,” “by becoming keepers of the knowledge of hula,” (which Twain, in </w:t>
      </w:r>
      <w:r w:rsidRPr="004E06DE">
        <w:rPr>
          <w:rFonts w:ascii="Times New Roman" w:hAnsi="Times New Roman" w:cs="Times New Roman"/>
          <w:i/>
          <w:iCs/>
        </w:rPr>
        <w:t>Roughing It</w:t>
      </w:r>
      <w:r w:rsidRPr="004E06DE">
        <w:rPr>
          <w:rFonts w:ascii="Times New Roman" w:hAnsi="Times New Roman" w:cs="Times New Roman"/>
        </w:rPr>
        <w:t xml:space="preserve">, calls “lascivious” and “demoralizing” [476-7]) “by sewing the national flag into quilts,” and by memorizing culturally significant </w:t>
      </w:r>
      <w:proofErr w:type="spellStart"/>
      <w:r w:rsidRPr="004E06DE">
        <w:rPr>
          <w:rFonts w:ascii="Times New Roman" w:hAnsi="Times New Roman" w:cs="Times New Roman"/>
        </w:rPr>
        <w:t>mo’olelo</w:t>
      </w:r>
      <w:proofErr w:type="spellEnd"/>
      <w:r w:rsidRPr="004E06DE">
        <w:rPr>
          <w:rFonts w:ascii="Times New Roman" w:hAnsi="Times New Roman" w:cs="Times New Roman"/>
        </w:rPr>
        <w:t xml:space="preserve"> (oral history/traditional stories) (Silva 8). </w:t>
      </w:r>
    </w:p>
    <w:p w14:paraId="5EBC68FA"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tab/>
        <w:t>Twain’s erasure of Native presence is more obvious in his “Roughing It” lectures, which Twain performed in the U.S. during the 1871-2 lecture season and for English audiences in 1873  (</w:t>
      </w:r>
      <w:proofErr w:type="spellStart"/>
      <w:r w:rsidRPr="004E06DE">
        <w:rPr>
          <w:rFonts w:ascii="Times New Roman" w:hAnsi="Times New Roman" w:cs="Times New Roman"/>
        </w:rPr>
        <w:t>Fatout</w:t>
      </w:r>
      <w:proofErr w:type="spellEnd"/>
      <w:r w:rsidRPr="004E06DE">
        <w:rPr>
          <w:rFonts w:ascii="Times New Roman" w:hAnsi="Times New Roman" w:cs="Times New Roman"/>
        </w:rPr>
        <w:t xml:space="preserve"> 48).</w:t>
      </w:r>
      <w:r w:rsidRPr="004E06DE">
        <w:rPr>
          <w:rStyle w:val="FootnoteReference"/>
          <w:rFonts w:ascii="Times New Roman" w:eastAsiaTheme="majorEastAsia" w:hAnsi="Times New Roman" w:cs="Times New Roman"/>
        </w:rPr>
        <w:footnoteReference w:id="62"/>
      </w:r>
      <w:r w:rsidRPr="004E06DE">
        <w:rPr>
          <w:rFonts w:ascii="Times New Roman" w:hAnsi="Times New Roman" w:cs="Times New Roman"/>
        </w:rPr>
        <w:t xml:space="preserve"> Like his “Sandwich Islands” lectures, the “Roughing It” lectures exoticize the U.S. West for primarily Eastern audiences eager for both real information about the lands and peoples in other parts of the country and humorous presentations of regionalist types. Twain’s performances contributed to the consolidation </w:t>
      </w:r>
      <w:r w:rsidRPr="004E06DE">
        <w:rPr>
          <w:rFonts w:ascii="Times New Roman" w:hAnsi="Times New Roman" w:cs="Times New Roman"/>
        </w:rPr>
        <w:lastRenderedPageBreak/>
        <w:t xml:space="preserve">of a national identity by diminishing for his audiences the vast distances between New England, New York, California, and Nevada and also by making the foreign West imaginatively palatable for Eastern cosmopolitans while remaining just exotic enough. American audiences in the East Coast were able to imagine the contested lands in the West as American space and to celebrate the demonstrable superiority of democratic values. The containment and erasure of Native presence in the West is key to this ideological effect. </w:t>
      </w:r>
    </w:p>
    <w:p w14:paraId="7D141728"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tab/>
        <w:t>Twain depicts the desert biome of the Great Basin as empty space, free of people, animals, and history. He begins his lecture</w:t>
      </w:r>
      <w:r w:rsidRPr="004E06DE">
        <w:rPr>
          <w:rStyle w:val="FootnoteReference"/>
          <w:rFonts w:ascii="Times New Roman" w:eastAsiaTheme="majorEastAsia" w:hAnsi="Times New Roman" w:cs="Times New Roman"/>
        </w:rPr>
        <w:footnoteReference w:id="63"/>
      </w:r>
      <w:r w:rsidRPr="004E06DE">
        <w:rPr>
          <w:rFonts w:ascii="Times New Roman" w:hAnsi="Times New Roman" w:cs="Times New Roman"/>
        </w:rPr>
        <w:t xml:space="preserve"> by narrating his overland journey by stagecoach. “It was a long ride, day and night, through sagebrush, over sand and alkali plains, wolves and Indians, starvation and smallpox” (</w:t>
      </w:r>
      <w:proofErr w:type="spellStart"/>
      <w:r w:rsidRPr="004E06DE">
        <w:rPr>
          <w:rFonts w:ascii="Times New Roman" w:hAnsi="Times New Roman" w:cs="Times New Roman"/>
        </w:rPr>
        <w:t>Fatout</w:t>
      </w:r>
      <w:proofErr w:type="spellEnd"/>
      <w:r w:rsidRPr="004E06DE">
        <w:rPr>
          <w:rFonts w:ascii="Times New Roman" w:hAnsi="Times New Roman" w:cs="Times New Roman"/>
        </w:rPr>
        <w:t xml:space="preserve"> 49). This is the first of two times in the extant texts of the lecture that Twain mentions Native peoples. In the series of pairs that demonstrate the dangers of his adventure, “Indians” are linked with wolves, sand, and disease: just another part of a landscape hostile to (white nonnative) human survival. Curiously, after having named some of most notable flora and fauna of the region, Twain continues to characterize the land as “a desolate, barren, sterile, mountainous, unpeopled country, sagebrush and deserts of alkali” (49). He goes on to further equate the region with inhospitality and death: “You could scarcely cast your eye in any </w:t>
      </w:r>
      <w:proofErr w:type="gramStart"/>
      <w:r w:rsidRPr="004E06DE">
        <w:rPr>
          <w:rFonts w:ascii="Times New Roman" w:hAnsi="Times New Roman" w:cs="Times New Roman"/>
        </w:rPr>
        <w:t>direction</w:t>
      </w:r>
      <w:proofErr w:type="gramEnd"/>
      <w:r w:rsidRPr="004E06DE">
        <w:rPr>
          <w:rFonts w:ascii="Times New Roman" w:hAnsi="Times New Roman" w:cs="Times New Roman"/>
        </w:rPr>
        <w:t xml:space="preserve"> but your gaze would be met by one significant object…the projecting </w:t>
      </w:r>
      <w:r w:rsidRPr="004E06DE">
        <w:rPr>
          <w:rFonts w:ascii="Times New Roman" w:hAnsi="Times New Roman" w:cs="Times New Roman"/>
        </w:rPr>
        <w:lastRenderedPageBreak/>
        <w:t xml:space="preserve">horns of a dried shrunken carcass of an ox, preaching eloquent sermons of the hardships suffered by those emigrants, where a soil refused to clothe its nakedness” (49-50). A clear natural order emerges here, where Twain defines “people” as white, nonnative Americans and “barrenness” and “sterility” as lacking in western-style agriculture.     </w:t>
      </w:r>
    </w:p>
    <w:p w14:paraId="06C95FA8"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tab/>
        <w:t>In these opening lines, sagebrush is symbolic of the region’s aridity and infertility as well as its availability for American settlement. First, Twain compares the sagebrush unfavorably to hay. Sagebrush can thrive in arid, low-moisture environments whereas Twain points out that hay is only found alongside the region’s rivers, such as the Carson River, “which clothes the valley with refreshing and fragrant hay fields” (50). Hay’s scarcity means that it is difficult to maintain livestock in the American style, causing “the valleys” (presumably different valleys) “were paved with the remains of…cattle” (50). Unlike hay, sagebrush “as a vegetable for table use…is a failure,” only good for making sickly tea that put Twain in mind of baneful home medicinal remedies (50). However, the plant is also “the emigrant’s fast friend, his only resource for fuel” for fires and, furthermore, “it is food for the mules and donkeys,” which allows “emigrant trains…to pull through with their loads where ox teams would lie down and die of starvation” (50-51). To this day</w:t>
      </w:r>
      <w:commentRangeStart w:id="65"/>
      <w:r w:rsidRPr="004E06DE">
        <w:rPr>
          <w:rFonts w:ascii="Times New Roman" w:hAnsi="Times New Roman" w:cs="Times New Roman"/>
        </w:rPr>
        <w:t>, Northern Paiutes and other Indigenous peoples of the Great Basin use sagebrush in a variety of traditional and ceremonial ways</w:t>
      </w:r>
      <w:commentRangeEnd w:id="65"/>
      <w:r w:rsidRPr="004E06DE">
        <w:rPr>
          <w:rStyle w:val="CommentReference"/>
          <w:rFonts w:eastAsiaTheme="majorEastAsia"/>
        </w:rPr>
        <w:commentReference w:id="65"/>
      </w:r>
      <w:r w:rsidRPr="004E06DE">
        <w:rPr>
          <w:rFonts w:ascii="Times New Roman" w:hAnsi="Times New Roman" w:cs="Times New Roman"/>
        </w:rPr>
        <w:t xml:space="preserve">. Traditionally, the Paiutes used it to produce clothing, shelter, baskets, nets, as fuel, and as a source of shade to rest from the sun, and other everyday necessities. Ignorant of or perhaps blind to its ecological and cultural importance to the Indigenous peoples of the land, Twain sees “a manifest </w:t>
      </w:r>
      <w:r w:rsidRPr="004E06DE">
        <w:rPr>
          <w:rFonts w:ascii="Times New Roman" w:hAnsi="Times New Roman" w:cs="Times New Roman"/>
        </w:rPr>
        <w:lastRenderedPageBreak/>
        <w:t xml:space="preserve">Providence in the creation of the sagebrush” in the way emigrant settlers used it to facilitate the invasion of the West (50-51). </w:t>
      </w:r>
    </w:p>
    <w:p w14:paraId="766768E6"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Twain’s rhetorical purpose in emphasizing the environmental dangers of the overland trip is to amplify and lionize the presence of American civilization, such as it is, in these lands against all odds. His erasure of Native presence from the landscape supports this by making the landscape seem wild and open, available to American enterprise and ennobling to those who can brave it. When he does acknowledge the presence of Indigenous peoples, Twain presents them as another natural trial to be overcome. The second time he does so is during an anecdote about his first days as territorial journalist. “Have you ever considered what straits reporters are sometimes pushed to in furnishing the public news?” he asks his audience. “Why, the first day items were so scarce, I couldn’t find an item anywhere” (58). Looking around for anything that could stir the public interest, Twain tells of his “luck” when a straggling emigrant train made its way into after an encounter with Native warriors on the road. Historian Michael L. Tate explains that, though the Indigenous Plains nations through whose territories the overland emigrants passed historically treated white travelers peacefully and compassionately, by the 1860’s, oppressive governmental policies, more aggressive military presence, and ecological pressures caused by greater and greater number of settlers moving into the region caused tribes like the Lakota and Cheyenne to mount more organized resistance to white emigration (xiv-xv). However, as Tate also points out, the press in the East and the West typically sensationalized emigrants’ encounters with </w:t>
      </w:r>
      <w:r w:rsidRPr="004E06DE">
        <w:rPr>
          <w:rFonts w:ascii="Times New Roman" w:hAnsi="Times New Roman" w:cs="Times New Roman"/>
        </w:rPr>
        <w:lastRenderedPageBreak/>
        <w:t xml:space="preserve">Native bands, transforming sometimes petty squabbles into full-on slaughters of innocent white women and children (xi-xii). In his lecture, Twain illustrates this tendency. “Disappointed” that the travelers had not come in for more of a bloodbath, Twain invents one out of whole cloth: “I put that wagon train through the bloodiest Indian fight ever seen on the plains. They came out of that conflict covered with glory. The chief editor said he didn’t want any better reporter than I was. I said: ‘You just bring on your Indians and fetch out your emigrants, leave me alone, and I will make the fur fly. I will hang a scalp on every sagebrush between here and the Missouri </w:t>
      </w:r>
      <w:proofErr w:type="gramStart"/>
      <w:r w:rsidRPr="004E06DE">
        <w:rPr>
          <w:rFonts w:ascii="Times New Roman" w:hAnsi="Times New Roman" w:cs="Times New Roman"/>
        </w:rPr>
        <w:t>border’”</w:t>
      </w:r>
      <w:proofErr w:type="gramEnd"/>
      <w:r w:rsidRPr="004E06DE">
        <w:rPr>
          <w:rFonts w:ascii="Times New Roman" w:hAnsi="Times New Roman" w:cs="Times New Roman"/>
        </w:rPr>
        <w:t xml:space="preserve"> (</w:t>
      </w:r>
      <w:proofErr w:type="spellStart"/>
      <w:r w:rsidRPr="004E06DE">
        <w:rPr>
          <w:rFonts w:ascii="Times New Roman" w:hAnsi="Times New Roman" w:cs="Times New Roman"/>
        </w:rPr>
        <w:t>Fatout</w:t>
      </w:r>
      <w:proofErr w:type="spellEnd"/>
      <w:r w:rsidRPr="004E06DE">
        <w:rPr>
          <w:rFonts w:ascii="Times New Roman" w:hAnsi="Times New Roman" w:cs="Times New Roman"/>
        </w:rPr>
        <w:t xml:space="preserve"> 58). Here, Twain erases real Natives from the landscape and replaces them with (literal) fictions, bloodthirsty savages legible to his audience through hundreds of years of colonial </w:t>
      </w:r>
      <w:commentRangeStart w:id="66"/>
      <w:r w:rsidRPr="004E06DE">
        <w:rPr>
          <w:rFonts w:ascii="Times New Roman" w:hAnsi="Times New Roman" w:cs="Times New Roman"/>
        </w:rPr>
        <w:t>propaganda</w:t>
      </w:r>
      <w:commentRangeEnd w:id="66"/>
      <w:r w:rsidRPr="004E06DE">
        <w:rPr>
          <w:rStyle w:val="CommentReference"/>
          <w:rFonts w:eastAsiaTheme="majorEastAsia"/>
        </w:rPr>
        <w:commentReference w:id="66"/>
      </w:r>
      <w:r w:rsidRPr="004E06DE">
        <w:rPr>
          <w:rFonts w:ascii="Times New Roman" w:hAnsi="Times New Roman" w:cs="Times New Roman"/>
        </w:rPr>
        <w:t xml:space="preserve">. </w:t>
      </w:r>
    </w:p>
    <w:p w14:paraId="78303A95"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Twain’s erasure of real Native presence in the “Sandwich Islands” and “Roughing It”  lectures map these regions as places where white, American subjectivity can be honed and perfected.</w:t>
      </w:r>
      <w:r w:rsidRPr="004E06DE">
        <w:rPr>
          <w:rStyle w:val="FootnoteReference"/>
          <w:rFonts w:ascii="Times New Roman" w:eastAsiaTheme="majorEastAsia" w:hAnsi="Times New Roman" w:cs="Times New Roman"/>
        </w:rPr>
        <w:footnoteReference w:id="64"/>
      </w:r>
      <w:r w:rsidRPr="004E06DE">
        <w:rPr>
          <w:rFonts w:ascii="Times New Roman" w:hAnsi="Times New Roman" w:cs="Times New Roman"/>
        </w:rPr>
        <w:t xml:space="preserve"> As he depopulates these regions of Native Hawaiian and Great Basin peoples, he fills them again with colonial caricatures and white, nonnative American figures. Against the Indigenous caricatures, Twain’s Americans come to the foreground, representative figures of democratic values Twain wished to broadcast to his regional audiences. These values include hearty manliness; autonomy and self-reliance; transparency, authenticity, and honesty; a democratic love of freedom and hatred for </w:t>
      </w:r>
      <w:r w:rsidRPr="004E06DE">
        <w:rPr>
          <w:rFonts w:ascii="Times New Roman" w:hAnsi="Times New Roman" w:cs="Times New Roman"/>
        </w:rPr>
        <w:lastRenderedPageBreak/>
        <w:t>despotism; and a midwestern practicality mixed with capitalist entrepreneurialism. Just as his erasure of Native presence hinges on the representation of debilitated, absurd, or violent Native bodies, Twain’s ideal “Americanism” is founded in his portrayal of white bodies in these spaces. These white bodies are variously strong and weak, shrewd and naïve, heroes and liars, but always indicative of a “moral” instructive of proper American values.</w:t>
      </w:r>
    </w:p>
    <w:p w14:paraId="6D447038"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An instance of this can be seen in the character of the sugar plantation owner from California in the humorous anecdote at the beginning of this section. In Twain’s joke, the planter is initially sympathetic towards the death of the Native Hawaiian worker’s mother and gives him leave to bury her. However, he grows bewildered and resentful as the worker’s other mothers continue to die and he continually asks for leave from work to bury them. The anecdote satisfies Twain’s audiences’ voyeuristic desire to know the “</w:t>
      </w:r>
      <w:proofErr w:type="spellStart"/>
      <w:r w:rsidRPr="004E06DE">
        <w:rPr>
          <w:rFonts w:ascii="Times New Roman" w:hAnsi="Times New Roman" w:cs="Times New Roman"/>
        </w:rPr>
        <w:t>peculiarit</w:t>
      </w:r>
      <w:proofErr w:type="spellEnd"/>
      <w:r w:rsidRPr="004E06DE">
        <w:rPr>
          <w:rFonts w:ascii="Times New Roman" w:hAnsi="Times New Roman" w:cs="Times New Roman"/>
        </w:rPr>
        <w:t>[</w:t>
      </w:r>
      <w:proofErr w:type="spellStart"/>
      <w:r w:rsidRPr="004E06DE">
        <w:rPr>
          <w:rFonts w:ascii="Times New Roman" w:hAnsi="Times New Roman" w:cs="Times New Roman"/>
        </w:rPr>
        <w:t>ies</w:t>
      </w:r>
      <w:proofErr w:type="spellEnd"/>
      <w:r w:rsidRPr="004E06DE">
        <w:rPr>
          <w:rFonts w:ascii="Times New Roman" w:hAnsi="Times New Roman" w:cs="Times New Roman"/>
        </w:rPr>
        <w:t xml:space="preserve">] of the Kanakas” (8) but here the planter’s character also reflects important cultural values. For one, the man’s emigration to California and opening of a sugar plantation demonstrates American entrepreneurialism. Initially, the entire point of Twain’s trip to Hawai’i, sponsored by the Sacramento </w:t>
      </w:r>
      <w:r w:rsidRPr="004E06DE">
        <w:rPr>
          <w:rFonts w:ascii="Times New Roman" w:hAnsi="Times New Roman" w:cs="Times New Roman"/>
          <w:i/>
          <w:iCs/>
        </w:rPr>
        <w:t>Call</w:t>
      </w:r>
      <w:r w:rsidRPr="004E06DE">
        <w:rPr>
          <w:rFonts w:ascii="Times New Roman" w:hAnsi="Times New Roman" w:cs="Times New Roman"/>
        </w:rPr>
        <w:t xml:space="preserve">, was to research and report back on economic opportunities in the islands available to Californian citizens. Translated from Twain’s travel letters to his humorous lectures, the planter becomes less indicative of Hawai’i’s economic availability than illustrative of the kind of honest yet practical American work ethic that succeeds in the Pacific environment. In this anecdote, the Native worker is meant to stand in for the absurdity and corruption that Twain </w:t>
      </w:r>
      <w:r w:rsidRPr="004E06DE">
        <w:rPr>
          <w:rFonts w:ascii="Times New Roman" w:hAnsi="Times New Roman" w:cs="Times New Roman"/>
        </w:rPr>
        <w:lastRenderedPageBreak/>
        <w:t xml:space="preserve">frequently satirized in his lampoons of modern industrial society. Ironically transposing the cutthroat economic politics of Gilded Age America onto the laconic island culture, Twain characterizes Native Hawaiians as shrewd businessmen and able liars. The Kanaka, he says, “is a born trader, and he will swindle you if he can. He will lie straight through, from the first word to the last. Not such </w:t>
      </w:r>
      <w:proofErr w:type="spellStart"/>
      <w:r w:rsidRPr="004E06DE">
        <w:rPr>
          <w:rFonts w:ascii="Times New Roman" w:hAnsi="Times New Roman" w:cs="Times New Roman"/>
        </w:rPr>
        <w:t>lies</w:t>
      </w:r>
      <w:proofErr w:type="spellEnd"/>
      <w:r w:rsidRPr="004E06DE">
        <w:rPr>
          <w:rFonts w:ascii="Times New Roman" w:hAnsi="Times New Roman" w:cs="Times New Roman"/>
        </w:rPr>
        <w:t xml:space="preserve"> as you and I tell, but gigantic lies, lies that awe you with their grandeur, lies that stun you with their </w:t>
      </w:r>
      <w:commentRangeStart w:id="67"/>
      <w:r w:rsidRPr="004E06DE">
        <w:rPr>
          <w:rFonts w:ascii="Times New Roman" w:hAnsi="Times New Roman" w:cs="Times New Roman"/>
        </w:rPr>
        <w:t>imperial impossibility</w:t>
      </w:r>
      <w:commentRangeEnd w:id="67"/>
      <w:r w:rsidRPr="004E06DE">
        <w:rPr>
          <w:rStyle w:val="CommentReference"/>
          <w:rFonts w:eastAsiaTheme="majorEastAsia"/>
        </w:rPr>
        <w:commentReference w:id="67"/>
      </w:r>
      <w:r w:rsidRPr="004E06DE">
        <w:rPr>
          <w:rFonts w:ascii="Times New Roman" w:hAnsi="Times New Roman" w:cs="Times New Roman"/>
        </w:rPr>
        <w:t xml:space="preserve">. He will sell you a molehill at the market price of a </w:t>
      </w:r>
      <w:proofErr w:type="gramStart"/>
      <w:r w:rsidRPr="004E06DE">
        <w:rPr>
          <w:rFonts w:ascii="Times New Roman" w:hAnsi="Times New Roman" w:cs="Times New Roman"/>
        </w:rPr>
        <w:t>mountain, and</w:t>
      </w:r>
      <w:proofErr w:type="gramEnd"/>
      <w:r w:rsidRPr="004E06DE">
        <w:rPr>
          <w:rFonts w:ascii="Times New Roman" w:hAnsi="Times New Roman" w:cs="Times New Roman"/>
        </w:rPr>
        <w:t xml:space="preserve"> will </w:t>
      </w:r>
      <w:proofErr w:type="gramStart"/>
      <w:r w:rsidRPr="004E06DE">
        <w:rPr>
          <w:rFonts w:ascii="Times New Roman" w:hAnsi="Times New Roman" w:cs="Times New Roman"/>
        </w:rPr>
        <w:t>lie</w:t>
      </w:r>
      <w:proofErr w:type="gramEnd"/>
      <w:r w:rsidRPr="004E06DE">
        <w:rPr>
          <w:rFonts w:ascii="Times New Roman" w:hAnsi="Times New Roman" w:cs="Times New Roman"/>
        </w:rPr>
        <w:t xml:space="preserve"> it up to an altitude that will make it cheap at the money” (8). Twain’s account of the Hawaiians’ keen business sense frames the Native workers’ “custom of calling any women mother they take a liking to” not as a kinship practice but as a shrewd technique of getting one over on the boss (8). However, the California planter sees through the worker’s apparent ruse and fires him because his “stock of mothers…interferes with business” (9). Sympathetic and fair but not naïve, the planter embodies for Twain’s audiences the proper values befitting a successful and morally upright American man of business.</w:t>
      </w:r>
      <w:r w:rsidRPr="004E06DE">
        <w:rPr>
          <w:rStyle w:val="FootnoteReference"/>
          <w:rFonts w:ascii="Times New Roman" w:eastAsiaTheme="majorEastAsia" w:hAnsi="Times New Roman" w:cs="Times New Roman"/>
        </w:rPr>
        <w:footnoteReference w:id="65"/>
      </w:r>
    </w:p>
    <w:p w14:paraId="75920B8D"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tab/>
        <w:t xml:space="preserve">Other instances of exemplary Americanness in the islands are indirect. Describing Native Hawaiians’ love of dogs, Twain makes clear that he does not mean “the great Newfoundland or the stately mastiff” associated with </w:t>
      </w:r>
      <w:proofErr w:type="spellStart"/>
      <w:r w:rsidRPr="004E06DE">
        <w:rPr>
          <w:rFonts w:ascii="Times New Roman" w:hAnsi="Times New Roman" w:cs="Times New Roman"/>
        </w:rPr>
        <w:t>Euroamerican</w:t>
      </w:r>
      <w:proofErr w:type="spellEnd"/>
      <w:r w:rsidRPr="004E06DE">
        <w:rPr>
          <w:rFonts w:ascii="Times New Roman" w:hAnsi="Times New Roman" w:cs="Times New Roman"/>
        </w:rPr>
        <w:t xml:space="preserve"> cultural traditions, “but a species of little mean, contemptible cur that a white man would condemn to death on general principles” (9). Different dog breeds here become markers of racial difference </w:t>
      </w:r>
      <w:r w:rsidRPr="004E06DE">
        <w:rPr>
          <w:rFonts w:ascii="Times New Roman" w:hAnsi="Times New Roman" w:cs="Times New Roman"/>
        </w:rPr>
        <w:lastRenderedPageBreak/>
        <w:t>and encode another instance of Twain’s belief in America’s inevitable eclipse of Hawai’i’s Indigenous population. Twain’s depiction of the Natives’ treatment of their dogs further racializes them: “They feed this dog, pet him, take ever so much care of him, and then cook and eat him” (9). Pet keeping arose as a popular institution in the mid-nineteenth century, and Twain here engages in discourses about pets that policed Victorian social and moral norms by displacing them onto human-animal relationships.</w:t>
      </w:r>
      <w:r w:rsidRPr="004E06DE">
        <w:rPr>
          <w:rStyle w:val="FootnoteReference"/>
          <w:rFonts w:ascii="Times New Roman" w:eastAsiaTheme="majorEastAsia" w:hAnsi="Times New Roman" w:cs="Times New Roman"/>
        </w:rPr>
        <w:footnoteReference w:id="66"/>
      </w:r>
      <w:r w:rsidRPr="004E06DE">
        <w:rPr>
          <w:rFonts w:ascii="Times New Roman" w:hAnsi="Times New Roman" w:cs="Times New Roman"/>
        </w:rPr>
        <w:t xml:space="preserve"> The shock and disgust Twain expresses at the Native Hawaiians’ mistreatment of their dogs registers a moral judgement that suggests the Hawaiians violate certain western social codes of affection located in the special bond between man and dog: “I couldn’t do that. I would rather go hungry for two days than devour an old personal friend in that way” (9-10). This is another joke at the expense of the Natives’ “peculiar ways,” yet Twain’s identification with his audiences on the stage suggests that this is another way in which white, American values are superior to Native ones. He leads members of his “mainland” audiences to identify with him against the Natives’ practices, indirectly locating American values in the observation of proper affection due towards “old personal friends.” </w:t>
      </w:r>
    </w:p>
    <w:p w14:paraId="7ED2201F"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lastRenderedPageBreak/>
        <w:tab/>
        <w:t xml:space="preserve">Farcical depictions of white Americans’ failures to live up to proper values further underscore such moral lessons. After proclaiming that he could never himself eat his pet dog, Twain acknowledges that “many a white citizen of those islands throws aside his prejudices and takes his dinner off one of those puppies—and after all it is only our cherished American sausage with the mystery removed” (10). The punchline humorously deflates the high moral tone of his rebuke—and sets up the aforementioned bit where he offers to perform an example of cannibalism for the audience—by drawing incongruous equivalences between Hawaiian dog and American sausage. It is possible to read this satirical moment as anticipating later muckrakers’ critiques of American corporate corruption, such as Upton Sinclair’s expose of the meatpacking industry in </w:t>
      </w:r>
      <w:r w:rsidRPr="004E06DE">
        <w:rPr>
          <w:rFonts w:ascii="Times New Roman" w:hAnsi="Times New Roman" w:cs="Times New Roman"/>
          <w:i/>
          <w:iCs/>
        </w:rPr>
        <w:t xml:space="preserve">The Jungle </w:t>
      </w:r>
      <w:r w:rsidRPr="004E06DE">
        <w:rPr>
          <w:rFonts w:ascii="Times New Roman" w:hAnsi="Times New Roman" w:cs="Times New Roman"/>
        </w:rPr>
        <w:t xml:space="preserve">(1905). However, it is more legible within the earlier colonial discourse that voiced a fear of the dissolution of white bodies and western cultural values in Native spaces. As Richard Slotkin has demonstrated, the literature and culture of the early republic imagined “the solitary, Indian-like hunter of the deep woods” as its “most significant, most emotionally compelling myth-hero,” embodied in figures like Daniel Boone and James Fenimore Cooper’s Hawkeye (21). The dark flip side was the white man who overidentified with the Native and abandoned the national quest of civilizing and settling the “wilderness.” In this moment, Twain deploys the figure of the white man “gone native” as a joke, but since such a </w:t>
      </w:r>
      <w:proofErr w:type="gramStart"/>
      <w:r w:rsidRPr="004E06DE">
        <w:rPr>
          <w:rFonts w:ascii="Times New Roman" w:hAnsi="Times New Roman" w:cs="Times New Roman"/>
        </w:rPr>
        <w:t>figure registers</w:t>
      </w:r>
      <w:proofErr w:type="gramEnd"/>
      <w:r w:rsidRPr="004E06DE">
        <w:rPr>
          <w:rFonts w:ascii="Times New Roman" w:hAnsi="Times New Roman" w:cs="Times New Roman"/>
        </w:rPr>
        <w:t xml:space="preserve"> in the popular American imagination as a transgression of racial and national boundaries, the joke also serves to reinforce the idea of the superiority of western values over Indigenous customs.  </w:t>
      </w:r>
    </w:p>
    <w:p w14:paraId="5E2747DC"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lastRenderedPageBreak/>
        <w:tab/>
        <w:t xml:space="preserve">As we have seen, the replacement of real Natives with fictional “Indians” allows Twain to represent the West as a dangerous proving ground for American masculinity. Elsewhere in the “Roughing It” lecture, he vacates sacred Indigenous sites of Native history and presents it as free and open natural space available for Americans’ physical and spiritual growth. For thousands of years prior to the arrival of white explorers, the </w:t>
      </w:r>
      <w:proofErr w:type="spellStart"/>
      <w:r w:rsidRPr="004E06DE">
        <w:rPr>
          <w:rFonts w:ascii="Times New Roman" w:hAnsi="Times New Roman" w:cs="Times New Roman"/>
        </w:rPr>
        <w:t>Wá∙šiw</w:t>
      </w:r>
      <w:proofErr w:type="spellEnd"/>
      <w:r w:rsidRPr="004E06DE">
        <w:rPr>
          <w:rFonts w:ascii="Times New Roman" w:hAnsi="Times New Roman" w:cs="Times New Roman"/>
        </w:rPr>
        <w:t xml:space="preserve"> (Washoe) people lived in the lands around </w:t>
      </w:r>
      <w:proofErr w:type="spellStart"/>
      <w:r w:rsidRPr="004E06DE">
        <w:rPr>
          <w:rFonts w:ascii="Times New Roman" w:hAnsi="Times New Roman" w:cs="Times New Roman"/>
        </w:rPr>
        <w:t>dáɁaw</w:t>
      </w:r>
      <w:proofErr w:type="spellEnd"/>
      <w:r w:rsidRPr="004E06DE">
        <w:rPr>
          <w:rFonts w:ascii="Times New Roman" w:hAnsi="Times New Roman" w:cs="Times New Roman"/>
        </w:rPr>
        <w:t xml:space="preserve">, “the lake.” Traditionally, the </w:t>
      </w:r>
      <w:proofErr w:type="spellStart"/>
      <w:r w:rsidRPr="004E06DE">
        <w:rPr>
          <w:rFonts w:ascii="Times New Roman" w:hAnsi="Times New Roman" w:cs="Times New Roman"/>
        </w:rPr>
        <w:t>Wá∙šiw</w:t>
      </w:r>
      <w:proofErr w:type="spellEnd"/>
      <w:r w:rsidRPr="004E06DE">
        <w:rPr>
          <w:rFonts w:ascii="Times New Roman" w:hAnsi="Times New Roman" w:cs="Times New Roman"/>
        </w:rPr>
        <w:t xml:space="preserve"> followed different food sources according to cycles of seasonal availability. “Summers were spent at </w:t>
      </w:r>
      <w:proofErr w:type="spellStart"/>
      <w:r w:rsidRPr="004E06DE">
        <w:rPr>
          <w:rFonts w:ascii="Times New Roman" w:hAnsi="Times New Roman" w:cs="Times New Roman"/>
        </w:rPr>
        <w:t>dáɁaw</w:t>
      </w:r>
      <w:proofErr w:type="spellEnd"/>
      <w:r w:rsidRPr="004E06DE">
        <w:rPr>
          <w:rFonts w:ascii="Times New Roman" w:hAnsi="Times New Roman" w:cs="Times New Roman"/>
        </w:rPr>
        <w:t xml:space="preserve"> and all parts of the territory. Large Cutthroat Trout lived in all the lakes and streams along with freshwater clams and other fish once plentiful, sustained the people throughout the year,” while in the fall the </w:t>
      </w:r>
      <w:proofErr w:type="spellStart"/>
      <w:r w:rsidRPr="004E06DE">
        <w:rPr>
          <w:rFonts w:ascii="Times New Roman" w:hAnsi="Times New Roman" w:cs="Times New Roman"/>
        </w:rPr>
        <w:t>Wá∙šiw</w:t>
      </w:r>
      <w:proofErr w:type="spellEnd"/>
      <w:r w:rsidRPr="004E06DE">
        <w:rPr>
          <w:rFonts w:ascii="Times New Roman" w:hAnsi="Times New Roman" w:cs="Times New Roman"/>
        </w:rPr>
        <w:t xml:space="preserve"> gathered </w:t>
      </w:r>
      <w:proofErr w:type="spellStart"/>
      <w:r w:rsidRPr="004E06DE">
        <w:rPr>
          <w:rFonts w:ascii="Times New Roman" w:hAnsi="Times New Roman" w:cs="Times New Roman"/>
        </w:rPr>
        <w:t>ťágɨm</w:t>
      </w:r>
      <w:proofErr w:type="spellEnd"/>
      <w:r w:rsidRPr="004E06DE">
        <w:rPr>
          <w:rFonts w:ascii="Times New Roman" w:hAnsi="Times New Roman" w:cs="Times New Roman"/>
        </w:rPr>
        <w:t xml:space="preserve"> (pinion nuts) and </w:t>
      </w:r>
      <w:proofErr w:type="spellStart"/>
      <w:r w:rsidRPr="004E06DE">
        <w:rPr>
          <w:rFonts w:ascii="Times New Roman" w:hAnsi="Times New Roman" w:cs="Times New Roman"/>
        </w:rPr>
        <w:t>máluŋ</w:t>
      </w:r>
      <w:proofErr w:type="spellEnd"/>
      <w:r w:rsidRPr="004E06DE">
        <w:rPr>
          <w:rFonts w:ascii="Times New Roman" w:hAnsi="Times New Roman" w:cs="Times New Roman"/>
        </w:rPr>
        <w:t xml:space="preserve"> (acorns) from the surrounding mountains and hunted rabbit and other game (“Washoe History”). </w:t>
      </w:r>
      <w:proofErr w:type="spellStart"/>
      <w:r w:rsidRPr="004E06DE">
        <w:rPr>
          <w:rFonts w:ascii="Times New Roman" w:hAnsi="Times New Roman" w:cs="Times New Roman"/>
        </w:rPr>
        <w:t>dáɁaw</w:t>
      </w:r>
      <w:proofErr w:type="spellEnd"/>
      <w:r w:rsidRPr="004E06DE">
        <w:rPr>
          <w:rFonts w:ascii="Times New Roman" w:hAnsi="Times New Roman" w:cs="Times New Roman"/>
        </w:rPr>
        <w:t xml:space="preserve"> and its tributaries were an equally important source of food, providing Large Cutthroat Trout, freshwater clams, and other staples of the </w:t>
      </w:r>
      <w:proofErr w:type="spellStart"/>
      <w:r w:rsidRPr="004E06DE">
        <w:rPr>
          <w:rFonts w:ascii="Times New Roman" w:hAnsi="Times New Roman" w:cs="Times New Roman"/>
        </w:rPr>
        <w:t>Wá∙šiw</w:t>
      </w:r>
      <w:proofErr w:type="spellEnd"/>
      <w:r w:rsidRPr="004E06DE">
        <w:rPr>
          <w:rFonts w:ascii="Times New Roman" w:hAnsi="Times New Roman" w:cs="Times New Roman"/>
        </w:rPr>
        <w:t xml:space="preserve"> diet (“Washoe History”). Today, many </w:t>
      </w:r>
      <w:proofErr w:type="spellStart"/>
      <w:r w:rsidRPr="004E06DE">
        <w:rPr>
          <w:rFonts w:ascii="Times New Roman" w:hAnsi="Times New Roman" w:cs="Times New Roman"/>
        </w:rPr>
        <w:t>Wá∙šiw</w:t>
      </w:r>
      <w:proofErr w:type="spellEnd"/>
      <w:r w:rsidRPr="004E06DE">
        <w:rPr>
          <w:rFonts w:ascii="Times New Roman" w:hAnsi="Times New Roman" w:cs="Times New Roman"/>
        </w:rPr>
        <w:t xml:space="preserve"> still live in the area around </w:t>
      </w:r>
      <w:proofErr w:type="spellStart"/>
      <w:r w:rsidRPr="004E06DE">
        <w:rPr>
          <w:rFonts w:ascii="Times New Roman" w:hAnsi="Times New Roman" w:cs="Times New Roman"/>
        </w:rPr>
        <w:t>dáɁaw</w:t>
      </w:r>
      <w:proofErr w:type="spellEnd"/>
      <w:r w:rsidRPr="004E06DE">
        <w:rPr>
          <w:rFonts w:ascii="Times New Roman" w:hAnsi="Times New Roman" w:cs="Times New Roman"/>
        </w:rPr>
        <w:t xml:space="preserve"> and continue to harvest traditional plants “for practical and medicinal uses” (“Washoe History”). </w:t>
      </w:r>
    </w:p>
    <w:p w14:paraId="23FCB3D7"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tab/>
        <w:t xml:space="preserve">In the “Roughing It” lecture and elsewhere in his writings, Twain calls </w:t>
      </w:r>
      <w:proofErr w:type="spellStart"/>
      <w:r w:rsidRPr="004E06DE">
        <w:rPr>
          <w:rFonts w:ascii="Times New Roman" w:hAnsi="Times New Roman" w:cs="Times New Roman"/>
        </w:rPr>
        <w:t>dáɁaw</w:t>
      </w:r>
      <w:proofErr w:type="spellEnd"/>
      <w:r w:rsidRPr="004E06DE">
        <w:rPr>
          <w:rFonts w:ascii="Times New Roman" w:hAnsi="Times New Roman" w:cs="Times New Roman"/>
        </w:rPr>
        <w:t xml:space="preserve"> Lake Tahoe, the name by which the sacred body of water is known to most Americans. In a flight of unironic eloquence that Twain and his contemporary reviewers refer to as his “word paintings,” Twain celebrates the lake’s natural splendor, emphasizing </w:t>
      </w:r>
      <w:proofErr w:type="spellStart"/>
      <w:r w:rsidRPr="004E06DE">
        <w:rPr>
          <w:rFonts w:ascii="Times New Roman" w:hAnsi="Times New Roman" w:cs="Times New Roman"/>
        </w:rPr>
        <w:t>its</w:t>
      </w:r>
      <w:proofErr w:type="spellEnd"/>
      <w:r w:rsidRPr="004E06DE">
        <w:rPr>
          <w:rFonts w:ascii="Times New Roman" w:hAnsi="Times New Roman" w:cs="Times New Roman"/>
        </w:rPr>
        <w:t xml:space="preserve"> still and quiet emptiness. He invites his audience to envision the scene:</w:t>
      </w:r>
    </w:p>
    <w:p w14:paraId="081BFF4F" w14:textId="77777777" w:rsidR="00287C65" w:rsidRPr="004E06DE" w:rsidRDefault="00287C65" w:rsidP="00287C65">
      <w:pPr>
        <w:spacing w:line="480" w:lineRule="auto"/>
        <w:ind w:left="720"/>
        <w:rPr>
          <w:rFonts w:ascii="Times New Roman" w:hAnsi="Times New Roman" w:cs="Times New Roman"/>
        </w:rPr>
      </w:pPr>
      <w:r w:rsidRPr="004E06DE">
        <w:rPr>
          <w:rFonts w:ascii="Times New Roman" w:hAnsi="Times New Roman" w:cs="Times New Roman"/>
        </w:rPr>
        <w:lastRenderedPageBreak/>
        <w:t>There it is, a sheet of perfectly pure, limpid water, lifted up 6,300 feet above the sea—a vast oval mirror framed in a wall of snow-clad mountain peaks, above the common world. Solitude is king, and in that realm calm silence is brooding always. It is the home of rest and tranquility and gives emancipation and relief from the griefs and plodding cares of life. (</w:t>
      </w:r>
      <w:proofErr w:type="spellStart"/>
      <w:r w:rsidRPr="004E06DE">
        <w:rPr>
          <w:rFonts w:ascii="Times New Roman" w:hAnsi="Times New Roman" w:cs="Times New Roman"/>
        </w:rPr>
        <w:t>Fatout</w:t>
      </w:r>
      <w:proofErr w:type="spellEnd"/>
      <w:r w:rsidRPr="004E06DE">
        <w:rPr>
          <w:rFonts w:ascii="Times New Roman" w:hAnsi="Times New Roman" w:cs="Times New Roman"/>
        </w:rPr>
        <w:t xml:space="preserve"> 53)</w:t>
      </w:r>
    </w:p>
    <w:p w14:paraId="6005DC8C"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t xml:space="preserve">In his discussion of what he calls “the aesthetic of Mark Twain the </w:t>
      </w:r>
      <w:r w:rsidRPr="004E06DE">
        <w:rPr>
          <w:rFonts w:ascii="Times New Roman" w:hAnsi="Times New Roman" w:cs="Times New Roman"/>
          <w:i/>
          <w:iCs/>
        </w:rPr>
        <w:t>flaneur</w:t>
      </w:r>
      <w:r w:rsidRPr="004E06DE">
        <w:rPr>
          <w:rFonts w:ascii="Times New Roman" w:hAnsi="Times New Roman" w:cs="Times New Roman"/>
        </w:rPr>
        <w:t>,” James E. Caron points out that Twain’s “word paintings” reveal a “very American…privileging of what is ‘natural,’ based upon a perceived beauty in the natural world” (370). Reconfiguring Caron’s language slightly, I would add that such moments in Twain’s lectures go beyond reflecting an American aesthetic; as in other examples of travel writing, Twain’s word paintings present literary fictions of the landscape vacated of human presence and made ideologically available for the privilege of American self-</w:t>
      </w:r>
      <w:commentRangeStart w:id="68"/>
      <w:r w:rsidRPr="004E06DE">
        <w:rPr>
          <w:rFonts w:ascii="Times New Roman" w:hAnsi="Times New Roman" w:cs="Times New Roman"/>
        </w:rPr>
        <w:t>making</w:t>
      </w:r>
      <w:commentRangeEnd w:id="68"/>
      <w:r w:rsidRPr="004E06DE">
        <w:rPr>
          <w:rStyle w:val="CommentReference"/>
          <w:rFonts w:eastAsiaTheme="majorEastAsia"/>
        </w:rPr>
        <w:commentReference w:id="68"/>
      </w:r>
      <w:r w:rsidRPr="004E06DE">
        <w:rPr>
          <w:rFonts w:ascii="Times New Roman" w:hAnsi="Times New Roman" w:cs="Times New Roman"/>
        </w:rPr>
        <w:t xml:space="preserve">. </w:t>
      </w:r>
    </w:p>
    <w:p w14:paraId="5BEAC8B7"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tab/>
        <w:t xml:space="preserve">The </w:t>
      </w:r>
      <w:proofErr w:type="spellStart"/>
      <w:r w:rsidRPr="004E06DE">
        <w:rPr>
          <w:rFonts w:ascii="Times New Roman" w:hAnsi="Times New Roman" w:cs="Times New Roman"/>
        </w:rPr>
        <w:t>Wá∙šiw</w:t>
      </w:r>
      <w:proofErr w:type="spellEnd"/>
      <w:r w:rsidRPr="004E06DE">
        <w:rPr>
          <w:rFonts w:ascii="Times New Roman" w:hAnsi="Times New Roman" w:cs="Times New Roman"/>
        </w:rPr>
        <w:t xml:space="preserve"> attest that </w:t>
      </w:r>
      <w:proofErr w:type="spellStart"/>
      <w:r w:rsidRPr="004E06DE">
        <w:rPr>
          <w:rFonts w:ascii="Times New Roman" w:hAnsi="Times New Roman" w:cs="Times New Roman"/>
        </w:rPr>
        <w:t>dáɁaw</w:t>
      </w:r>
      <w:proofErr w:type="spellEnd"/>
      <w:r w:rsidRPr="004E06DE">
        <w:rPr>
          <w:rFonts w:ascii="Times New Roman" w:hAnsi="Times New Roman" w:cs="Times New Roman"/>
        </w:rPr>
        <w:t xml:space="preserve"> is “the center of the </w:t>
      </w:r>
      <w:proofErr w:type="spellStart"/>
      <w:r w:rsidRPr="004E06DE">
        <w:rPr>
          <w:rFonts w:ascii="Times New Roman" w:hAnsi="Times New Roman" w:cs="Times New Roman"/>
        </w:rPr>
        <w:t>Wá∙šiw</w:t>
      </w:r>
      <w:proofErr w:type="spellEnd"/>
      <w:r w:rsidRPr="004E06DE">
        <w:rPr>
          <w:rFonts w:ascii="Times New Roman" w:hAnsi="Times New Roman" w:cs="Times New Roman"/>
        </w:rPr>
        <w:t xml:space="preserve"> world…both geographically and spiritually" (“Washoe History”) but here the absence of Native bodies enables the renewal of American ones. Twain’s tells his audiences about a “shadow” of a man who “had come [to Lake Tahoe] deliberately to die” and to find “what comfort he may whilst life ebbed away” (</w:t>
      </w:r>
      <w:proofErr w:type="spellStart"/>
      <w:r w:rsidRPr="004E06DE">
        <w:rPr>
          <w:rFonts w:ascii="Times New Roman" w:hAnsi="Times New Roman" w:cs="Times New Roman"/>
        </w:rPr>
        <w:t>Fatout</w:t>
      </w:r>
      <w:proofErr w:type="spellEnd"/>
      <w:r w:rsidRPr="004E06DE">
        <w:rPr>
          <w:rFonts w:ascii="Times New Roman" w:hAnsi="Times New Roman" w:cs="Times New Roman"/>
        </w:rPr>
        <w:t xml:space="preserve"> 54). The man’s illness is never specified, but it is marked by a peculiarly morbid obsession with the accoutrements of death. Twain says that the man “brought along a plan of his private graveyard, and pictures and drawings of different kinds of coffins and hearses, and such things; and he never did anything but sit </w:t>
      </w:r>
      <w:r w:rsidRPr="004E06DE">
        <w:rPr>
          <w:rFonts w:ascii="Times New Roman" w:hAnsi="Times New Roman" w:cs="Times New Roman"/>
        </w:rPr>
        <w:lastRenderedPageBreak/>
        <w:t xml:space="preserve">around and study that graveyard, and figure at coffins…trying to make up his mind which kind he liked best, or which kind would be most becoming” (54). Infirmity and death are thus associated with aesthetics, mass consumer culture, and a kind of </w:t>
      </w:r>
      <w:proofErr w:type="spellStart"/>
      <w:r w:rsidRPr="004E06DE">
        <w:rPr>
          <w:rFonts w:ascii="Times New Roman" w:hAnsi="Times New Roman" w:cs="Times New Roman"/>
        </w:rPr>
        <w:t>overcivilization</w:t>
      </w:r>
      <w:proofErr w:type="spellEnd"/>
      <w:r w:rsidRPr="004E06DE">
        <w:rPr>
          <w:rFonts w:ascii="Times New Roman" w:hAnsi="Times New Roman" w:cs="Times New Roman"/>
        </w:rPr>
        <w:t xml:space="preserve"> that comically and perversely manifests in the transformation of the man’s obsession with what, in </w:t>
      </w:r>
      <w:r w:rsidRPr="004E06DE">
        <w:rPr>
          <w:rFonts w:ascii="Times New Roman" w:hAnsi="Times New Roman" w:cs="Times New Roman"/>
          <w:i/>
          <w:iCs/>
        </w:rPr>
        <w:t>Walden</w:t>
      </w:r>
      <w:r w:rsidRPr="004E06DE">
        <w:rPr>
          <w:rFonts w:ascii="Times New Roman" w:hAnsi="Times New Roman" w:cs="Times New Roman"/>
        </w:rPr>
        <w:t xml:space="preserve">, Thoreau dismisses as “the superfluities”—the meaningless, material comforts of life—into meaningless, material comforts of death (14). The “pure, magnificent air of Lake Tahoe” not only cures </w:t>
      </w:r>
      <w:proofErr w:type="gramStart"/>
      <w:r w:rsidRPr="004E06DE">
        <w:rPr>
          <w:rFonts w:ascii="Times New Roman" w:hAnsi="Times New Roman" w:cs="Times New Roman"/>
        </w:rPr>
        <w:t>the man’s</w:t>
      </w:r>
      <w:proofErr w:type="gramEnd"/>
      <w:r w:rsidRPr="004E06DE">
        <w:rPr>
          <w:rFonts w:ascii="Times New Roman" w:hAnsi="Times New Roman" w:cs="Times New Roman"/>
        </w:rPr>
        <w:t xml:space="preserve"> physical infirmity, but these other afflictions as well. Twain says when he next saw the man, he “was chasing mountain sheep over mountains seven miles high, with a Sharps’ rifle” and “had used up his graveyard plans and things for wadding and had sent home for some more” (</w:t>
      </w:r>
      <w:proofErr w:type="spellStart"/>
      <w:r w:rsidRPr="004E06DE">
        <w:rPr>
          <w:rFonts w:ascii="Times New Roman" w:hAnsi="Times New Roman" w:cs="Times New Roman"/>
        </w:rPr>
        <w:t>Fatout</w:t>
      </w:r>
      <w:proofErr w:type="spellEnd"/>
      <w:r w:rsidRPr="004E06DE">
        <w:rPr>
          <w:rFonts w:ascii="Times New Roman" w:hAnsi="Times New Roman" w:cs="Times New Roman"/>
        </w:rPr>
        <w:t xml:space="preserve"> 54). The man’s miraculously renewed health and vigor promise a similar return to authenticity at the national level. Just as the wild purity of Lake Tahoe’s vistas “emancipates” the unnamed man from his unhealthy lethargy, so does American settlers’ expansion into these places promise a like spiritual renewal for the postbellum nation. </w:t>
      </w:r>
    </w:p>
    <w:p w14:paraId="5922F6DC"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t xml:space="preserve">      There is an interesting coda to this discussion of Twain’s word painting of Lake Tahoe. Across the nineteenth century, many white officials presumed to bestow new names upon </w:t>
      </w:r>
      <w:proofErr w:type="spellStart"/>
      <w:r w:rsidRPr="004E06DE">
        <w:rPr>
          <w:rFonts w:ascii="Times New Roman" w:hAnsi="Times New Roman" w:cs="Times New Roman"/>
        </w:rPr>
        <w:t>dáɁaw</w:t>
      </w:r>
      <w:proofErr w:type="spellEnd"/>
      <w:r w:rsidRPr="004E06DE">
        <w:rPr>
          <w:rFonts w:ascii="Times New Roman" w:hAnsi="Times New Roman" w:cs="Times New Roman"/>
        </w:rPr>
        <w:t xml:space="preserve"> as they each sought to inscribe American sovereignty upon the land. In 1844, John C. Frémont named the lake </w:t>
      </w:r>
      <w:proofErr w:type="spellStart"/>
      <w:r w:rsidRPr="004E06DE">
        <w:rPr>
          <w:rFonts w:ascii="Times New Roman" w:hAnsi="Times New Roman" w:cs="Times New Roman"/>
        </w:rPr>
        <w:t>Lake</w:t>
      </w:r>
      <w:proofErr w:type="spellEnd"/>
      <w:r w:rsidRPr="004E06DE">
        <w:rPr>
          <w:rFonts w:ascii="Times New Roman" w:hAnsi="Times New Roman" w:cs="Times New Roman"/>
        </w:rPr>
        <w:t xml:space="preserve"> </w:t>
      </w:r>
      <w:proofErr w:type="spellStart"/>
      <w:r w:rsidRPr="004E06DE">
        <w:rPr>
          <w:rFonts w:ascii="Times New Roman" w:hAnsi="Times New Roman" w:cs="Times New Roman"/>
        </w:rPr>
        <w:t>Bonpland</w:t>
      </w:r>
      <w:proofErr w:type="spellEnd"/>
      <w:r w:rsidRPr="004E06DE">
        <w:rPr>
          <w:rFonts w:ascii="Times New Roman" w:hAnsi="Times New Roman" w:cs="Times New Roman"/>
        </w:rPr>
        <w:t xml:space="preserve"> when he encountered it on an expedition through the Sierra Nevada mountains in which he was guided, in part, by Sarah Winnemucca Hopkins’s grandfather Truckee. Then, in 1853, it was identified on official California state documents as Lake Bigler, named after John Bigler, the state’s </w:t>
      </w:r>
      <w:r w:rsidRPr="004E06DE">
        <w:rPr>
          <w:rFonts w:ascii="Times New Roman" w:hAnsi="Times New Roman" w:cs="Times New Roman"/>
        </w:rPr>
        <w:lastRenderedPageBreak/>
        <w:t xml:space="preserve">third governor. In 1862, a survey conducted by the Department of the Interior named </w:t>
      </w:r>
      <w:proofErr w:type="gramStart"/>
      <w:r w:rsidRPr="004E06DE">
        <w:rPr>
          <w:rFonts w:ascii="Times New Roman" w:hAnsi="Times New Roman" w:cs="Times New Roman"/>
        </w:rPr>
        <w:t>the lake</w:t>
      </w:r>
      <w:proofErr w:type="gramEnd"/>
      <w:r w:rsidRPr="004E06DE">
        <w:rPr>
          <w:rFonts w:ascii="Times New Roman" w:hAnsi="Times New Roman" w:cs="Times New Roman"/>
        </w:rPr>
        <w:t xml:space="preserve"> </w:t>
      </w:r>
      <w:proofErr w:type="spellStart"/>
      <w:r w:rsidRPr="004E06DE">
        <w:rPr>
          <w:rFonts w:ascii="Times New Roman" w:hAnsi="Times New Roman" w:cs="Times New Roman"/>
        </w:rPr>
        <w:t>Lake</w:t>
      </w:r>
      <w:proofErr w:type="spellEnd"/>
      <w:r w:rsidRPr="004E06DE">
        <w:rPr>
          <w:rFonts w:ascii="Times New Roman" w:hAnsi="Times New Roman" w:cs="Times New Roman"/>
        </w:rPr>
        <w:t xml:space="preserve"> Tahoe, which the cartographer, William H. Knight understood to be a Native word meaning “water in a high place” (South Lake Tahoe Chamber of Commerce). The name was still not settled when, in 1869, Mark Twain expressed his vitriolic hatred for the name “Tahoe” at length in </w:t>
      </w:r>
      <w:r w:rsidRPr="004E06DE">
        <w:rPr>
          <w:rFonts w:ascii="Times New Roman" w:hAnsi="Times New Roman" w:cs="Times New Roman"/>
          <w:i/>
          <w:iCs/>
        </w:rPr>
        <w:t>Innocents Abroad</w:t>
      </w:r>
      <w:r w:rsidRPr="004E06DE">
        <w:rPr>
          <w:rFonts w:ascii="Times New Roman" w:hAnsi="Times New Roman" w:cs="Times New Roman"/>
        </w:rPr>
        <w:t>. The passage is worth quoting in its entirety:</w:t>
      </w:r>
    </w:p>
    <w:p w14:paraId="20BD5CCB" w14:textId="77777777" w:rsidR="00287C65" w:rsidRPr="004E06DE" w:rsidRDefault="00287C65" w:rsidP="00287C65">
      <w:pPr>
        <w:spacing w:line="480" w:lineRule="auto"/>
        <w:ind w:left="720" w:firstLine="720"/>
        <w:rPr>
          <w:rFonts w:ascii="Times New Roman" w:hAnsi="Times New Roman" w:cs="Times New Roman"/>
        </w:rPr>
      </w:pPr>
      <w:r w:rsidRPr="004E06DE">
        <w:rPr>
          <w:rFonts w:ascii="Times New Roman" w:hAnsi="Times New Roman" w:cs="Times New Roman"/>
        </w:rPr>
        <w:t>Sorrow and misfortune overtake the legislature that still from year to year permits Tahoe to retain its unmusical cognomen! Tahoe! It suggests no crystal waters, no picturesque shores, no sublimity. Tahoe for a sea in the clouds: a sea that has character and asserts it in solemn calms at times, at times in savage storms; a sea whose royal seclusion is guarded by a cordon of sentinel peaks that lift their frosty fronts nine thousand feet above the level world; a sea whose every aspect is impressive, whose belongings are all beautiful, whose lonely majesty types the Deity!</w:t>
      </w:r>
    </w:p>
    <w:p w14:paraId="1B9DAA52" w14:textId="77777777" w:rsidR="00287C65" w:rsidRPr="004E06DE" w:rsidRDefault="00287C65" w:rsidP="00287C65">
      <w:pPr>
        <w:spacing w:line="480" w:lineRule="auto"/>
        <w:ind w:left="720" w:firstLine="720"/>
        <w:rPr>
          <w:rFonts w:ascii="Times New Roman" w:hAnsi="Times New Roman" w:cs="Times New Roman"/>
        </w:rPr>
      </w:pPr>
      <w:r w:rsidRPr="004E06DE">
        <w:rPr>
          <w:rFonts w:ascii="Times New Roman" w:hAnsi="Times New Roman" w:cs="Times New Roman"/>
        </w:rPr>
        <w:t>Tahoe means grasshoppers. It means grasshopper soup. It is Indian, and suggestive of Indians. They say it is Pi-</w:t>
      </w:r>
      <w:proofErr w:type="spellStart"/>
      <w:r w:rsidRPr="004E06DE">
        <w:rPr>
          <w:rFonts w:ascii="Times New Roman" w:hAnsi="Times New Roman" w:cs="Times New Roman"/>
        </w:rPr>
        <w:t>ute</w:t>
      </w:r>
      <w:proofErr w:type="spellEnd"/>
      <w:r w:rsidRPr="004E06DE">
        <w:rPr>
          <w:rFonts w:ascii="Times New Roman" w:hAnsi="Times New Roman" w:cs="Times New Roman"/>
        </w:rPr>
        <w:t xml:space="preserve"> [sic]—possibly it is Digger. I am satisfied it was named by the Diggers—those degraded savages who roast their dead relatives, then mix the human grease and ashes of bones with tar, and “gaum” it thick all over their heads and foreheads and </w:t>
      </w:r>
      <w:proofErr w:type="gramStart"/>
      <w:r w:rsidRPr="004E06DE">
        <w:rPr>
          <w:rFonts w:ascii="Times New Roman" w:hAnsi="Times New Roman" w:cs="Times New Roman"/>
        </w:rPr>
        <w:t>ears, and</w:t>
      </w:r>
      <w:proofErr w:type="gramEnd"/>
      <w:r w:rsidRPr="004E06DE">
        <w:rPr>
          <w:rFonts w:ascii="Times New Roman" w:hAnsi="Times New Roman" w:cs="Times New Roman"/>
        </w:rPr>
        <w:t xml:space="preserve"> go caterwauling about the hills and call it </w:t>
      </w:r>
      <w:commentRangeStart w:id="69"/>
      <w:r w:rsidRPr="004E06DE">
        <w:rPr>
          <w:rFonts w:ascii="Times New Roman" w:hAnsi="Times New Roman" w:cs="Times New Roman"/>
        </w:rPr>
        <w:t>mourning</w:t>
      </w:r>
      <w:commentRangeEnd w:id="69"/>
      <w:r w:rsidRPr="004E06DE">
        <w:rPr>
          <w:rStyle w:val="CommentReference"/>
          <w:rFonts w:eastAsiaTheme="majorEastAsia"/>
        </w:rPr>
        <w:commentReference w:id="69"/>
      </w:r>
      <w:r w:rsidRPr="004E06DE">
        <w:rPr>
          <w:rFonts w:ascii="Times New Roman" w:hAnsi="Times New Roman" w:cs="Times New Roman"/>
        </w:rPr>
        <w:t>. These are the gentry that named the Lake.</w:t>
      </w:r>
    </w:p>
    <w:p w14:paraId="14FC9A42" w14:textId="67DBBC46" w:rsidR="00287C65" w:rsidRPr="004E06DE" w:rsidRDefault="00287C65" w:rsidP="005D0244">
      <w:pPr>
        <w:spacing w:line="480" w:lineRule="auto"/>
        <w:ind w:left="720" w:firstLine="720"/>
        <w:rPr>
          <w:rFonts w:ascii="Times New Roman" w:hAnsi="Times New Roman" w:cs="Times New Roman"/>
        </w:rPr>
      </w:pPr>
      <w:r w:rsidRPr="004E06DE">
        <w:rPr>
          <w:rFonts w:ascii="Times New Roman" w:hAnsi="Times New Roman" w:cs="Times New Roman"/>
        </w:rPr>
        <w:lastRenderedPageBreak/>
        <w:t>People say that Tahoe means “Silver Lake”—“Limpid Water”—“Falling Leaf.” Bosh. It means grasshopper soup, the favorite dish of the Digger tribe,—and of the Pi-</w:t>
      </w:r>
      <w:proofErr w:type="spellStart"/>
      <w:r w:rsidRPr="004E06DE">
        <w:rPr>
          <w:rFonts w:ascii="Times New Roman" w:hAnsi="Times New Roman" w:cs="Times New Roman"/>
        </w:rPr>
        <w:t>utes</w:t>
      </w:r>
      <w:proofErr w:type="spellEnd"/>
      <w:r w:rsidRPr="004E06DE">
        <w:rPr>
          <w:rFonts w:ascii="Times New Roman" w:hAnsi="Times New Roman" w:cs="Times New Roman"/>
        </w:rPr>
        <w:t xml:space="preserve"> [sic] as well. It isn’t </w:t>
      </w:r>
      <w:proofErr w:type="spellStart"/>
      <w:r w:rsidRPr="004E06DE">
        <w:rPr>
          <w:rFonts w:ascii="Times New Roman" w:hAnsi="Times New Roman" w:cs="Times New Roman"/>
        </w:rPr>
        <w:t>worth while</w:t>
      </w:r>
      <w:proofErr w:type="spellEnd"/>
      <w:r w:rsidRPr="004E06DE">
        <w:rPr>
          <w:rFonts w:ascii="Times New Roman" w:hAnsi="Times New Roman" w:cs="Times New Roman"/>
        </w:rPr>
        <w:t xml:space="preserve">, in these practical times, for people to talk about Indian poetry—there never was any in them—except in the Fenimore Cooper </w:t>
      </w:r>
      <w:commentRangeStart w:id="70"/>
      <w:r w:rsidRPr="004E06DE">
        <w:rPr>
          <w:rFonts w:ascii="Times New Roman" w:hAnsi="Times New Roman" w:cs="Times New Roman"/>
        </w:rPr>
        <w:t>Indians</w:t>
      </w:r>
      <w:commentRangeEnd w:id="70"/>
      <w:r w:rsidRPr="004E06DE">
        <w:rPr>
          <w:rStyle w:val="CommentReference"/>
          <w:rFonts w:eastAsiaTheme="majorEastAsia"/>
        </w:rPr>
        <w:commentReference w:id="70"/>
      </w:r>
      <w:r w:rsidRPr="004E06DE">
        <w:rPr>
          <w:rFonts w:ascii="Times New Roman" w:hAnsi="Times New Roman" w:cs="Times New Roman"/>
        </w:rPr>
        <w:t>. But they are an extinct tribe that never existed. I know the Noble Red Man. I have camped with the Indians; I have been on the warpath with them, taken part in the chase with them—for grasshoppers; helped them steal cattle; I have roamed with them, scalped them, had them for breakfast. I would gladly eat the whole race if I had a chance. (205)</w:t>
      </w:r>
      <w:r w:rsidRPr="004E06DE">
        <w:rPr>
          <w:rFonts w:ascii="Times New Roman" w:hAnsi="Times New Roman" w:cs="Times New Roman"/>
        </w:rPr>
        <w:tab/>
      </w:r>
    </w:p>
    <w:p w14:paraId="39B67FDD"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t xml:space="preserve">Fascinatingly, whereas two years later Twain’s romantic flights require the erasure of Native bodies, here the very name Tahoe triggers a barely containable irruption of bastardized </w:t>
      </w:r>
      <w:commentRangeStart w:id="71"/>
      <w:r w:rsidRPr="004E06DE">
        <w:rPr>
          <w:rFonts w:ascii="Times New Roman" w:hAnsi="Times New Roman" w:cs="Times New Roman"/>
        </w:rPr>
        <w:t xml:space="preserve">Native history </w:t>
      </w:r>
      <w:commentRangeEnd w:id="71"/>
      <w:r w:rsidRPr="004E06DE">
        <w:rPr>
          <w:rStyle w:val="CommentReference"/>
          <w:rFonts w:eastAsiaTheme="majorEastAsia"/>
        </w:rPr>
        <w:commentReference w:id="71"/>
      </w:r>
      <w:r w:rsidRPr="004E06DE">
        <w:rPr>
          <w:rFonts w:ascii="Times New Roman" w:hAnsi="Times New Roman" w:cs="Times New Roman"/>
        </w:rPr>
        <w:t xml:space="preserve">and continued presence in the land. Surprisingly, given his usual comedic style, Twain is here seemingly unable to control the incongruity between </w:t>
      </w:r>
      <w:proofErr w:type="spellStart"/>
      <w:r w:rsidRPr="004E06DE">
        <w:rPr>
          <w:rFonts w:ascii="Times New Roman" w:hAnsi="Times New Roman" w:cs="Times New Roman"/>
        </w:rPr>
        <w:t>dáɁaw’s</w:t>
      </w:r>
      <w:proofErr w:type="spellEnd"/>
      <w:r w:rsidRPr="004E06DE">
        <w:rPr>
          <w:rFonts w:ascii="Times New Roman" w:hAnsi="Times New Roman" w:cs="Times New Roman"/>
        </w:rPr>
        <w:t xml:space="preserve"> natural sublimity, rightly reflective of an imperial Christian God, and the radically different Indigenous traditions contained in the lake’s name. He is repulsed by visions of Native funereal customs (perhaps a version of </w:t>
      </w:r>
      <w:proofErr w:type="spellStart"/>
      <w:r w:rsidRPr="004E06DE">
        <w:rPr>
          <w:rFonts w:ascii="Times New Roman" w:hAnsi="Times New Roman" w:cs="Times New Roman"/>
        </w:rPr>
        <w:t>Wá∙šiw</w:t>
      </w:r>
      <w:proofErr w:type="spellEnd"/>
      <w:r w:rsidRPr="004E06DE">
        <w:rPr>
          <w:rFonts w:ascii="Times New Roman" w:hAnsi="Times New Roman" w:cs="Times New Roman"/>
        </w:rPr>
        <w:t xml:space="preserve"> or Northern Paiute cremation) and dietary habits (Northern Paiutes and other Great Basin tribes did in fact hunt grasshopper, an important source of protein in their seasonal foodways). As colonial maps fail and Indigenous place names and history begin to pour through the cracks, it is as if Twain’s carefully curated literary self begins to crumble at the level of language. The whole passage ends in a bizarre, orgiastic image of cannibalistic violence where </w:t>
      </w:r>
      <w:r w:rsidRPr="004E06DE">
        <w:rPr>
          <w:rFonts w:ascii="Times New Roman" w:hAnsi="Times New Roman" w:cs="Times New Roman"/>
        </w:rPr>
        <w:lastRenderedPageBreak/>
        <w:t xml:space="preserve">punctuation barely separates the headlong rush of dependent clauses. Boundaries begin to blur as personal and national identity categories of Clemens, Twain, Native, white, civilized, and savage all collapse till it is no longer clear where Clemens </w:t>
      </w:r>
      <w:proofErr w:type="gramStart"/>
      <w:r w:rsidRPr="004E06DE">
        <w:rPr>
          <w:rFonts w:ascii="Times New Roman" w:hAnsi="Times New Roman" w:cs="Times New Roman"/>
        </w:rPr>
        <w:t>ends</w:t>
      </w:r>
      <w:proofErr w:type="gramEnd"/>
      <w:r w:rsidRPr="004E06DE">
        <w:rPr>
          <w:rFonts w:ascii="Times New Roman" w:hAnsi="Times New Roman" w:cs="Times New Roman"/>
        </w:rPr>
        <w:t xml:space="preserve"> and the Indian begins. </w:t>
      </w:r>
    </w:p>
    <w:p w14:paraId="2954095E" w14:textId="77777777" w:rsidR="00287C65" w:rsidRPr="004E06DE" w:rsidRDefault="00287C65" w:rsidP="00287C65">
      <w:pPr>
        <w:spacing w:line="480" w:lineRule="auto"/>
        <w:rPr>
          <w:rFonts w:ascii="Times New Roman" w:hAnsi="Times New Roman" w:cs="Times New Roman"/>
        </w:rPr>
      </w:pPr>
      <w:r w:rsidRPr="004E06DE">
        <w:rPr>
          <w:rFonts w:ascii="Times New Roman" w:hAnsi="Times New Roman" w:cs="Times New Roman"/>
        </w:rPr>
        <w:tab/>
        <w:t xml:space="preserve">To me, this moment is telling for the way it reveals the foundational operating principles of settler colonialism. Twain was a meticulous stylist and editor </w:t>
      </w:r>
      <w:commentRangeStart w:id="72"/>
      <w:r w:rsidRPr="004E06DE">
        <w:rPr>
          <w:rFonts w:ascii="Times New Roman" w:hAnsi="Times New Roman" w:cs="Times New Roman"/>
        </w:rPr>
        <w:t xml:space="preserve">and is talented at cultivating </w:t>
      </w:r>
      <w:commentRangeEnd w:id="72"/>
      <w:r w:rsidRPr="004E06DE">
        <w:rPr>
          <w:rStyle w:val="CommentReference"/>
          <w:rFonts w:eastAsiaTheme="majorEastAsia"/>
        </w:rPr>
        <w:commentReference w:id="72"/>
      </w:r>
      <w:r w:rsidRPr="004E06DE">
        <w:rPr>
          <w:rFonts w:ascii="Times New Roman" w:hAnsi="Times New Roman" w:cs="Times New Roman"/>
        </w:rPr>
        <w:t xml:space="preserve">a particular version of </w:t>
      </w:r>
      <w:proofErr w:type="spellStart"/>
      <w:r w:rsidRPr="004E06DE">
        <w:rPr>
          <w:rFonts w:ascii="Times New Roman" w:hAnsi="Times New Roman" w:cs="Times New Roman"/>
        </w:rPr>
        <w:t>himselfto</w:t>
      </w:r>
      <w:proofErr w:type="spellEnd"/>
      <w:r w:rsidRPr="004E06DE">
        <w:rPr>
          <w:rFonts w:ascii="Times New Roman" w:hAnsi="Times New Roman" w:cs="Times New Roman"/>
        </w:rPr>
        <w:t xml:space="preserve"> elicit specific reactions from his audience. What, then, is his intended effect here? What does his manufactured loss of composure signal to us, his audience? I believe it signals, as I have argued here, that Twain’s work expressed the </w:t>
      </w:r>
      <w:proofErr w:type="spellStart"/>
      <w:r w:rsidRPr="004E06DE">
        <w:rPr>
          <w:rFonts w:ascii="Times New Roman" w:hAnsi="Times New Roman" w:cs="Times New Roman"/>
        </w:rPr>
        <w:t>notionthat</w:t>
      </w:r>
      <w:proofErr w:type="spellEnd"/>
      <w:r w:rsidRPr="004E06DE">
        <w:rPr>
          <w:rFonts w:ascii="Times New Roman" w:hAnsi="Times New Roman" w:cs="Times New Roman"/>
        </w:rPr>
        <w:t xml:space="preserve"> American identity was incompatible with the continued presence of Indigenous peoples in the land. Indeed, it requires the absolute consumption of the Native for its own coherence. Continued Native presence, even in the Anglicized and mistranslated trace of an Indigenous language, is enough to destabilize the entire fabric of settler reality that is predicated on the elimination of the Native and the assumption of white, non-Native indigeneity. Mark Twain, like the settler state, is wholly a construct of language and narrative. All three begin to break down when failure of the state to eliminate the Native is acknowledged.</w:t>
      </w:r>
    </w:p>
    <w:p w14:paraId="17F82AF3" w14:textId="77777777" w:rsidR="00287C65" w:rsidRPr="004E06DE" w:rsidRDefault="00287C65" w:rsidP="00287C65">
      <w:pPr>
        <w:spacing w:line="480" w:lineRule="auto"/>
        <w:ind w:left="720" w:firstLine="720"/>
        <w:rPr>
          <w:rFonts w:ascii="Times New Roman" w:hAnsi="Times New Roman" w:cs="Times New Roman"/>
        </w:rPr>
      </w:pPr>
    </w:p>
    <w:p w14:paraId="269470EA" w14:textId="77777777" w:rsidR="00287C65" w:rsidRPr="004E06DE" w:rsidRDefault="00287C65" w:rsidP="00287C65">
      <w:pPr>
        <w:spacing w:line="480" w:lineRule="auto"/>
        <w:ind w:firstLine="720"/>
        <w:rPr>
          <w:rFonts w:ascii="Times New Roman" w:hAnsi="Times New Roman" w:cs="Times New Roman"/>
        </w:rPr>
      </w:pPr>
    </w:p>
    <w:p w14:paraId="27BC832C" w14:textId="77777777" w:rsidR="00287C65" w:rsidRPr="004E06DE" w:rsidRDefault="00287C65" w:rsidP="00287C65">
      <w:pPr>
        <w:spacing w:line="480" w:lineRule="auto"/>
        <w:ind w:firstLine="720"/>
        <w:rPr>
          <w:rFonts w:ascii="Times New Roman" w:hAnsi="Times New Roman" w:cs="Times New Roman"/>
        </w:rPr>
      </w:pPr>
      <w:r w:rsidRPr="004E06DE">
        <w:rPr>
          <w:rFonts w:ascii="Times New Roman" w:hAnsi="Times New Roman" w:cs="Times New Roman"/>
        </w:rPr>
        <w:t xml:space="preserve">    </w:t>
      </w:r>
    </w:p>
    <w:p w14:paraId="0600F160" w14:textId="77777777" w:rsidR="00287C65" w:rsidRPr="004E06DE" w:rsidRDefault="00287C65" w:rsidP="00287C65">
      <w:pPr>
        <w:spacing w:line="480" w:lineRule="auto"/>
        <w:ind w:firstLine="720"/>
        <w:rPr>
          <w:rFonts w:ascii="Times New Roman" w:hAnsi="Times New Roman" w:cs="Times New Roman"/>
          <w:color w:val="000000"/>
        </w:rPr>
      </w:pPr>
    </w:p>
    <w:p w14:paraId="6D38A0CD" w14:textId="77777777" w:rsidR="00287C65" w:rsidRPr="004E06DE" w:rsidRDefault="00287C65" w:rsidP="00287C65">
      <w:pPr>
        <w:pStyle w:val="NormalWeb"/>
        <w:spacing w:before="0" w:beforeAutospacing="0" w:after="0" w:afterAutospacing="0" w:line="480" w:lineRule="auto"/>
        <w:rPr>
          <w:color w:val="000000"/>
        </w:rPr>
      </w:pPr>
    </w:p>
    <w:p w14:paraId="307DC9C4" w14:textId="77777777" w:rsidR="00287C65" w:rsidRPr="004E06DE" w:rsidRDefault="00287C65" w:rsidP="00287C65">
      <w:pPr>
        <w:pStyle w:val="NormalWeb"/>
        <w:spacing w:before="0" w:beforeAutospacing="0" w:after="0" w:afterAutospacing="0" w:line="480" w:lineRule="auto"/>
        <w:ind w:left="720" w:hanging="720"/>
        <w:rPr>
          <w:color w:val="000000"/>
        </w:rPr>
      </w:pPr>
      <w:r w:rsidRPr="004E06DE">
        <w:rPr>
          <w:color w:val="000000"/>
        </w:rPr>
        <w:t xml:space="preserve"> </w:t>
      </w:r>
    </w:p>
    <w:p w14:paraId="64B23041" w14:textId="77777777" w:rsidR="00287C65" w:rsidRPr="004E06DE" w:rsidRDefault="00287C65" w:rsidP="00287C65">
      <w:pPr>
        <w:pStyle w:val="NormalWeb"/>
        <w:spacing w:before="0" w:beforeAutospacing="0" w:after="0" w:afterAutospacing="0" w:line="480" w:lineRule="auto"/>
      </w:pPr>
    </w:p>
    <w:p w14:paraId="22F21577" w14:textId="77777777" w:rsidR="00287C65" w:rsidRPr="004E06DE" w:rsidRDefault="00287C65" w:rsidP="00287C65">
      <w:pPr>
        <w:pStyle w:val="NormalWeb"/>
        <w:spacing w:before="0" w:beforeAutospacing="0" w:after="0" w:afterAutospacing="0" w:line="480" w:lineRule="auto"/>
      </w:pPr>
    </w:p>
    <w:p w14:paraId="030EC92A" w14:textId="77777777" w:rsidR="00287C65" w:rsidRPr="0095558D" w:rsidRDefault="00287C65" w:rsidP="00287C65">
      <w:pPr>
        <w:spacing w:line="480" w:lineRule="auto"/>
        <w:rPr>
          <w:rFonts w:ascii="Times New Roman" w:hAnsi="Times New Roman" w:cs="Times New Roman"/>
        </w:rPr>
      </w:pPr>
      <w:r w:rsidRPr="0095558D">
        <w:rPr>
          <w:rFonts w:ascii="Times New Roman" w:hAnsi="Times New Roman" w:cs="Times New Roman"/>
        </w:rPr>
        <w:tab/>
      </w:r>
    </w:p>
    <w:p w14:paraId="69480A53" w14:textId="77777777" w:rsidR="00287C65" w:rsidRPr="0095558D" w:rsidRDefault="00287C65" w:rsidP="00287C65">
      <w:pPr>
        <w:spacing w:line="480" w:lineRule="auto"/>
        <w:rPr>
          <w:rFonts w:ascii="Times New Roman" w:hAnsi="Times New Roman" w:cs="Times New Roman"/>
        </w:rPr>
      </w:pPr>
    </w:p>
    <w:p w14:paraId="0BC10998" w14:textId="77777777" w:rsidR="00287C65" w:rsidRPr="0095558D" w:rsidRDefault="00287C65" w:rsidP="00287C65">
      <w:pPr>
        <w:spacing w:line="480" w:lineRule="auto"/>
        <w:rPr>
          <w:rFonts w:ascii="Times New Roman" w:hAnsi="Times New Roman" w:cs="Times New Roman"/>
        </w:rPr>
      </w:pPr>
    </w:p>
    <w:p w14:paraId="5512A5A0" w14:textId="77777777" w:rsidR="003075D5" w:rsidRDefault="003075D5" w:rsidP="003075D5">
      <w:pPr>
        <w:pStyle w:val="Body"/>
        <w:spacing w:line="480" w:lineRule="auto"/>
        <w:rPr>
          <w:rStyle w:val="None"/>
          <w:rFonts w:ascii="Times New Roman" w:eastAsia="Times New Roman" w:hAnsi="Times New Roman" w:cs="Times New Roman"/>
          <w:sz w:val="24"/>
          <w:szCs w:val="24"/>
        </w:rPr>
      </w:pPr>
    </w:p>
    <w:p w14:paraId="67016C75" w14:textId="2FCF98F5" w:rsidR="00AC7D90" w:rsidRPr="003075D5" w:rsidRDefault="00AC7D90" w:rsidP="003075D5">
      <w:pPr>
        <w:pStyle w:val="Body"/>
        <w:spacing w:line="480" w:lineRule="auto"/>
        <w:ind w:firstLine="720"/>
        <w:rPr>
          <w:rStyle w:val="None"/>
          <w:rFonts w:ascii="Times New Roman" w:hAnsi="Times New Roman" w:cs="Times New Roman"/>
          <w:sz w:val="24"/>
          <w:szCs w:val="24"/>
        </w:rPr>
      </w:pPr>
    </w:p>
    <w:p w14:paraId="1F26AB19" w14:textId="77777777" w:rsidR="00287C65" w:rsidRPr="00287C65" w:rsidRDefault="00287C65" w:rsidP="00287C65">
      <w:pPr>
        <w:pStyle w:val="Heading1"/>
        <w:spacing w:line="480" w:lineRule="auto"/>
        <w:jc w:val="center"/>
        <w:rPr>
          <w:rFonts w:ascii="Times New Roman" w:hAnsi="Times New Roman" w:cs="Times New Roman"/>
          <w:b/>
          <w:bCs/>
          <w:color w:val="auto"/>
          <w:sz w:val="24"/>
          <w:szCs w:val="24"/>
        </w:rPr>
      </w:pPr>
      <w:bookmarkStart w:id="73" w:name="_fin7vjwzcdmg" w:colFirst="0" w:colLast="0"/>
      <w:bookmarkStart w:id="74" w:name="_Toc169279177"/>
      <w:bookmarkEnd w:id="73"/>
      <w:r w:rsidRPr="00287C65">
        <w:rPr>
          <w:rFonts w:ascii="Times New Roman" w:hAnsi="Times New Roman" w:cs="Times New Roman"/>
          <w:b/>
          <w:bCs/>
          <w:color w:val="auto"/>
          <w:sz w:val="24"/>
          <w:szCs w:val="24"/>
        </w:rPr>
        <w:t>CHAPTER 4</w:t>
      </w:r>
      <w:r w:rsidRPr="00287C65">
        <w:rPr>
          <w:rFonts w:ascii="Times New Roman" w:hAnsi="Times New Roman" w:cs="Times New Roman"/>
          <w:b/>
          <w:bCs/>
          <w:color w:val="auto"/>
          <w:sz w:val="24"/>
          <w:szCs w:val="24"/>
        </w:rPr>
        <w:br/>
        <w:t>REFUSAL AND SELF-DEFINITION IN THE  DIALECT HUMOR OF</w:t>
      </w:r>
      <w:r w:rsidRPr="00287C65">
        <w:rPr>
          <w:rFonts w:ascii="Times New Roman" w:hAnsi="Times New Roman" w:cs="Times New Roman"/>
          <w:b/>
          <w:bCs/>
          <w:color w:val="auto"/>
          <w:sz w:val="24"/>
          <w:szCs w:val="24"/>
        </w:rPr>
        <w:br/>
        <w:t>ALEXANDER POSEY AND PAUL LAURENCE DUNBAR</w:t>
      </w:r>
      <w:bookmarkEnd w:id="74"/>
    </w:p>
    <w:p w14:paraId="297EAB1D"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From its beginnings in the early nineteenth century, U.S. dialect writing has been associated with humor. Dialect writing, the transformation of the spoken vernacular of certain geographically, ethnically, or culturally distinct groups into textual aesthetics, enjoyed immense popularity among social and political satirists as a way to mask their criticisms as common “horse sense” or “cracker box philosophy.”</w:t>
      </w:r>
      <w:r>
        <w:rPr>
          <w:rFonts w:ascii="Times New Roman" w:hAnsi="Times New Roman" w:cs="Times New Roman"/>
          <w:vertAlign w:val="superscript"/>
        </w:rPr>
        <w:footnoteReference w:id="67"/>
      </w:r>
      <w:r>
        <w:rPr>
          <w:rFonts w:ascii="Times New Roman" w:hAnsi="Times New Roman" w:cs="Times New Roman"/>
        </w:rPr>
        <w:t xml:space="preserve"> Putting one’s derogations of state authorities or cultural elites into the mouths of farmers, immigrants, </w:t>
      </w:r>
      <w:r>
        <w:rPr>
          <w:rFonts w:ascii="Times New Roman" w:hAnsi="Times New Roman" w:cs="Times New Roman"/>
        </w:rPr>
        <w:lastRenderedPageBreak/>
        <w:t xml:space="preserve">housewives, or formerly enslaved people concealed the critique by making light of it. Furthermore, the ironic distance of the speaker’s positionality put their critique nearly beyond the reach of retaliatory state power. As popular dialect writer Finely Peter Dunne explains, “while it might be dangerous to call an alderman a thief in English no one could sue if a comic Irishman denounced the statesman as a thief” (qtd. in Jones 37). Like medieval fools, there was a kind of safety in American dialect humor’s performance of naivety and buffoonery. However, the guise cut both ways. Many nineteenth and early-twentieth-century writers employed dialect to perpetuate harmful racial and ethnic stereotypes. For instance, blackface minstrelsy, in which white, male performers would “blacken up” their faces with burnt cork and adopt “Black dialect,” was one of the most popular entertainment forms in the nineteenth century. The demeaning caricatures of minstrelsy became so ingrained in white consciousness that even Black intellectuals such as W.E.B. Du Bois found themselves obliged to refute them at the outset of their reform messages. </w:t>
      </w:r>
      <w:proofErr w:type="gramStart"/>
      <w:r>
        <w:rPr>
          <w:rFonts w:ascii="Times New Roman" w:hAnsi="Times New Roman" w:cs="Times New Roman"/>
        </w:rPr>
        <w:t>Thus</w:t>
      </w:r>
      <w:proofErr w:type="gramEnd"/>
      <w:r>
        <w:rPr>
          <w:rFonts w:ascii="Times New Roman" w:hAnsi="Times New Roman" w:cs="Times New Roman"/>
        </w:rPr>
        <w:t xml:space="preserve"> capable of bolstering oppression and voicing resistance, “dialect,” as Gavin Jones insists, “was much more than a humorous gimmick” (37). </w:t>
      </w:r>
    </w:p>
    <w:p w14:paraId="7B773785" w14:textId="77777777" w:rsidR="00287C65" w:rsidRDefault="00287C65" w:rsidP="00287C65">
      <w:pPr>
        <w:spacing w:line="480" w:lineRule="auto"/>
        <w:rPr>
          <w:rFonts w:ascii="Times New Roman" w:hAnsi="Times New Roman" w:cs="Times New Roman"/>
        </w:rPr>
      </w:pPr>
      <w:r>
        <w:rPr>
          <w:rFonts w:ascii="Times New Roman" w:hAnsi="Times New Roman" w:cs="Times New Roman"/>
        </w:rPr>
        <w:tab/>
        <w:t xml:space="preserve">This chapter analyzes the politics at work in the humorous dialect writings of two of the nineteenth century’s most prolific writers of dialect, the Muscogee (Creek) writer, poet, and journalist Alexander Lawrence Posey (1873-1908), and African American writer, poet, journalist, and dramatist Paul Laurence Dunbar (1872-1906). Posey’s most famous dialect writing </w:t>
      </w:r>
      <w:proofErr w:type="gramStart"/>
      <w:r>
        <w:rPr>
          <w:rFonts w:ascii="Times New Roman" w:hAnsi="Times New Roman" w:cs="Times New Roman"/>
        </w:rPr>
        <w:t>are</w:t>
      </w:r>
      <w:proofErr w:type="gramEnd"/>
      <w:r>
        <w:rPr>
          <w:rFonts w:ascii="Times New Roman" w:hAnsi="Times New Roman" w:cs="Times New Roman"/>
        </w:rPr>
        <w:t xml:space="preserve"> the Fus Fixico Letters, a series of seventy-three letters, published between 1902 and 1908 in the Eufaula </w:t>
      </w:r>
      <w:r>
        <w:rPr>
          <w:rFonts w:ascii="Times New Roman" w:hAnsi="Times New Roman" w:cs="Times New Roman"/>
          <w:i/>
        </w:rPr>
        <w:t>Indian Journal</w:t>
      </w:r>
      <w:r>
        <w:rPr>
          <w:rFonts w:ascii="Times New Roman" w:hAnsi="Times New Roman" w:cs="Times New Roman"/>
        </w:rPr>
        <w:t xml:space="preserve">, in which Posey satirizes </w:t>
      </w:r>
      <w:r>
        <w:rPr>
          <w:rFonts w:ascii="Times New Roman" w:hAnsi="Times New Roman" w:cs="Times New Roman"/>
        </w:rPr>
        <w:lastRenderedPageBreak/>
        <w:t xml:space="preserve">Muscogee Creek National and Indian Territory politics. Paul Laurence Dunbar earned widespread fame and notoriety for his poetry, novels, and songs written in a performative version of African American dialect. There </w:t>
      </w:r>
      <w:proofErr w:type="gramStart"/>
      <w:r>
        <w:rPr>
          <w:rFonts w:ascii="Times New Roman" w:hAnsi="Times New Roman" w:cs="Times New Roman"/>
        </w:rPr>
        <w:t>is some benefit</w:t>
      </w:r>
      <w:proofErr w:type="gramEnd"/>
      <w:r>
        <w:rPr>
          <w:rFonts w:ascii="Times New Roman" w:hAnsi="Times New Roman" w:cs="Times New Roman"/>
        </w:rPr>
        <w:t xml:space="preserve"> to reading Posey and Dunbar together. The two have striking similarities. They are almost exact contemporaries, meaning that not only did they come of age and reach literary distinction around the same time, but </w:t>
      </w:r>
      <w:proofErr w:type="gramStart"/>
      <w:r>
        <w:rPr>
          <w:rFonts w:ascii="Times New Roman" w:hAnsi="Times New Roman" w:cs="Times New Roman"/>
        </w:rPr>
        <w:t>also</w:t>
      </w:r>
      <w:proofErr w:type="gramEnd"/>
      <w:r>
        <w:rPr>
          <w:rFonts w:ascii="Times New Roman" w:hAnsi="Times New Roman" w:cs="Times New Roman"/>
        </w:rPr>
        <w:t xml:space="preserve"> they faced similar pressures from being non-white writers in Gilded Age America. Of course, these pressures were different for Natives and African Americans; for instance, Posey did not have to navigate the treacherous conventions of minstrelsy in composing his art as Dunbar did. Nevertheless, the fact that Posey and Dunbar wrote in the same medium in the same cultural and literary milieu has meant that discussions of their works have tended to be dominated by binary systems of literary and political valuation inherited from the end of the nineteenth century. Namely, Posey’s dialect writing has typically been interpreted on a scale ranging from conservatism or “traditionalism” to progressivism, the terms of which derive from non-Native perspectives on the history of Indigenous resistance and/or adaptation to settler colonialist policies. Likewise, criticism of Dunbar’s dialect poetry oscillates between denouncement of Dunbar’s perceived complicity with minstrel tropes and a subversive linguistic masking cloaking his critique of white racism.  </w:t>
      </w:r>
    </w:p>
    <w:p w14:paraId="2799EE2B"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 xml:space="preserve">Both schemas–traditionalism vs. progressivism and complicity vs. masking–are historically contingent and framed by the politics of recognition and assimilation. The traditionalist/progressivist binary refers to political positions that some Native peoples </w:t>
      </w:r>
      <w:r>
        <w:rPr>
          <w:rFonts w:ascii="Times New Roman" w:hAnsi="Times New Roman" w:cs="Times New Roman"/>
        </w:rPr>
        <w:lastRenderedPageBreak/>
        <w:t xml:space="preserve">adopted in the nineteenth and early twentieth centuries in response to efforts by the U.S. government to dissolve the sovereignty of the tribal governments and assimilate Native peoples into the fabric of the United States as American citizens. “Progressives” were those Native individuals who supported assimilationist policies, while “traditionalists” were those who did not. As expressions of a positionality with respect to the United States rather than toward Indigenous culture or questions of sovereignty, these terms, as Muscogee (Creek) literary critic Craig S. Womack writes, have little relevance to actual Native politics (133). According to Womack, labeling Posey a “progressive” reduces the complexity of his politics and his aesthetics, both of which were deeply influenced by Muscogee (Creek) culture (135). Similarly, the complicity/masking binary that has determined so much criticism of Dunbar’s dialect poetry entraps Dunbar within a positionality to an early-twentieth-century politics of racial uplift, which is itself overdetermined by African Americans’ ability to conciliate white society’s vision of Black bourgeois respectability. Forced to either reify offensive white stereotypes or don the mask of subversive resistance, Dunbar cannot escape some relation to whiteness. In always referring their subjects to some subjectivity within white society, these binaries imagine whiteness as omnipresent and all-encompassing. </w:t>
      </w:r>
    </w:p>
    <w:p w14:paraId="57529D0B"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 xml:space="preserve">My readings situate Posey and Dunbar not in these binaries by analyzing their humorous dialect writings not as reactions to white forms or logics and instead considers them as positive explorations and expressions of kinship and joy. Kinship networks describe the relationships that </w:t>
      </w:r>
      <w:proofErr w:type="gramStart"/>
      <w:r>
        <w:rPr>
          <w:rFonts w:ascii="Times New Roman" w:hAnsi="Times New Roman" w:cs="Times New Roman"/>
        </w:rPr>
        <w:t>obtain</w:t>
      </w:r>
      <w:proofErr w:type="gramEnd"/>
      <w:r>
        <w:rPr>
          <w:rFonts w:ascii="Times New Roman" w:hAnsi="Times New Roman" w:cs="Times New Roman"/>
        </w:rPr>
        <w:t xml:space="preserve"> within Native communities among families, home-</w:t>
      </w:r>
      <w:r>
        <w:rPr>
          <w:rFonts w:ascii="Times New Roman" w:hAnsi="Times New Roman" w:cs="Times New Roman"/>
        </w:rPr>
        <w:lastRenderedPageBreak/>
        <w:t>groups, clans, towns, and nations. For thousands of years prior to colonization, these relationships organized Indigenous social life and government. Though many Indigenous peoples track kinship and belonging through blood (e.g. Muscogees, Cherokees, and many other nations determine clan membership matrilineally) kinship does not require blood relation and thus transcends the non-Native, colonial construct of “blood quantum” that racializes tribal membership.</w:t>
      </w:r>
      <w:r>
        <w:rPr>
          <w:rStyle w:val="FootnoteReference"/>
          <w:rFonts w:ascii="Times New Roman" w:hAnsi="Times New Roman" w:cs="Times New Roman"/>
        </w:rPr>
        <w:footnoteReference w:id="68"/>
      </w:r>
      <w:r>
        <w:rPr>
          <w:rFonts w:ascii="Times New Roman" w:hAnsi="Times New Roman" w:cs="Times New Roman"/>
        </w:rPr>
        <w:t xml:space="preserve"> The politics of blood quantum infuse the Fus Fixico Letters in the main characters’ identification of themselves and others as “fullbloods.” Yet, reading the letters within the context of Posey’s other, non-dialect writings and </w:t>
      </w:r>
      <w:r>
        <w:rPr>
          <w:rFonts w:ascii="Times New Roman" w:hAnsi="Times New Roman" w:cs="Times New Roman"/>
        </w:rPr>
        <w:lastRenderedPageBreak/>
        <w:t xml:space="preserve">paying attention to his lifelong immersion in Muscogee culture shows how kinship, more than blood quantum, informs the political satires of the Fus Fixico Letters. Rather than present the “fullbloods” Hotgun, </w:t>
      </w:r>
      <w:proofErr w:type="spellStart"/>
      <w:r>
        <w:rPr>
          <w:rFonts w:ascii="Times New Roman" w:hAnsi="Times New Roman" w:cs="Times New Roman"/>
        </w:rPr>
        <w:t>Toofpafka</w:t>
      </w:r>
      <w:proofErr w:type="spellEnd"/>
      <w:r>
        <w:rPr>
          <w:rFonts w:ascii="Times New Roman" w:hAnsi="Times New Roman" w:cs="Times New Roman"/>
        </w:rPr>
        <w:t xml:space="preserve"> Micco, and Chitto Harjo as obstacles to Muscogee progress, Posey’s dialect humor, written in “fullblood” dialect voice, points to the endurance of Muscogee culture within kinship networks. </w:t>
      </w:r>
    </w:p>
    <w:p w14:paraId="175F9C65"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 xml:space="preserve">Specifically, I argue below that Posey’s writings are marked by the recurring image of the sofky pot. For Posey, sofky, a traditional but divisive dish, is synonymous with his youth, tradition, and Muscogee identity. As the nexus of images of Muscogee labor, domesticity, and tradition, what Timothy </w:t>
      </w:r>
      <w:proofErr w:type="spellStart"/>
      <w:r>
        <w:rPr>
          <w:rFonts w:ascii="Times New Roman" w:hAnsi="Times New Roman" w:cs="Times New Roman"/>
        </w:rPr>
        <w:t>Petete</w:t>
      </w:r>
      <w:proofErr w:type="spellEnd"/>
      <w:r>
        <w:rPr>
          <w:rFonts w:ascii="Times New Roman" w:hAnsi="Times New Roman" w:cs="Times New Roman"/>
        </w:rPr>
        <w:t xml:space="preserve"> and Craig Womack call the “Creek literary </w:t>
      </w:r>
      <w:proofErr w:type="spellStart"/>
      <w:r>
        <w:rPr>
          <w:rFonts w:ascii="Times New Roman" w:hAnsi="Times New Roman" w:cs="Times New Roman"/>
        </w:rPr>
        <w:t>sofkey</w:t>
      </w:r>
      <w:proofErr w:type="spellEnd"/>
      <w:r>
        <w:rPr>
          <w:rFonts w:ascii="Times New Roman" w:hAnsi="Times New Roman" w:cs="Times New Roman"/>
        </w:rPr>
        <w:t xml:space="preserve"> pot” expresses the continuing importance of vital kinship networks as the fertile ground for Muscogee political writing. Much like the common pot that, as Lisa Brooks explains, symbolizes the vast network of relations by which Indigenous peoples in the Northeast understand the ethics of mutual obligation that govern Native space, the sofky pot represents both Muscogee space, a locale, defined by the values of hospitality, reciprocity, debate, and consensus. Humor emerges in their councils not merely as an aesthetic choice, but as an expression of Muscogee identity.</w:t>
      </w:r>
    </w:p>
    <w:p w14:paraId="49FF89A9"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 xml:space="preserve">Alongside my reading of kinship in the Fus Fixico Letters, I offer fresh readings of selected humorous dialect poems by Paul Laurence Dunbar. I read these poems as </w:t>
      </w:r>
      <w:proofErr w:type="gramStart"/>
      <w:r>
        <w:rPr>
          <w:rFonts w:ascii="Times New Roman" w:hAnsi="Times New Roman" w:cs="Times New Roman"/>
        </w:rPr>
        <w:t>politically-informed</w:t>
      </w:r>
      <w:proofErr w:type="gramEnd"/>
      <w:r>
        <w:rPr>
          <w:rFonts w:ascii="Times New Roman" w:hAnsi="Times New Roman" w:cs="Times New Roman"/>
        </w:rPr>
        <w:t xml:space="preserve"> artistic explorations of Black joy. In </w:t>
      </w:r>
      <w:r>
        <w:rPr>
          <w:rFonts w:ascii="Times New Roman" w:hAnsi="Times New Roman" w:cs="Times New Roman"/>
          <w:i/>
        </w:rPr>
        <w:t>The Politics of Black Joy: Zora Neale Hurston and Neo-Abolitionism</w:t>
      </w:r>
      <w:r>
        <w:rPr>
          <w:rFonts w:ascii="Times New Roman" w:hAnsi="Times New Roman" w:cs="Times New Roman"/>
        </w:rPr>
        <w:t xml:space="preserve"> (2021), Lindsey Stewart extrapolates from Hurston’s essays on Southern Black life and folkways a political theory of Black joy that </w:t>
      </w:r>
      <w:r>
        <w:rPr>
          <w:rFonts w:ascii="Times New Roman" w:hAnsi="Times New Roman" w:cs="Times New Roman"/>
        </w:rPr>
        <w:lastRenderedPageBreak/>
        <w:t xml:space="preserve">transcends what Stewart calls “the dialectic of Black enchantment and Black tragedy” (6). The dialectic describes the way that Black emancipatory politics since the nineteenth century has been determined by “the abolitionist’s staging of Black sorrow and the minstrel’s show of Black joy” where both positions presume “that Black life is tragic without white intervention” (7). As Stewart points out in her study, the representation of Black joy articulates a position beyond this dialectic by privileging a politics of refusal rather than of resistance, echoing calls from activists in Native American and Indigenous Studies such as Audre Simpson. The performance of Black joy rather than Black resistance entails a shift from a relationality to white oppression toward a “flourishing relation of the self to the self (or, in the case of Black joy, how Black folks relate to each other)” (9). I argue here that the dialectic of Black enchantment and Black tragedy Stewart describes also subtends the discourses of racial uplift that determined much African American political activism in Dunbar’s time. Moreover, the dialectic aptly describes the polarities of opinion within criticism of Dunbar’s dialect poetry, which I describe below. Interpreting Dunbar’s dialect poems as performances of Black joy rather than minstrel shows (subversive or otherwise) allows us to understand Dunbar as an artist and activist interested in depicting Black life in modes other than oppression. Furthermore, such a perspective gives us </w:t>
      </w:r>
      <w:proofErr w:type="gramStart"/>
      <w:r>
        <w:rPr>
          <w:rFonts w:ascii="Times New Roman" w:hAnsi="Times New Roman" w:cs="Times New Roman"/>
        </w:rPr>
        <w:t>new</w:t>
      </w:r>
      <w:proofErr w:type="gramEnd"/>
      <w:r>
        <w:rPr>
          <w:rFonts w:ascii="Times New Roman" w:hAnsi="Times New Roman" w:cs="Times New Roman"/>
        </w:rPr>
        <w:t xml:space="preserve"> understanding of the role of humor in Dunbar’s dialect. Rather than a racialized trait of Black character or a performative mask, humor here </w:t>
      </w:r>
      <w:r>
        <w:rPr>
          <w:rFonts w:ascii="Times New Roman" w:hAnsi="Times New Roman" w:cs="Times New Roman"/>
          <w:i/>
        </w:rPr>
        <w:t xml:space="preserve">is </w:t>
      </w:r>
      <w:r>
        <w:rPr>
          <w:rFonts w:ascii="Times New Roman" w:hAnsi="Times New Roman" w:cs="Times New Roman"/>
        </w:rPr>
        <w:t xml:space="preserve">the sign of Black joy, an aesthetic that encodes “Joy and culture in the language” (Wilson). </w:t>
      </w:r>
    </w:p>
    <w:p w14:paraId="7D1CB2CA" w14:textId="4E89E3AF"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lastRenderedPageBreak/>
        <w:t>My analyses of Posey and Dunbar are based on close readings of selections of the two writers’ dialect humor and other, non-dialect texts that inform the political work of their dialect writing. For Posey, I focus mainly on the political satire and the depiction of kinship in the Fus Fixico Letters, which I contextualize alongside representations of kinship in his journals, particularly the Journal of the Creek Orphan Asylum (1897-1900) and the Journal of the Creek Enrollment Field Party (1905-06) and his orations and essays, particularly his short story “</w:t>
      </w:r>
      <w:proofErr w:type="spellStart"/>
      <w:r>
        <w:rPr>
          <w:rFonts w:ascii="Times New Roman" w:hAnsi="Times New Roman" w:cs="Times New Roman"/>
        </w:rPr>
        <w:t>Chinnubbie</w:t>
      </w:r>
      <w:proofErr w:type="spellEnd"/>
      <w:r>
        <w:rPr>
          <w:rFonts w:ascii="Times New Roman" w:hAnsi="Times New Roman" w:cs="Times New Roman"/>
        </w:rPr>
        <w:t xml:space="preserve"> and the Owl” (1893). The thoughts and ideas expressed in Posey’s journals and essays shed considerable light on his immersion in Muscogee culture and the kinship networks that defined his life during the allotment era and the writing of the Fus Fixico Letters.</w:t>
      </w:r>
      <w:r>
        <w:rPr>
          <w:rStyle w:val="FootnoteReference"/>
          <w:rFonts w:ascii="Times New Roman" w:hAnsi="Times New Roman" w:cs="Times New Roman"/>
        </w:rPr>
        <w:footnoteReference w:id="69"/>
      </w:r>
      <w:r>
        <w:rPr>
          <w:rFonts w:ascii="Times New Roman" w:hAnsi="Times New Roman" w:cs="Times New Roman"/>
        </w:rPr>
        <w:t xml:space="preserve"> My section on Dunbar focuses on the dialect poems “When de </w:t>
      </w:r>
      <w:proofErr w:type="spellStart"/>
      <w:r>
        <w:rPr>
          <w:rFonts w:ascii="Times New Roman" w:hAnsi="Times New Roman" w:cs="Times New Roman"/>
        </w:rPr>
        <w:t>Co’n</w:t>
      </w:r>
      <w:proofErr w:type="spellEnd"/>
      <w:r>
        <w:rPr>
          <w:rFonts w:ascii="Times New Roman" w:hAnsi="Times New Roman" w:cs="Times New Roman"/>
        </w:rPr>
        <w:t xml:space="preserve"> Pone’s Hot” and “The Party.” My choices here are intentional, since William Dean Howells chose to excerpt these poems at length in his famous review of Dunbar’s </w:t>
      </w:r>
      <w:r>
        <w:rPr>
          <w:rFonts w:ascii="Times New Roman" w:hAnsi="Times New Roman" w:cs="Times New Roman"/>
          <w:i/>
        </w:rPr>
        <w:t xml:space="preserve">Majors and Minors </w:t>
      </w:r>
      <w:r>
        <w:rPr>
          <w:rFonts w:ascii="Times New Roman" w:hAnsi="Times New Roman" w:cs="Times New Roman"/>
        </w:rPr>
        <w:t xml:space="preserve">(1896) in </w:t>
      </w:r>
      <w:r>
        <w:rPr>
          <w:rFonts w:ascii="Times New Roman" w:hAnsi="Times New Roman" w:cs="Times New Roman"/>
          <w:i/>
        </w:rPr>
        <w:t>Harper’s Weekly</w:t>
      </w:r>
      <w:r>
        <w:rPr>
          <w:rFonts w:ascii="Times New Roman" w:hAnsi="Times New Roman" w:cs="Times New Roman"/>
        </w:rPr>
        <w:t xml:space="preserve"> (Jarrett 227-30). To Howells, these were the poems that purported to demonstrate “the simple, sensuous, joyous nature of [the Black] race” and showcase Dunbar as “the pure African type” (qtd. in Jarrett 227, 225). It should be noted that Howell’s appraisal of “the joyous nature of the race” differs greatly from Stewart’s idea of political Black joy. Howells refers to the artificial joy of the minstrel stage and plantation tradition, white fictions </w:t>
      </w:r>
      <w:r>
        <w:rPr>
          <w:rFonts w:ascii="Times New Roman" w:hAnsi="Times New Roman" w:cs="Times New Roman"/>
        </w:rPr>
        <w:lastRenderedPageBreak/>
        <w:t xml:space="preserve">which wielded nostalgia to erase Black suffering (Stewart 7). That kind of joy is always a sign of white oppression. My readings of these specific poems aim to free Dunbar from the racially essentialist terms that have framed debate about his work since Howells and to show Dunbar’s appreciation for humor as an emancipatory, not a conciliatory, gesture.   </w:t>
      </w:r>
    </w:p>
    <w:p w14:paraId="5103E193" w14:textId="77777777" w:rsidR="00287C65" w:rsidRPr="009E5931" w:rsidRDefault="00287C65" w:rsidP="00287C65">
      <w:pPr>
        <w:pStyle w:val="Heading2"/>
        <w:jc w:val="center"/>
        <w:rPr>
          <w:rFonts w:ascii="Times New Roman" w:hAnsi="Times New Roman" w:cs="Times New Roman"/>
          <w:b/>
          <w:bCs/>
          <w:color w:val="auto"/>
          <w:sz w:val="24"/>
          <w:szCs w:val="24"/>
        </w:rPr>
      </w:pPr>
      <w:bookmarkStart w:id="75" w:name="_d6068vrric2r" w:colFirst="0" w:colLast="0"/>
      <w:bookmarkStart w:id="76" w:name="_Toc169279178"/>
      <w:bookmarkEnd w:id="75"/>
      <w:r w:rsidRPr="009E5931">
        <w:rPr>
          <w:rFonts w:ascii="Times New Roman" w:hAnsi="Times New Roman" w:cs="Times New Roman"/>
          <w:b/>
          <w:bCs/>
          <w:color w:val="auto"/>
          <w:sz w:val="24"/>
          <w:szCs w:val="24"/>
        </w:rPr>
        <w:t>The Sofky Pot: Kinship and Community in the Fus Fixico Letters</w:t>
      </w:r>
      <w:bookmarkEnd w:id="76"/>
    </w:p>
    <w:p w14:paraId="1CF1975A" w14:textId="77777777" w:rsidR="00287C65" w:rsidRDefault="00287C65" w:rsidP="00287C65">
      <w:pPr>
        <w:spacing w:line="480" w:lineRule="auto"/>
        <w:ind w:firstLine="720"/>
        <w:rPr>
          <w:rFonts w:ascii="Times New Roman" w:hAnsi="Times New Roman" w:cs="Times New Roman"/>
        </w:rPr>
      </w:pPr>
    </w:p>
    <w:p w14:paraId="7B480E17"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In Fus Fixico Letter No. 39 (January 1904) Posey’s “full blood” characters</w:t>
      </w:r>
      <w:r>
        <w:rPr>
          <w:rFonts w:ascii="Times New Roman" w:hAnsi="Times New Roman" w:cs="Times New Roman"/>
          <w:vertAlign w:val="superscript"/>
        </w:rPr>
        <w:footnoteReference w:id="70"/>
      </w:r>
      <w:r>
        <w:rPr>
          <w:rFonts w:ascii="Times New Roman" w:hAnsi="Times New Roman" w:cs="Times New Roman"/>
        </w:rPr>
        <w:t xml:space="preserve"> Hotgun, </w:t>
      </w:r>
      <w:proofErr w:type="spellStart"/>
      <w:r>
        <w:rPr>
          <w:rFonts w:ascii="Times New Roman" w:hAnsi="Times New Roman" w:cs="Times New Roman"/>
        </w:rPr>
        <w:t>Toofpafka</w:t>
      </w:r>
      <w:proofErr w:type="spellEnd"/>
      <w:r>
        <w:rPr>
          <w:rFonts w:ascii="Times New Roman" w:hAnsi="Times New Roman" w:cs="Times New Roman"/>
        </w:rPr>
        <w:t xml:space="preserve"> Micco, Wolf Warrior and Kono Harjo celebrate the New Year together at Kono Harjo’s home in a scene of Muscogee domesticity:</w:t>
      </w:r>
    </w:p>
    <w:p w14:paraId="1651839E" w14:textId="77777777" w:rsidR="00287C65" w:rsidRDefault="00287C65" w:rsidP="00287C65">
      <w:pPr>
        <w:spacing w:line="480" w:lineRule="auto"/>
        <w:ind w:left="720"/>
        <w:rPr>
          <w:rFonts w:ascii="Times New Roman" w:hAnsi="Times New Roman" w:cs="Times New Roman"/>
        </w:rPr>
      </w:pPr>
      <w:r>
        <w:rPr>
          <w:rFonts w:ascii="Times New Roman" w:hAnsi="Times New Roman" w:cs="Times New Roman"/>
        </w:rPr>
        <w:t>Well, so Kono Harjo’s wife was made some more sour bread and some more suck-ko-nip-</w:t>
      </w:r>
      <w:proofErr w:type="spellStart"/>
      <w:r>
        <w:rPr>
          <w:rFonts w:ascii="Times New Roman" w:hAnsi="Times New Roman" w:cs="Times New Roman"/>
        </w:rPr>
        <w:t>kee</w:t>
      </w:r>
      <w:proofErr w:type="spellEnd"/>
      <w:r>
        <w:rPr>
          <w:rFonts w:ascii="Times New Roman" w:hAnsi="Times New Roman" w:cs="Times New Roman"/>
        </w:rPr>
        <w:t xml:space="preserve"> and some blue dumplings and some more good hickory nut sofky, and some old time Indian dishes like that, for New Year; and Kono Harjo was sent word to Hotgun and Wolf Warrior and </w:t>
      </w:r>
      <w:proofErr w:type="spellStart"/>
      <w:r>
        <w:rPr>
          <w:rFonts w:ascii="Times New Roman" w:hAnsi="Times New Roman" w:cs="Times New Roman"/>
        </w:rPr>
        <w:t>Tookpafka</w:t>
      </w:r>
      <w:proofErr w:type="spellEnd"/>
      <w:r>
        <w:rPr>
          <w:rFonts w:ascii="Times New Roman" w:hAnsi="Times New Roman" w:cs="Times New Roman"/>
        </w:rPr>
        <w:t xml:space="preserve"> Micco to come over and help eat it up so he could throw the scraps out to his squirrel dogs. (Posey, </w:t>
      </w:r>
      <w:r>
        <w:rPr>
          <w:rFonts w:ascii="Times New Roman" w:hAnsi="Times New Roman" w:cs="Times New Roman"/>
          <w:i/>
        </w:rPr>
        <w:t>Fus Fixico</w:t>
      </w:r>
      <w:r>
        <w:rPr>
          <w:rFonts w:ascii="Times New Roman" w:hAnsi="Times New Roman" w:cs="Times New Roman"/>
        </w:rPr>
        <w:t xml:space="preserve"> 152)</w:t>
      </w:r>
    </w:p>
    <w:p w14:paraId="5032F03B" w14:textId="77777777" w:rsidR="00287C65" w:rsidRDefault="00287C65" w:rsidP="00287C65">
      <w:pPr>
        <w:spacing w:line="480" w:lineRule="auto"/>
        <w:rPr>
          <w:rFonts w:ascii="Times New Roman" w:hAnsi="Times New Roman" w:cs="Times New Roman"/>
        </w:rPr>
      </w:pPr>
      <w:r>
        <w:rPr>
          <w:rFonts w:ascii="Times New Roman" w:hAnsi="Times New Roman" w:cs="Times New Roman"/>
        </w:rPr>
        <w:lastRenderedPageBreak/>
        <w:t xml:space="preserve">This scene precedes the four Muscogee men’s characteristically humorous chat about the changes wrought in Muscogee lands by white encroachment (“Well, so they </w:t>
      </w:r>
      <w:proofErr w:type="gramStart"/>
      <w:r>
        <w:rPr>
          <w:rFonts w:ascii="Times New Roman" w:hAnsi="Times New Roman" w:cs="Times New Roman"/>
        </w:rPr>
        <w:t>was</w:t>
      </w:r>
      <w:proofErr w:type="gramEnd"/>
      <w:r>
        <w:rPr>
          <w:rFonts w:ascii="Times New Roman" w:hAnsi="Times New Roman" w:cs="Times New Roman"/>
        </w:rPr>
        <w:t xml:space="preserve"> lots of changes been made up to Muskogee and you couldn’t hardly locate yourself if you didn’t had a policeman.”) Scenes such as this have predominantly been read as part of Posey’s agenda within the Fus Fixico Letters to portray “full blood” Muscogees as backwards-looking detriments to progress (152). However, this perspective misreads Posey by constructing an ironic distance from his “full blood” subjects that does not accurately reflect either the facts of Posey’s biography or the drift of his political satire.    </w:t>
      </w:r>
    </w:p>
    <w:p w14:paraId="4D36EB3D"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Scenes such as the one above demonstrate how Posey couched his satires of Muscogee and Indian Territory politics within a network of Muscogee kinship represented here by the image of the sofky pot. Sofky (also spelled “</w:t>
      </w:r>
      <w:proofErr w:type="spellStart"/>
      <w:r>
        <w:rPr>
          <w:rFonts w:ascii="Times New Roman" w:hAnsi="Times New Roman" w:cs="Times New Roman"/>
        </w:rPr>
        <w:t>sofkey</w:t>
      </w:r>
      <w:proofErr w:type="spellEnd"/>
      <w:r>
        <w:rPr>
          <w:rFonts w:ascii="Times New Roman" w:hAnsi="Times New Roman" w:cs="Times New Roman"/>
        </w:rPr>
        <w:t xml:space="preserve">” or “sofkee”) is a Muscogee dish prepared by cooking cracked corn in water and lye. The result is a soupy kind of </w:t>
      </w:r>
      <w:proofErr w:type="gramStart"/>
      <w:r>
        <w:rPr>
          <w:rFonts w:ascii="Times New Roman" w:hAnsi="Times New Roman" w:cs="Times New Roman"/>
        </w:rPr>
        <w:t>grits</w:t>
      </w:r>
      <w:proofErr w:type="gramEnd"/>
      <w:r>
        <w:rPr>
          <w:rFonts w:ascii="Times New Roman" w:hAnsi="Times New Roman" w:cs="Times New Roman"/>
        </w:rPr>
        <w:t xml:space="preserve"> that varies in consistency from something like porridge to a liquid one drinks. Depending on methods of preparation and how long it has been left to ferment, sofky can be very sour and is regarded as a delicacy among the Muscogee, though some don’t like it (</w:t>
      </w:r>
      <w:proofErr w:type="spellStart"/>
      <w:r>
        <w:rPr>
          <w:rFonts w:ascii="Times New Roman" w:hAnsi="Times New Roman" w:cs="Times New Roman"/>
        </w:rPr>
        <w:t>Petete</w:t>
      </w:r>
      <w:proofErr w:type="spellEnd"/>
      <w:r>
        <w:rPr>
          <w:rFonts w:ascii="Times New Roman" w:hAnsi="Times New Roman" w:cs="Times New Roman"/>
        </w:rPr>
        <w:t xml:space="preserve"> and Womack 10). Despite its strong smell and taste, sofky is a staple of Muscogee hospitality. According to Pamela S. Wallace writing for the </w:t>
      </w:r>
      <w:r>
        <w:rPr>
          <w:rFonts w:ascii="Times New Roman" w:hAnsi="Times New Roman" w:cs="Times New Roman"/>
          <w:i/>
        </w:rPr>
        <w:t>Encyclopedia of Oklahoma History and Culture</w:t>
      </w:r>
      <w:r>
        <w:rPr>
          <w:rFonts w:ascii="Times New Roman" w:hAnsi="Times New Roman" w:cs="Times New Roman"/>
        </w:rPr>
        <w:t>, sofky “</w:t>
      </w:r>
      <w:r>
        <w:rPr>
          <w:rFonts w:ascii="Times New Roman" w:hAnsi="Times New Roman" w:cs="Times New Roman"/>
          <w:highlight w:val="white"/>
        </w:rPr>
        <w:t>is served in most any setting where food is shared, such as in homes and at various community gatherings” (Wallace).</w:t>
      </w:r>
      <w:r>
        <w:rPr>
          <w:rFonts w:ascii="Times New Roman" w:hAnsi="Times New Roman" w:cs="Times New Roman"/>
        </w:rPr>
        <w:t xml:space="preserve"> Timothy </w:t>
      </w:r>
      <w:proofErr w:type="spellStart"/>
      <w:r>
        <w:rPr>
          <w:rFonts w:ascii="Times New Roman" w:hAnsi="Times New Roman" w:cs="Times New Roman"/>
        </w:rPr>
        <w:t>Petete</w:t>
      </w:r>
      <w:proofErr w:type="spellEnd"/>
      <w:r>
        <w:rPr>
          <w:rFonts w:ascii="Times New Roman" w:hAnsi="Times New Roman" w:cs="Times New Roman"/>
        </w:rPr>
        <w:t xml:space="preserve"> (Seminole) and Craig S. Womack (Muscogee Creek) trace the sofky pot as a recurring motif seemingly “universal among Creek writers” (9). For Posey and later </w:t>
      </w:r>
      <w:r>
        <w:rPr>
          <w:rFonts w:ascii="Times New Roman" w:hAnsi="Times New Roman" w:cs="Times New Roman"/>
        </w:rPr>
        <w:lastRenderedPageBreak/>
        <w:t xml:space="preserve">Muscogee poets Thomas E. Moore and Acee Blue Eagle, the preparation and consumption of sofky is an opportunity to make fun of Muscogee men’s laziness, yet it also “creates a major sense of place and scene” (9-10).  </w:t>
      </w:r>
    </w:p>
    <w:p w14:paraId="4EEB5AE7"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 xml:space="preserve">I argue that, as the nexus of images of Muscogee labor, domesticity, and tradition, what </w:t>
      </w:r>
      <w:proofErr w:type="spellStart"/>
      <w:r>
        <w:rPr>
          <w:rFonts w:ascii="Times New Roman" w:hAnsi="Times New Roman" w:cs="Times New Roman"/>
        </w:rPr>
        <w:t>Petete</w:t>
      </w:r>
      <w:proofErr w:type="spellEnd"/>
      <w:r>
        <w:rPr>
          <w:rFonts w:ascii="Times New Roman" w:hAnsi="Times New Roman" w:cs="Times New Roman"/>
        </w:rPr>
        <w:t xml:space="preserve"> and Womack call the “Creek literary </w:t>
      </w:r>
      <w:proofErr w:type="spellStart"/>
      <w:r>
        <w:rPr>
          <w:rFonts w:ascii="Times New Roman" w:hAnsi="Times New Roman" w:cs="Times New Roman"/>
        </w:rPr>
        <w:t>sofkey</w:t>
      </w:r>
      <w:proofErr w:type="spellEnd"/>
      <w:r>
        <w:rPr>
          <w:rFonts w:ascii="Times New Roman" w:hAnsi="Times New Roman" w:cs="Times New Roman"/>
        </w:rPr>
        <w:t xml:space="preserve"> pot” expresses the continuing importance of vital kinship networks as the fertile ground for Muscogee political writing. Much like the common pot that, as Lisa Brooks explains, illustrates the complex interplay of relationships through which Northeastern Indigenous peoples comprehend the ethical imperative of mutual obligation that shapes Native space, the sofky pot represents a both Muscogee space, a locale, defined by the Muscogee values of hospitality, reciprocity, debate, and consensus. The sofky pot becomes another kind of </w:t>
      </w:r>
      <w:proofErr w:type="spellStart"/>
      <w:r>
        <w:rPr>
          <w:rFonts w:ascii="Times New Roman" w:hAnsi="Times New Roman" w:cs="Times New Roman"/>
        </w:rPr>
        <w:t>talwa</w:t>
      </w:r>
      <w:proofErr w:type="spellEnd"/>
      <w:r>
        <w:rPr>
          <w:rFonts w:ascii="Times New Roman" w:hAnsi="Times New Roman" w:cs="Times New Roman"/>
        </w:rPr>
        <w:t xml:space="preserve">, a Muscogee town, the basic unit of governance and Muscogee sovereignty and as they gather round it, Fus Fixico and Posey’s other “full bloods” partake in the rituals of council that have guided Muscogees for generations. In conversation they deliberate the future of the Muscogee Nation and determine their stance on national issues that, through their debate, are revealed to be imminently local concerns. More often than not, their councils reach a consensus of refusal, a determination to continue to live outside the dictates of both U.S. and Muscogee Nation policies in the alternative society of Muscogee kinship. </w:t>
      </w:r>
    </w:p>
    <w:p w14:paraId="360B1E4B"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 xml:space="preserve">The dialect humor of the Fus Fixico Letters looks different from the perspective of the sofky pot. The Letters are written in a Muscogee English dialect that Posey and his contemporary Muscogee journalist and writer, Charles Gibson, called “Este </w:t>
      </w:r>
      <w:proofErr w:type="spellStart"/>
      <w:r>
        <w:rPr>
          <w:rFonts w:ascii="Times New Roman" w:hAnsi="Times New Roman" w:cs="Times New Roman"/>
        </w:rPr>
        <w:t>Charte</w:t>
      </w:r>
      <w:proofErr w:type="spellEnd"/>
      <w:r>
        <w:rPr>
          <w:rFonts w:ascii="Times New Roman" w:hAnsi="Times New Roman" w:cs="Times New Roman"/>
        </w:rPr>
        <w:t xml:space="preserve">” (in </w:t>
      </w:r>
      <w:proofErr w:type="spellStart"/>
      <w:r>
        <w:rPr>
          <w:rFonts w:ascii="Times New Roman" w:hAnsi="Times New Roman" w:cs="Times New Roman"/>
        </w:rPr>
        <w:lastRenderedPageBreak/>
        <w:t>Mvskoke</w:t>
      </w:r>
      <w:proofErr w:type="spellEnd"/>
      <w:r>
        <w:rPr>
          <w:rFonts w:ascii="Times New Roman" w:hAnsi="Times New Roman" w:cs="Times New Roman"/>
        </w:rPr>
        <w:t xml:space="preserve">, </w:t>
      </w:r>
      <w:proofErr w:type="spellStart"/>
      <w:r>
        <w:rPr>
          <w:rFonts w:ascii="Times New Roman" w:hAnsi="Times New Roman" w:cs="Times New Roman"/>
        </w:rPr>
        <w:t>stijaati</w:t>
      </w:r>
      <w:proofErr w:type="spellEnd"/>
      <w:r>
        <w:rPr>
          <w:rFonts w:ascii="Times New Roman" w:hAnsi="Times New Roman" w:cs="Times New Roman"/>
        </w:rPr>
        <w:t xml:space="preserve"> or “red man”) English (Womack 136). Whereas other forms of literary dialect in vogue across the continent at that time held their regional or ethnic subjects at a distance through the technique of the frame narrative, Fus Fixico’s </w:t>
      </w:r>
      <w:proofErr w:type="gramStart"/>
      <w:r>
        <w:rPr>
          <w:rFonts w:ascii="Times New Roman" w:hAnsi="Times New Roman" w:cs="Times New Roman"/>
        </w:rPr>
        <w:t>first person</w:t>
      </w:r>
      <w:proofErr w:type="gramEnd"/>
      <w:r>
        <w:rPr>
          <w:rFonts w:ascii="Times New Roman" w:hAnsi="Times New Roman" w:cs="Times New Roman"/>
        </w:rPr>
        <w:t xml:space="preserve"> reportage of his friends’ conversations in Este </w:t>
      </w:r>
      <w:proofErr w:type="spellStart"/>
      <w:r>
        <w:rPr>
          <w:rFonts w:ascii="Times New Roman" w:hAnsi="Times New Roman" w:cs="Times New Roman"/>
        </w:rPr>
        <w:t>Charte</w:t>
      </w:r>
      <w:proofErr w:type="spellEnd"/>
      <w:r>
        <w:rPr>
          <w:rFonts w:ascii="Times New Roman" w:hAnsi="Times New Roman" w:cs="Times New Roman"/>
        </w:rPr>
        <w:t xml:space="preserve"> English conjures for his readers “an extremely strong sense of place” and community (136). Previous scholarship that has emphasized the political satire of the Letters (of which there is plenty) tends to overlook the local scene in favor of the national. The Letters’ comedy rises from conversations between “full blood” Muscogee friends Hotgun, </w:t>
      </w:r>
      <w:proofErr w:type="spellStart"/>
      <w:r>
        <w:rPr>
          <w:rFonts w:ascii="Times New Roman" w:hAnsi="Times New Roman" w:cs="Times New Roman"/>
        </w:rPr>
        <w:t>Toofpafka</w:t>
      </w:r>
      <w:proofErr w:type="spellEnd"/>
      <w:r>
        <w:rPr>
          <w:rFonts w:ascii="Times New Roman" w:hAnsi="Times New Roman" w:cs="Times New Roman"/>
        </w:rPr>
        <w:t xml:space="preserve"> Micco, Kono Harjo, Wolf Warrior, and Fus Fixico and their thoughts on Indian Territory politics. While sometimes Fus and his friends “bump up against the changing times,” their conservatism is rarely the butt of the joke (136). Instead, the groups’ jokes and barbs are primarily a means of exchange: the social language that constructs the Muscogee community. Viewing Posey’s dialect humor this way does not mean that the Letters construct Muscogee community only in antagonistic relation to outside politics. On the contrary, the Letters do not revolve around their political satire; the humor serves as the means to keep the fabric of the community strong. </w:t>
      </w:r>
    </w:p>
    <w:p w14:paraId="6395FCEF" w14:textId="77777777" w:rsidR="00287C65" w:rsidRDefault="00287C65" w:rsidP="00287C65">
      <w:pPr>
        <w:spacing w:line="480" w:lineRule="auto"/>
        <w:ind w:firstLine="720"/>
      </w:pPr>
      <w:r>
        <w:rPr>
          <w:rFonts w:ascii="Times New Roman" w:hAnsi="Times New Roman" w:cs="Times New Roman"/>
        </w:rPr>
        <w:t xml:space="preserve">Finally, I contend, as I said in the beginning of this chapter, that viewing the Letters from the vantage point of the sofky pot provides scholarship with a new view of Posey’s Muscogee politics, one not determined by a limiting tension between tradition and “progress.” In </w:t>
      </w:r>
      <w:r>
        <w:rPr>
          <w:rFonts w:ascii="Times New Roman" w:hAnsi="Times New Roman" w:cs="Times New Roman"/>
          <w:i/>
        </w:rPr>
        <w:t xml:space="preserve">Red on Red </w:t>
      </w:r>
      <w:r>
        <w:rPr>
          <w:rFonts w:ascii="Times New Roman" w:hAnsi="Times New Roman" w:cs="Times New Roman"/>
        </w:rPr>
        <w:t xml:space="preserve">(1999) Craig Womack delineated a new “more Muskogee-centric portrait of Posey,” one that emphasizes his “immersion in Creek nationalism, </w:t>
      </w:r>
      <w:r>
        <w:rPr>
          <w:rFonts w:ascii="Times New Roman" w:hAnsi="Times New Roman" w:cs="Times New Roman"/>
        </w:rPr>
        <w:lastRenderedPageBreak/>
        <w:t xml:space="preserve">history, politics, and culture” (132). Womack’s version of Posey is a complicated figure: a champion of Muscogee sovereignty, yet one who believes firmly in the promise of progress for Indian Territory and who remains “ambivalent…about Creek traditionalism” (134). My focus on the Posey of the sofky pot builds on Womack’s portrayal by investigating more thoroughly Posey’s multi-faceted portrayals of Muscogee traditionalism in and beyond the Fus Fixico Letters. What emerges is a portrait of Posey that refuses to be defined on a spectrum of non-Native “progressivism,” and whose values are those of kinship, reciprocity, and justice for Muscogee communities. </w:t>
      </w:r>
    </w:p>
    <w:p w14:paraId="0C1546ED"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 xml:space="preserve">I begin by demonstrating the recurrence of the sofky pot motif in Posey’s early writings while enrolled as a student at Bacone Indian University. Then, I present new readings of some of the Fus Fixico Letters emphasizing the internal, community-facing focus of their putatively outward-facing political satire. The Letters, I show, are not only about lampooning Indian Territory politics; they also seek to sustain Muscogee community through a turbulent moment in the people’s history. Finally, I conclude this section with a brief analysis of Posey’s use of the Este </w:t>
      </w:r>
      <w:proofErr w:type="spellStart"/>
      <w:r>
        <w:rPr>
          <w:rFonts w:ascii="Times New Roman" w:hAnsi="Times New Roman" w:cs="Times New Roman"/>
        </w:rPr>
        <w:t>Charte</w:t>
      </w:r>
      <w:proofErr w:type="spellEnd"/>
      <w:r>
        <w:rPr>
          <w:rFonts w:ascii="Times New Roman" w:hAnsi="Times New Roman" w:cs="Times New Roman"/>
        </w:rPr>
        <w:t xml:space="preserve"> dialect and its relation to his community-focused politics.</w:t>
      </w:r>
    </w:p>
    <w:p w14:paraId="771A18EB" w14:textId="77777777" w:rsidR="00287C65" w:rsidRDefault="00287C65" w:rsidP="00287C65">
      <w:pPr>
        <w:spacing w:line="480" w:lineRule="auto"/>
        <w:rPr>
          <w:rFonts w:ascii="Times New Roman" w:hAnsi="Times New Roman" w:cs="Times New Roman"/>
        </w:rPr>
      </w:pPr>
      <w:r>
        <w:rPr>
          <w:rFonts w:ascii="Times New Roman" w:hAnsi="Times New Roman" w:cs="Times New Roman"/>
        </w:rPr>
        <w:t>Posey’s character and sense of humor developed out of his tight-knit Muscogee kinship network. As a youth, he spent his days among the Upper Creek communities of Tuskegee and Bald Hill, in Indian Territory (Littlefield 11-21).</w:t>
      </w:r>
      <w:r>
        <w:rPr>
          <w:rFonts w:ascii="Times New Roman" w:hAnsi="Times New Roman" w:cs="Times New Roman"/>
          <w:vertAlign w:val="superscript"/>
        </w:rPr>
        <w:footnoteReference w:id="71"/>
      </w:r>
      <w:r>
        <w:rPr>
          <w:rFonts w:ascii="Times New Roman" w:hAnsi="Times New Roman" w:cs="Times New Roman"/>
        </w:rPr>
        <w:t xml:space="preserve"> His mother, Nancy Posey, recited </w:t>
      </w:r>
      <w:r>
        <w:rPr>
          <w:rFonts w:ascii="Times New Roman" w:hAnsi="Times New Roman" w:cs="Times New Roman"/>
        </w:rPr>
        <w:lastRenderedPageBreak/>
        <w:t xml:space="preserve">to Alexander the traditional Muscogee stories, such as the misadventures of the trickster </w:t>
      </w:r>
      <w:proofErr w:type="spellStart"/>
      <w:r>
        <w:rPr>
          <w:rFonts w:ascii="Times New Roman" w:hAnsi="Times New Roman" w:cs="Times New Roman"/>
        </w:rPr>
        <w:t>Chufee</w:t>
      </w:r>
      <w:proofErr w:type="spellEnd"/>
      <w:r>
        <w:rPr>
          <w:rFonts w:ascii="Times New Roman" w:hAnsi="Times New Roman" w:cs="Times New Roman"/>
        </w:rPr>
        <w:t xml:space="preserve">. “According to her children [Nancy] was a gifted storyteller who occupied their time during winter nights with tales of their people’s creation, migration, and history and of the legendary personages and animals that peopled that mystery world of long ago” (Littlefield 24). Nancy was a member of the prominent Wind Clan and since clan membership is passed down matrilineally among the Muscogees, Alexander belonged to the Wind Clan, too. In one version of the Muscogee story about the creation of the clans as recorded by non-Native historian Angie Debo, long ago a heavy fog descended upon the land and swallowed up everything. As the people wandered lost in the fog, they bumped into each other and grasped hands, thus forming clans. Sometimes these groups would encounter an animal in the fog and </w:t>
      </w:r>
      <w:proofErr w:type="gramStart"/>
      <w:r>
        <w:rPr>
          <w:rFonts w:ascii="Times New Roman" w:hAnsi="Times New Roman" w:cs="Times New Roman"/>
        </w:rPr>
        <w:t>took</w:t>
      </w:r>
      <w:proofErr w:type="gramEnd"/>
      <w:r>
        <w:rPr>
          <w:rFonts w:ascii="Times New Roman" w:hAnsi="Times New Roman" w:cs="Times New Roman"/>
        </w:rPr>
        <w:t xml:space="preserve"> it as their clan totem. When a wind from the east finally dispelled the fog, the easternmost group of people who didn’t have an animal and who were the first to see the land and sky became the Wind clan (15).</w:t>
      </w:r>
      <w:r>
        <w:rPr>
          <w:rFonts w:ascii="Times New Roman" w:hAnsi="Times New Roman" w:cs="Times New Roman"/>
          <w:vertAlign w:val="superscript"/>
        </w:rPr>
        <w:footnoteReference w:id="72"/>
      </w:r>
      <w:r>
        <w:rPr>
          <w:rFonts w:ascii="Times New Roman" w:hAnsi="Times New Roman" w:cs="Times New Roman"/>
        </w:rPr>
        <w:t xml:space="preserve"> </w:t>
      </w:r>
    </w:p>
    <w:p w14:paraId="3F3AE48F"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 xml:space="preserve"> At Bald Hill, Posey grew up within a few miles of many of his maternal relatives and clan fellows (Littlefield 35). Throughout Alexander’s childhood, the Posey family </w:t>
      </w:r>
      <w:r>
        <w:rPr>
          <w:rFonts w:ascii="Times New Roman" w:hAnsi="Times New Roman" w:cs="Times New Roman"/>
        </w:rPr>
        <w:lastRenderedPageBreak/>
        <w:t xml:space="preserve">attended services at the Tuskegee town Baptist church, where Nancy’s father, Alexander’s grandfather, </w:t>
      </w:r>
      <w:proofErr w:type="spellStart"/>
      <w:r>
        <w:rPr>
          <w:rFonts w:ascii="Times New Roman" w:hAnsi="Times New Roman" w:cs="Times New Roman"/>
        </w:rPr>
        <w:t>Pahosa</w:t>
      </w:r>
      <w:proofErr w:type="spellEnd"/>
      <w:r>
        <w:rPr>
          <w:rFonts w:ascii="Times New Roman" w:hAnsi="Times New Roman" w:cs="Times New Roman"/>
        </w:rPr>
        <w:t xml:space="preserve"> Harjo Phillips, was pastor (34). </w:t>
      </w:r>
      <w:proofErr w:type="gramStart"/>
      <w:r>
        <w:rPr>
          <w:rFonts w:ascii="Times New Roman" w:hAnsi="Times New Roman" w:cs="Times New Roman"/>
        </w:rPr>
        <w:t>Clan</w:t>
      </w:r>
      <w:proofErr w:type="gramEnd"/>
      <w:r>
        <w:rPr>
          <w:rFonts w:ascii="Times New Roman" w:hAnsi="Times New Roman" w:cs="Times New Roman"/>
        </w:rPr>
        <w:t xml:space="preserve"> and family members traveled from miles around for weekly services, gathering in great numbers in vast encampments around the church grounds (34). In this setting, young Alexander socialized with his kin and heard hymns and prayers recited in </w:t>
      </w:r>
      <w:proofErr w:type="spellStart"/>
      <w:r>
        <w:rPr>
          <w:rFonts w:ascii="Times New Roman" w:hAnsi="Times New Roman" w:cs="Times New Roman"/>
        </w:rPr>
        <w:t>Mvskoke</w:t>
      </w:r>
      <w:proofErr w:type="spellEnd"/>
      <w:r>
        <w:rPr>
          <w:rFonts w:ascii="Times New Roman" w:hAnsi="Times New Roman" w:cs="Times New Roman"/>
        </w:rPr>
        <w:t>, the Muscogee language. No doubt he also turned his talent for trickery to teasing the assembled churchgoers, a favorite pastime among the Muscogees (39). Later Muskogee poet Louis Little Coon Oliver remembers attending “Indian church gatherings” in his youth in the Muskogee town of Okfuskee, Oklahoma, where he noticed that the preachers would often go off together under the pretense of having intense religious conversations but were often only telling jokes (53).</w:t>
      </w:r>
      <w:r>
        <w:rPr>
          <w:rFonts w:ascii="Times New Roman" w:hAnsi="Times New Roman" w:cs="Times New Roman"/>
          <w:vertAlign w:val="superscript"/>
        </w:rPr>
        <w:footnoteReference w:id="73"/>
      </w:r>
      <w:r>
        <w:rPr>
          <w:rFonts w:ascii="Times New Roman" w:hAnsi="Times New Roman" w:cs="Times New Roman"/>
        </w:rPr>
        <w:t xml:space="preserve"> Alexander and his adopted brother, Tom Sulphur, were notorious for their practical jokes played at the expense of family and neighbors alike (26-7). In addition to this clan society, Posey was also influenced by his father, Hence Posey’s, tall tales embellished from real life and featuring neighbors and personalities from around Bald Hill, like the </w:t>
      </w:r>
      <w:proofErr w:type="spellStart"/>
      <w:r>
        <w:rPr>
          <w:rFonts w:ascii="Times New Roman" w:hAnsi="Times New Roman" w:cs="Times New Roman"/>
        </w:rPr>
        <w:t>Graysons</w:t>
      </w:r>
      <w:proofErr w:type="spellEnd"/>
      <w:r>
        <w:rPr>
          <w:rFonts w:ascii="Times New Roman" w:hAnsi="Times New Roman" w:cs="Times New Roman"/>
        </w:rPr>
        <w:t xml:space="preserve">, a family of Muscogee freedmen, or the old prophet </w:t>
      </w:r>
      <w:proofErr w:type="spellStart"/>
      <w:r>
        <w:rPr>
          <w:rFonts w:ascii="Times New Roman" w:hAnsi="Times New Roman" w:cs="Times New Roman"/>
        </w:rPr>
        <w:t>Chalogee</w:t>
      </w:r>
      <w:proofErr w:type="spellEnd"/>
      <w:r>
        <w:rPr>
          <w:rFonts w:ascii="Times New Roman" w:hAnsi="Times New Roman" w:cs="Times New Roman"/>
        </w:rPr>
        <w:t xml:space="preserve"> who once, </w:t>
      </w:r>
      <w:proofErr w:type="gramStart"/>
      <w:r>
        <w:rPr>
          <w:rFonts w:ascii="Times New Roman" w:hAnsi="Times New Roman" w:cs="Times New Roman"/>
        </w:rPr>
        <w:t>Hence</w:t>
      </w:r>
      <w:proofErr w:type="gramEnd"/>
      <w:r>
        <w:rPr>
          <w:rFonts w:ascii="Times New Roman" w:hAnsi="Times New Roman" w:cs="Times New Roman"/>
        </w:rPr>
        <w:t xml:space="preserve"> related, accidentally flooded Limbo Creek while trying to summon rain for the local farmers (32). Hence told his son his stories about the </w:t>
      </w:r>
      <w:proofErr w:type="spellStart"/>
      <w:r>
        <w:rPr>
          <w:rFonts w:ascii="Times New Roman" w:hAnsi="Times New Roman" w:cs="Times New Roman"/>
        </w:rPr>
        <w:t>Graysons</w:t>
      </w:r>
      <w:proofErr w:type="spellEnd"/>
      <w:r>
        <w:rPr>
          <w:rFonts w:ascii="Times New Roman" w:hAnsi="Times New Roman" w:cs="Times New Roman"/>
        </w:rPr>
        <w:t xml:space="preserve"> in an affected Black dialect, which influenced Posey’s later early dialect stories featuring fictionalized versions of their freedmen neighbors (38).      </w:t>
      </w:r>
    </w:p>
    <w:p w14:paraId="515F1F16"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lastRenderedPageBreak/>
        <w:t xml:space="preserve">When he was fourteen, Posey’s father determined that the best path forward for his eldest son would be to learn to speak fluent English and to earn an American-style education. Hence’s decision was based </w:t>
      </w:r>
      <w:proofErr w:type="gramStart"/>
      <w:r>
        <w:rPr>
          <w:rFonts w:ascii="Times New Roman" w:hAnsi="Times New Roman" w:cs="Times New Roman"/>
        </w:rPr>
        <w:t>in</w:t>
      </w:r>
      <w:proofErr w:type="gramEnd"/>
      <w:r>
        <w:rPr>
          <w:rFonts w:ascii="Times New Roman" w:hAnsi="Times New Roman" w:cs="Times New Roman"/>
        </w:rPr>
        <w:t xml:space="preserve"> his conviction that such skills were necessary for his children to thrive in the world they were inheriting. At fifteen, Posey enrolled at Bacone Indian University in Muskogee town. Bacone was established in 1880 by Baptist missionaries in order to train Indigenous youths to become teachers and missionaries. In the twentieth century, Bacone would transform from a site of religious instruction and cultural assimilation to become “a site where Indian identities could flourish” (Neuman 1). Historian Lisa K. Neuman describes the unique atmosphere that developed at Bacone in the 1930’s and 40’s where teachers and administrators invited Indigenous pupils to engage in the creative exploration of their Native identities. Through a process Neuman calls “Indian play,” Native students “used humor and inventive wordplay” to engage and negotiate popular images of “Indian” identity circulating in both Native and non-Native contexts to the ends of “challenging white stereotypes of Indians, exposing the differences among diverse American Indian communities, recognizing the effects of colonialism on American Indians,…questioning how schools run by European Americans could benefit Native students” and developing “important new Indian identities” (20). </w:t>
      </w:r>
    </w:p>
    <w:p w14:paraId="4938605D"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 xml:space="preserve">Though the curricular revolution Neuman describes took place half a century after Posey matriculated to Bacone in 1890, Posey’s time at Bacone was nevertheless marked by his exploration of “Indian identities.”  Though “progressive” in their espousal of education, republican government, and other markers of the attainment of “civilization” </w:t>
      </w:r>
      <w:r>
        <w:rPr>
          <w:rFonts w:ascii="Times New Roman" w:hAnsi="Times New Roman" w:cs="Times New Roman"/>
        </w:rPr>
        <w:lastRenderedPageBreak/>
        <w:t xml:space="preserve">measured by Western metrics, the Native identities that emerge in Posey’s school writings and orations continue to define Nativeness in terms of relationality and reciprocity, key values based in the Muscogee kinship traditions in which he was raised. For instance, in “The Indian: What of Him?” (1892), the earliest of several commencement orations he delivered to the Bacone student body between 1892 and ‘94, Posey articulates a future-looking Native identity based in a history of innovation, adaptation, and resilience: “In spite of broken treaties, obstacles, removals, privations, and fatiguing marches to unknown wilds, tribe have become nations. Within the bounds of the Indian Territory, they have founded governments, courts of justice, asylums and prisons, with such facilities as belong to a prosperous people, whose motto is to give justice and receive justice in return” (Posey, </w:t>
      </w:r>
      <w:proofErr w:type="spellStart"/>
      <w:r>
        <w:rPr>
          <w:rFonts w:ascii="Times New Roman" w:hAnsi="Times New Roman" w:cs="Times New Roman"/>
          <w:i/>
        </w:rPr>
        <w:t>Chinnubbie</w:t>
      </w:r>
      <w:proofErr w:type="spellEnd"/>
      <w:r>
        <w:rPr>
          <w:rFonts w:ascii="Times New Roman" w:hAnsi="Times New Roman" w:cs="Times New Roman"/>
        </w:rPr>
        <w:t xml:space="preserve"> 83). Progress is at the center of this picture of Native identity, the means by which peoples like the Cherokees and Muscogees continue to thrive as nations. They thrive, Posey suggests, because progress is never outside of the basic frames of kinship. In the example above, the motto “to give justice and receive justice in return” reflects values of mutual obligation, respect, and reciprocity deeply embedded in Muscogee and other Indigenous cultures. Describing Native nations’ enthusiasm for education, Posey writes: “the Indians of the Territory have granted charters for the erection of </w:t>
      </w:r>
      <w:proofErr w:type="gramStart"/>
      <w:r>
        <w:rPr>
          <w:rFonts w:ascii="Times New Roman" w:hAnsi="Times New Roman" w:cs="Times New Roman"/>
        </w:rPr>
        <w:t>institutions, and</w:t>
      </w:r>
      <w:proofErr w:type="gramEnd"/>
      <w:r>
        <w:rPr>
          <w:rFonts w:ascii="Times New Roman" w:hAnsi="Times New Roman" w:cs="Times New Roman"/>
        </w:rPr>
        <w:t xml:space="preserve"> set apart a certain per cent of their revenues for the encouragement of learning. Every neighborhood is to be favored with a </w:t>
      </w:r>
      <w:proofErr w:type="gramStart"/>
      <w:r>
        <w:rPr>
          <w:rFonts w:ascii="Times New Roman" w:hAnsi="Times New Roman" w:cs="Times New Roman"/>
        </w:rPr>
        <w:t>school house</w:t>
      </w:r>
      <w:proofErr w:type="gramEnd"/>
      <w:r>
        <w:rPr>
          <w:rFonts w:ascii="Times New Roman" w:hAnsi="Times New Roman" w:cs="Times New Roman"/>
        </w:rPr>
        <w:t xml:space="preserve"> for the instruction of its youths” (83). Posey’s emphasis on the neighborhood as the scene of instruction for Native youths reflects his understanding of </w:t>
      </w:r>
      <w:r>
        <w:rPr>
          <w:rFonts w:ascii="Times New Roman" w:hAnsi="Times New Roman" w:cs="Times New Roman"/>
        </w:rPr>
        <w:lastRenderedPageBreak/>
        <w:t xml:space="preserve">the importance of the </w:t>
      </w:r>
      <w:proofErr w:type="spellStart"/>
      <w:r>
        <w:rPr>
          <w:rFonts w:ascii="Times New Roman" w:hAnsi="Times New Roman" w:cs="Times New Roman"/>
        </w:rPr>
        <w:t>talwa</w:t>
      </w:r>
      <w:proofErr w:type="spellEnd"/>
      <w:r>
        <w:rPr>
          <w:rFonts w:ascii="Times New Roman" w:hAnsi="Times New Roman" w:cs="Times New Roman"/>
        </w:rPr>
        <w:t xml:space="preserve"> as the basic social unit of Muscogee society. His vision of education rooted in and fostered by the nurturing ties of kinship in every Muscogee town is vastly different from the genocidal model announced by Richard Henry Pratt, founder of the Carlisle Indian School, which sought to “kill the Indian to save the man.”</w:t>
      </w:r>
    </w:p>
    <w:p w14:paraId="12D5B3AB"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 xml:space="preserve"> At Bacone, Posey also wrote four stories featuring a Muscogee protagonist named </w:t>
      </w:r>
      <w:proofErr w:type="spellStart"/>
      <w:r>
        <w:rPr>
          <w:rFonts w:ascii="Times New Roman" w:hAnsi="Times New Roman" w:cs="Times New Roman"/>
        </w:rPr>
        <w:t>Chinnubbie</w:t>
      </w:r>
      <w:proofErr w:type="spellEnd"/>
      <w:r>
        <w:rPr>
          <w:rFonts w:ascii="Times New Roman" w:hAnsi="Times New Roman" w:cs="Times New Roman"/>
        </w:rPr>
        <w:t xml:space="preserve"> Harjo: “</w:t>
      </w:r>
      <w:proofErr w:type="spellStart"/>
      <w:r>
        <w:rPr>
          <w:rFonts w:ascii="Times New Roman" w:hAnsi="Times New Roman" w:cs="Times New Roman"/>
        </w:rPr>
        <w:t>Chinnubbie</w:t>
      </w:r>
      <w:proofErr w:type="spellEnd"/>
      <w:r>
        <w:rPr>
          <w:rFonts w:ascii="Times New Roman" w:hAnsi="Times New Roman" w:cs="Times New Roman"/>
        </w:rPr>
        <w:t xml:space="preserve"> Harjo, the Evil Genius of the Creeks,” “</w:t>
      </w:r>
      <w:proofErr w:type="spellStart"/>
      <w:r>
        <w:rPr>
          <w:rFonts w:ascii="Times New Roman" w:hAnsi="Times New Roman" w:cs="Times New Roman"/>
        </w:rPr>
        <w:t>Chinnubbie</w:t>
      </w:r>
      <w:proofErr w:type="spellEnd"/>
      <w:r>
        <w:rPr>
          <w:rFonts w:ascii="Times New Roman" w:hAnsi="Times New Roman" w:cs="Times New Roman"/>
        </w:rPr>
        <w:t xml:space="preserve"> and the Owl,” “</w:t>
      </w:r>
      <w:proofErr w:type="spellStart"/>
      <w:r>
        <w:rPr>
          <w:rFonts w:ascii="Times New Roman" w:hAnsi="Times New Roman" w:cs="Times New Roman"/>
        </w:rPr>
        <w:t>Chinnubbie</w:t>
      </w:r>
      <w:proofErr w:type="spellEnd"/>
      <w:r>
        <w:rPr>
          <w:rFonts w:ascii="Times New Roman" w:hAnsi="Times New Roman" w:cs="Times New Roman"/>
        </w:rPr>
        <w:t xml:space="preserve"> Scalps the Squaws,” and “</w:t>
      </w:r>
      <w:proofErr w:type="spellStart"/>
      <w:r>
        <w:rPr>
          <w:rFonts w:ascii="Times New Roman" w:hAnsi="Times New Roman" w:cs="Times New Roman"/>
        </w:rPr>
        <w:t>Chinnubbie’s</w:t>
      </w:r>
      <w:proofErr w:type="spellEnd"/>
      <w:r>
        <w:rPr>
          <w:rFonts w:ascii="Times New Roman" w:hAnsi="Times New Roman" w:cs="Times New Roman"/>
        </w:rPr>
        <w:t xml:space="preserve"> Courtship.” These stories were published in Bacone’s newsletter, the </w:t>
      </w:r>
      <w:r>
        <w:rPr>
          <w:rFonts w:ascii="Times New Roman" w:hAnsi="Times New Roman" w:cs="Times New Roman"/>
          <w:i/>
        </w:rPr>
        <w:t>B.I.U. Instructor</w:t>
      </w:r>
      <w:r>
        <w:rPr>
          <w:rFonts w:ascii="Times New Roman" w:hAnsi="Times New Roman" w:cs="Times New Roman"/>
        </w:rPr>
        <w:t>, but only the second and third stories remain.</w:t>
      </w:r>
      <w:r>
        <w:rPr>
          <w:rFonts w:ascii="Times New Roman" w:hAnsi="Times New Roman" w:cs="Times New Roman"/>
          <w:vertAlign w:val="superscript"/>
        </w:rPr>
        <w:footnoteReference w:id="74"/>
      </w:r>
      <w:r>
        <w:rPr>
          <w:rFonts w:ascii="Times New Roman" w:hAnsi="Times New Roman" w:cs="Times New Roman"/>
        </w:rPr>
        <w:t xml:space="preserve"> Posey’s biographer, Daniel Littlefield, Jr., calls the </w:t>
      </w:r>
      <w:proofErr w:type="spellStart"/>
      <w:r>
        <w:rPr>
          <w:rFonts w:ascii="Times New Roman" w:hAnsi="Times New Roman" w:cs="Times New Roman"/>
        </w:rPr>
        <w:t>Chinnubbie</w:t>
      </w:r>
      <w:proofErr w:type="spellEnd"/>
      <w:r>
        <w:rPr>
          <w:rFonts w:ascii="Times New Roman" w:hAnsi="Times New Roman" w:cs="Times New Roman"/>
        </w:rPr>
        <w:t xml:space="preserve"> stories “the most significant works” of Posey’s early period (</w:t>
      </w:r>
      <w:r>
        <w:rPr>
          <w:rFonts w:ascii="Times New Roman" w:hAnsi="Times New Roman" w:cs="Times New Roman"/>
          <w:i/>
        </w:rPr>
        <w:t xml:space="preserve">Alex Posey </w:t>
      </w:r>
      <w:r>
        <w:rPr>
          <w:rFonts w:ascii="Times New Roman" w:hAnsi="Times New Roman" w:cs="Times New Roman"/>
        </w:rPr>
        <w:t xml:space="preserve">50). Like his orations, Posey’s </w:t>
      </w:r>
      <w:proofErr w:type="spellStart"/>
      <w:r>
        <w:rPr>
          <w:rFonts w:ascii="Times New Roman" w:hAnsi="Times New Roman" w:cs="Times New Roman"/>
        </w:rPr>
        <w:t>Chinnubbie</w:t>
      </w:r>
      <w:proofErr w:type="spellEnd"/>
      <w:r>
        <w:rPr>
          <w:rFonts w:ascii="Times New Roman" w:hAnsi="Times New Roman" w:cs="Times New Roman"/>
        </w:rPr>
        <w:t xml:space="preserve"> stories explore Native identity, this time through the techniques and subjects of Muscogee oral tradition amplified with Posey’s playful wit and humor. “</w:t>
      </w:r>
      <w:proofErr w:type="spellStart"/>
      <w:r>
        <w:rPr>
          <w:rFonts w:ascii="Times New Roman" w:hAnsi="Times New Roman" w:cs="Times New Roman"/>
        </w:rPr>
        <w:t>Chinnubbie</w:t>
      </w:r>
      <w:proofErr w:type="spellEnd"/>
      <w:r>
        <w:rPr>
          <w:rFonts w:ascii="Times New Roman" w:hAnsi="Times New Roman" w:cs="Times New Roman"/>
        </w:rPr>
        <w:t xml:space="preserve"> and the Owl” (1893) is a playful interrogation of Native identity through a storytelling contest. </w:t>
      </w:r>
    </w:p>
    <w:p w14:paraId="2B5A5F78"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Chinnubbie</w:t>
      </w:r>
      <w:proofErr w:type="spellEnd"/>
      <w:r>
        <w:rPr>
          <w:rFonts w:ascii="Times New Roman" w:hAnsi="Times New Roman" w:cs="Times New Roman"/>
        </w:rPr>
        <w:t xml:space="preserve"> and the Owl” is a narratively complex sketch, consisting of a core story and two narrative frames. In the first frame, a preface, an unnamed narrator introduces </w:t>
      </w:r>
      <w:proofErr w:type="spellStart"/>
      <w:r>
        <w:rPr>
          <w:rFonts w:ascii="Times New Roman" w:hAnsi="Times New Roman" w:cs="Times New Roman"/>
        </w:rPr>
        <w:t>Chinnubbie</w:t>
      </w:r>
      <w:proofErr w:type="spellEnd"/>
      <w:r>
        <w:rPr>
          <w:rFonts w:ascii="Times New Roman" w:hAnsi="Times New Roman" w:cs="Times New Roman"/>
        </w:rPr>
        <w:t xml:space="preserve">, “a humorist of unquestioned excellence,” and explains that the story to follow comes down through oral tradition from “the prophets–the keepers of the oral library” (Posey, </w:t>
      </w:r>
      <w:proofErr w:type="spellStart"/>
      <w:r>
        <w:rPr>
          <w:rFonts w:ascii="Times New Roman" w:hAnsi="Times New Roman" w:cs="Times New Roman"/>
          <w:i/>
        </w:rPr>
        <w:t>Chinnubbie</w:t>
      </w:r>
      <w:proofErr w:type="spellEnd"/>
      <w:r>
        <w:rPr>
          <w:rFonts w:ascii="Times New Roman" w:hAnsi="Times New Roman" w:cs="Times New Roman"/>
          <w:i/>
        </w:rPr>
        <w:t xml:space="preserve"> </w:t>
      </w:r>
      <w:r>
        <w:rPr>
          <w:rFonts w:ascii="Times New Roman" w:hAnsi="Times New Roman" w:cs="Times New Roman"/>
        </w:rPr>
        <w:t xml:space="preserve">35). The second frame sets the scene, “the twilight of a lovely summer day, while the chiefs, medicine men, and warriors were grouped in a </w:t>
      </w:r>
      <w:r>
        <w:rPr>
          <w:rFonts w:ascii="Times New Roman" w:hAnsi="Times New Roman" w:cs="Times New Roman"/>
        </w:rPr>
        <w:lastRenderedPageBreak/>
        <w:t xml:space="preserve">circle around the blazing campfire” smoking and telling stories (35). A prophet in the group calls for a storytelling contest and announces that the teller of the most original personal tale shall take home a prize, a “costly bow and twelve arrows” (35). After some disappointing stories, </w:t>
      </w:r>
      <w:proofErr w:type="spellStart"/>
      <w:r>
        <w:rPr>
          <w:rFonts w:ascii="Times New Roman" w:hAnsi="Times New Roman" w:cs="Times New Roman"/>
        </w:rPr>
        <w:t>Chinnubbie</w:t>
      </w:r>
      <w:proofErr w:type="spellEnd"/>
      <w:r>
        <w:rPr>
          <w:rFonts w:ascii="Times New Roman" w:hAnsi="Times New Roman" w:cs="Times New Roman"/>
        </w:rPr>
        <w:t xml:space="preserve"> joins the contest and tells his tale. In his youth, he relates, he wandered from home and became hopelessly lost in a deep forest. Eventually he came upon an owl and is transfixed with comical horror. The owl has apparently asked him the question, “Who?” paralyzing </w:t>
      </w:r>
      <w:proofErr w:type="spellStart"/>
      <w:r>
        <w:rPr>
          <w:rFonts w:ascii="Times New Roman" w:hAnsi="Times New Roman" w:cs="Times New Roman"/>
        </w:rPr>
        <w:t>Chinnubbie</w:t>
      </w:r>
      <w:proofErr w:type="spellEnd"/>
      <w:r>
        <w:rPr>
          <w:rFonts w:ascii="Times New Roman" w:hAnsi="Times New Roman" w:cs="Times New Roman"/>
        </w:rPr>
        <w:t xml:space="preserve"> with indecision. He finally determines to outwit the owl by asking it questions and walking around its tree in a wide circle. The owl mimics everything </w:t>
      </w:r>
      <w:proofErr w:type="spellStart"/>
      <w:r>
        <w:rPr>
          <w:rFonts w:ascii="Times New Roman" w:hAnsi="Times New Roman" w:cs="Times New Roman"/>
        </w:rPr>
        <w:t>Chinnubbie</w:t>
      </w:r>
      <w:proofErr w:type="spellEnd"/>
      <w:r>
        <w:rPr>
          <w:rFonts w:ascii="Times New Roman" w:hAnsi="Times New Roman" w:cs="Times New Roman"/>
        </w:rPr>
        <w:t xml:space="preserve"> does, repeating all his questions back to him and following his circular </w:t>
      </w:r>
      <w:proofErr w:type="gramStart"/>
      <w:r>
        <w:rPr>
          <w:rFonts w:ascii="Times New Roman" w:hAnsi="Times New Roman" w:cs="Times New Roman"/>
        </w:rPr>
        <w:t>movement with</w:t>
      </w:r>
      <w:proofErr w:type="gramEnd"/>
      <w:r>
        <w:rPr>
          <w:rFonts w:ascii="Times New Roman" w:hAnsi="Times New Roman" w:cs="Times New Roman"/>
        </w:rPr>
        <w:t xml:space="preserve"> by turning his head until the owl twists its head so far that it pops off its body. The owl commands </w:t>
      </w:r>
      <w:proofErr w:type="spellStart"/>
      <w:r>
        <w:rPr>
          <w:rFonts w:ascii="Times New Roman" w:hAnsi="Times New Roman" w:cs="Times New Roman"/>
        </w:rPr>
        <w:t>Chinnubbie</w:t>
      </w:r>
      <w:proofErr w:type="spellEnd"/>
      <w:r>
        <w:rPr>
          <w:rFonts w:ascii="Times New Roman" w:hAnsi="Times New Roman" w:cs="Times New Roman"/>
        </w:rPr>
        <w:t xml:space="preserve"> to “Take my head and place it in your belt, it will guide you to your home in safety!” (38) When </w:t>
      </w:r>
      <w:proofErr w:type="spellStart"/>
      <w:r>
        <w:rPr>
          <w:rFonts w:ascii="Times New Roman" w:hAnsi="Times New Roman" w:cs="Times New Roman"/>
        </w:rPr>
        <w:t>Chinnubbie</w:t>
      </w:r>
      <w:proofErr w:type="spellEnd"/>
      <w:r>
        <w:rPr>
          <w:rFonts w:ascii="Times New Roman" w:hAnsi="Times New Roman" w:cs="Times New Roman"/>
        </w:rPr>
        <w:t xml:space="preserve"> finishes his story, the prophet declares him the winner of the contest. Departing from the group the next morning, </w:t>
      </w:r>
      <w:proofErr w:type="spellStart"/>
      <w:r>
        <w:rPr>
          <w:rFonts w:ascii="Times New Roman" w:hAnsi="Times New Roman" w:cs="Times New Roman"/>
        </w:rPr>
        <w:t>Chinnubbie</w:t>
      </w:r>
      <w:proofErr w:type="spellEnd"/>
      <w:r>
        <w:rPr>
          <w:rFonts w:ascii="Times New Roman" w:hAnsi="Times New Roman" w:cs="Times New Roman"/>
        </w:rPr>
        <w:t xml:space="preserve"> offers one last mysterious but stirring speech: “Few, few there are on whom such a fortune smiles and many, many on whom it frowns. Few are born to win. Warn, ye gods, if such as ye there be, warn, I pray, the bears, the fallow </w:t>
      </w:r>
      <w:proofErr w:type="spellStart"/>
      <w:r>
        <w:rPr>
          <w:rFonts w:ascii="Times New Roman" w:hAnsi="Times New Roman" w:cs="Times New Roman"/>
        </w:rPr>
        <w:t>deers</w:t>
      </w:r>
      <w:proofErr w:type="spellEnd"/>
      <w:r>
        <w:rPr>
          <w:rFonts w:ascii="Times New Roman" w:hAnsi="Times New Roman" w:cs="Times New Roman"/>
        </w:rPr>
        <w:t xml:space="preserve">, the </w:t>
      </w:r>
      <w:proofErr w:type="spellStart"/>
      <w:r>
        <w:rPr>
          <w:rFonts w:ascii="Times New Roman" w:hAnsi="Times New Roman" w:cs="Times New Roman"/>
        </w:rPr>
        <w:t>bisons</w:t>
      </w:r>
      <w:proofErr w:type="spellEnd"/>
      <w:r>
        <w:rPr>
          <w:rFonts w:ascii="Times New Roman" w:hAnsi="Times New Roman" w:cs="Times New Roman"/>
        </w:rPr>
        <w:t xml:space="preserve">, the pumas of the forest, and the foes of my heroic clan!” (39) and departs. Though the party expects him back that night, it is years before </w:t>
      </w:r>
      <w:proofErr w:type="spellStart"/>
      <w:r>
        <w:rPr>
          <w:rFonts w:ascii="Times New Roman" w:hAnsi="Times New Roman" w:cs="Times New Roman"/>
        </w:rPr>
        <w:t>Chinnubbie</w:t>
      </w:r>
      <w:proofErr w:type="spellEnd"/>
      <w:r>
        <w:rPr>
          <w:rFonts w:ascii="Times New Roman" w:hAnsi="Times New Roman" w:cs="Times New Roman"/>
        </w:rPr>
        <w:t xml:space="preserve"> returns. In the conclusion of the story, the narrator relates that </w:t>
      </w:r>
      <w:proofErr w:type="spellStart"/>
      <w:r>
        <w:rPr>
          <w:rFonts w:ascii="Times New Roman" w:hAnsi="Times New Roman" w:cs="Times New Roman"/>
        </w:rPr>
        <w:t>Chinnubbie’s</w:t>
      </w:r>
      <w:proofErr w:type="spellEnd"/>
      <w:r>
        <w:rPr>
          <w:rFonts w:ascii="Times New Roman" w:hAnsi="Times New Roman" w:cs="Times New Roman"/>
        </w:rPr>
        <w:t xml:space="preserve"> belated return was met with “wild enthusiasm” and that he “was not rebuked for the inexcusable </w:t>
      </w:r>
      <w:r>
        <w:rPr>
          <w:rFonts w:ascii="Times New Roman" w:hAnsi="Times New Roman" w:cs="Times New Roman"/>
        </w:rPr>
        <w:lastRenderedPageBreak/>
        <w:t xml:space="preserve">falsehood that he had told on the morning of his setting out, for that was forgotten in the ecstasy of joy on his reappearance” (39). </w:t>
      </w:r>
    </w:p>
    <w:p w14:paraId="450D48D9"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 xml:space="preserve">Posey’s story is clearly influenced by Muscogee oral culture as Alexia Kosmider and others have pointed out. The scene of the campfire storytelling contest “mirrors Creek verbal tradition” where tellers would swap tales in a ritualized fashion (Kosmider 72). Furthermore, Posey’s story alludes to Muscogee peoples’ understanding of stories as communal property, “the oral library,” which are handed down from generation to generation, changing and adapting but always transmitting some wisdom (72-3). Community is constructed through the act of storytelling, “the campfire is made more cheerful and happier when such stories are told, and the mind is released from the bonds of its cares and solicitudes” (Posey, </w:t>
      </w:r>
      <w:proofErr w:type="spellStart"/>
      <w:r>
        <w:rPr>
          <w:rFonts w:ascii="Times New Roman" w:hAnsi="Times New Roman" w:cs="Times New Roman"/>
          <w:i/>
        </w:rPr>
        <w:t>Chinnubbie</w:t>
      </w:r>
      <w:proofErr w:type="spellEnd"/>
      <w:r>
        <w:rPr>
          <w:rFonts w:ascii="Times New Roman" w:hAnsi="Times New Roman" w:cs="Times New Roman"/>
          <w:i/>
        </w:rPr>
        <w:t xml:space="preserve"> </w:t>
      </w:r>
      <w:r>
        <w:rPr>
          <w:rFonts w:ascii="Times New Roman" w:hAnsi="Times New Roman" w:cs="Times New Roman"/>
        </w:rPr>
        <w:t xml:space="preserve">36). </w:t>
      </w:r>
      <w:proofErr w:type="spellStart"/>
      <w:r>
        <w:rPr>
          <w:rFonts w:ascii="Times New Roman" w:hAnsi="Times New Roman" w:cs="Times New Roman"/>
        </w:rPr>
        <w:t>Chinnubbie’s</w:t>
      </w:r>
      <w:proofErr w:type="spellEnd"/>
      <w:r>
        <w:rPr>
          <w:rFonts w:ascii="Times New Roman" w:hAnsi="Times New Roman" w:cs="Times New Roman"/>
        </w:rPr>
        <w:t xml:space="preserve"> campfire is another aspect of the sacred fires of the Muscogee </w:t>
      </w:r>
      <w:proofErr w:type="spellStart"/>
      <w:r>
        <w:rPr>
          <w:rFonts w:ascii="Times New Roman" w:hAnsi="Times New Roman" w:cs="Times New Roman"/>
        </w:rPr>
        <w:t>talwas</w:t>
      </w:r>
      <w:proofErr w:type="spellEnd"/>
      <w:r>
        <w:rPr>
          <w:rFonts w:ascii="Times New Roman" w:hAnsi="Times New Roman" w:cs="Times New Roman"/>
        </w:rPr>
        <w:t xml:space="preserve">, the central gathering point of the “people of one fire,” another version of the sofky pot.   </w:t>
      </w:r>
    </w:p>
    <w:p w14:paraId="29B086E6"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 xml:space="preserve">Moreover, resolution in each of the complex story’s frames involves some return to this community and to the estranged individual’s place within it. The central conflict of </w:t>
      </w:r>
      <w:proofErr w:type="spellStart"/>
      <w:r>
        <w:rPr>
          <w:rFonts w:ascii="Times New Roman" w:hAnsi="Times New Roman" w:cs="Times New Roman"/>
        </w:rPr>
        <w:t>Chinnubbie’s</w:t>
      </w:r>
      <w:proofErr w:type="spellEnd"/>
      <w:r>
        <w:rPr>
          <w:rFonts w:ascii="Times New Roman" w:hAnsi="Times New Roman" w:cs="Times New Roman"/>
        </w:rPr>
        <w:t xml:space="preserve"> story, the existential crisis of the owl’s question “Who?”, is resolved through his </w:t>
      </w:r>
      <w:proofErr w:type="spellStart"/>
      <w:r>
        <w:rPr>
          <w:rFonts w:ascii="Times New Roman" w:hAnsi="Times New Roman" w:cs="Times New Roman"/>
        </w:rPr>
        <w:t>reimmersion</w:t>
      </w:r>
      <w:proofErr w:type="spellEnd"/>
      <w:r>
        <w:rPr>
          <w:rFonts w:ascii="Times New Roman" w:hAnsi="Times New Roman" w:cs="Times New Roman"/>
        </w:rPr>
        <w:t xml:space="preserve"> in Muscogee community through the medium of storytelling. The youthful </w:t>
      </w:r>
      <w:proofErr w:type="spellStart"/>
      <w:r>
        <w:rPr>
          <w:rFonts w:ascii="Times New Roman" w:hAnsi="Times New Roman" w:cs="Times New Roman"/>
        </w:rPr>
        <w:t>Chinnubbie</w:t>
      </w:r>
      <w:proofErr w:type="spellEnd"/>
      <w:r>
        <w:rPr>
          <w:rFonts w:ascii="Times New Roman" w:hAnsi="Times New Roman" w:cs="Times New Roman"/>
        </w:rPr>
        <w:t xml:space="preserve"> begins his story lost in “pathless forests.” The lack of paths in the forests is a symbolic separation from his people, connections which are restored once </w:t>
      </w:r>
      <w:proofErr w:type="spellStart"/>
      <w:r>
        <w:rPr>
          <w:rFonts w:ascii="Times New Roman" w:hAnsi="Times New Roman" w:cs="Times New Roman"/>
        </w:rPr>
        <w:t>Chinnubbie</w:t>
      </w:r>
      <w:proofErr w:type="spellEnd"/>
      <w:r>
        <w:rPr>
          <w:rFonts w:ascii="Times New Roman" w:hAnsi="Times New Roman" w:cs="Times New Roman"/>
        </w:rPr>
        <w:t xml:space="preserve"> solves the owl’s strange riddle. When </w:t>
      </w:r>
      <w:proofErr w:type="spellStart"/>
      <w:r>
        <w:rPr>
          <w:rFonts w:ascii="Times New Roman" w:hAnsi="Times New Roman" w:cs="Times New Roman"/>
        </w:rPr>
        <w:t>Chinnubbie</w:t>
      </w:r>
      <w:proofErr w:type="spellEnd"/>
      <w:r>
        <w:rPr>
          <w:rFonts w:ascii="Times New Roman" w:hAnsi="Times New Roman" w:cs="Times New Roman"/>
        </w:rPr>
        <w:t xml:space="preserve"> claims the owl’s head that will guide him back to his town, it is described as both a physical return as well as a </w:t>
      </w:r>
      <w:r>
        <w:rPr>
          <w:rFonts w:ascii="Times New Roman" w:hAnsi="Times New Roman" w:cs="Times New Roman"/>
        </w:rPr>
        <w:lastRenderedPageBreak/>
        <w:t xml:space="preserve">return to the embrace of kinship: “Like a child obeying the command of its affectionate mother, I heeded the behest of the falling head, and…I journeyed in safety back to my home, from which I had long been absent” (38). After having won the </w:t>
      </w:r>
      <w:proofErr w:type="spellStart"/>
      <w:r>
        <w:rPr>
          <w:rFonts w:ascii="Times New Roman" w:hAnsi="Times New Roman" w:cs="Times New Roman"/>
        </w:rPr>
        <w:t>the</w:t>
      </w:r>
      <w:proofErr w:type="spellEnd"/>
      <w:r>
        <w:rPr>
          <w:rFonts w:ascii="Times New Roman" w:hAnsi="Times New Roman" w:cs="Times New Roman"/>
        </w:rPr>
        <w:t xml:space="preserve"> prize of the bow and arrows as well as the accolades of the prophet who proclaims his story “as true as the reality of day and night,” </w:t>
      </w:r>
      <w:proofErr w:type="spellStart"/>
      <w:r>
        <w:rPr>
          <w:rFonts w:ascii="Times New Roman" w:hAnsi="Times New Roman" w:cs="Times New Roman"/>
        </w:rPr>
        <w:t>Chinnubbie</w:t>
      </w:r>
      <w:proofErr w:type="spellEnd"/>
      <w:r>
        <w:rPr>
          <w:rFonts w:ascii="Times New Roman" w:hAnsi="Times New Roman" w:cs="Times New Roman"/>
        </w:rPr>
        <w:t xml:space="preserve"> strengthens the bonds of kinship through his warning to the game of the forest about the hunting prowess of “my heroic clan” (39). Even the humorously deflating ending of Posey’s story–</w:t>
      </w:r>
      <w:proofErr w:type="spellStart"/>
      <w:r>
        <w:rPr>
          <w:rFonts w:ascii="Times New Roman" w:hAnsi="Times New Roman" w:cs="Times New Roman"/>
        </w:rPr>
        <w:t>Chinnubbie</w:t>
      </w:r>
      <w:proofErr w:type="spellEnd"/>
      <w:r>
        <w:rPr>
          <w:rFonts w:ascii="Times New Roman" w:hAnsi="Times New Roman" w:cs="Times New Roman"/>
        </w:rPr>
        <w:t xml:space="preserve"> does not go hunting, but aimlessly wanders on another “tramp”—is marked by feasting and dancing at </w:t>
      </w:r>
      <w:proofErr w:type="spellStart"/>
      <w:r>
        <w:rPr>
          <w:rFonts w:ascii="Times New Roman" w:hAnsi="Times New Roman" w:cs="Times New Roman"/>
        </w:rPr>
        <w:t>Chinnubbie’s</w:t>
      </w:r>
      <w:proofErr w:type="spellEnd"/>
      <w:r>
        <w:rPr>
          <w:rFonts w:ascii="Times New Roman" w:hAnsi="Times New Roman" w:cs="Times New Roman"/>
        </w:rPr>
        <w:t xml:space="preserve"> return after many years (39). </w:t>
      </w:r>
    </w:p>
    <w:p w14:paraId="7433E5C4"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 xml:space="preserve">In these early writings, Posey returns to the setting of the cooking fire and the image of the sofky pot as anchor points for the Muscogee community. At Bacone, Posey’s sense of personal identity expanded, as did his idea of what it meant to be Muscogee at the dawn of the twentieth century. As can be seen in his orations, he began to develop the political positions that earned him his reputation as a “progressive” among non-Natives. After he graduated from Bacone in 1894, Posey served the Muscogee Nation in various political roles. He served in the House of Warriors, the lower house in the bicameral Muscogee government, and was appointed as the Superintendent of the Creek Orphan Asylum from 1895-1897. During these years, Posey wrote poetry. As a student, he had published some </w:t>
      </w:r>
      <w:proofErr w:type="gramStart"/>
      <w:r>
        <w:rPr>
          <w:rFonts w:ascii="Times New Roman" w:hAnsi="Times New Roman" w:cs="Times New Roman"/>
        </w:rPr>
        <w:t>verse</w:t>
      </w:r>
      <w:proofErr w:type="gramEnd"/>
      <w:r>
        <w:rPr>
          <w:rFonts w:ascii="Times New Roman" w:hAnsi="Times New Roman" w:cs="Times New Roman"/>
        </w:rPr>
        <w:t xml:space="preserve"> alongside his prose in the </w:t>
      </w:r>
      <w:r>
        <w:rPr>
          <w:rFonts w:ascii="Times New Roman" w:hAnsi="Times New Roman" w:cs="Times New Roman"/>
          <w:i/>
        </w:rPr>
        <w:t xml:space="preserve">B.I.U. Instructor </w:t>
      </w:r>
      <w:r>
        <w:rPr>
          <w:rFonts w:ascii="Times New Roman" w:hAnsi="Times New Roman" w:cs="Times New Roman"/>
        </w:rPr>
        <w:t xml:space="preserve">under the telling pseudonym </w:t>
      </w:r>
      <w:proofErr w:type="spellStart"/>
      <w:r>
        <w:rPr>
          <w:rFonts w:ascii="Times New Roman" w:hAnsi="Times New Roman" w:cs="Times New Roman"/>
        </w:rPr>
        <w:t>Chinnubbie</w:t>
      </w:r>
      <w:proofErr w:type="spellEnd"/>
      <w:r>
        <w:rPr>
          <w:rFonts w:ascii="Times New Roman" w:hAnsi="Times New Roman" w:cs="Times New Roman"/>
        </w:rPr>
        <w:t xml:space="preserve"> Harjo. Now he published them under his own name in territorial journals like </w:t>
      </w:r>
      <w:r>
        <w:rPr>
          <w:rFonts w:ascii="Times New Roman" w:hAnsi="Times New Roman" w:cs="Times New Roman"/>
          <w:i/>
        </w:rPr>
        <w:t>Twin Territories</w:t>
      </w:r>
      <w:r>
        <w:rPr>
          <w:rFonts w:ascii="Times New Roman" w:hAnsi="Times New Roman" w:cs="Times New Roman"/>
        </w:rPr>
        <w:t xml:space="preserve">, an illustrated magazine published in Muskogee </w:t>
      </w:r>
      <w:r>
        <w:rPr>
          <w:rFonts w:ascii="Times New Roman" w:hAnsi="Times New Roman" w:cs="Times New Roman"/>
        </w:rPr>
        <w:lastRenderedPageBreak/>
        <w:t xml:space="preserve">town, the </w:t>
      </w:r>
      <w:r>
        <w:rPr>
          <w:rFonts w:ascii="Times New Roman" w:hAnsi="Times New Roman" w:cs="Times New Roman"/>
          <w:i/>
        </w:rPr>
        <w:t>Indian Journal</w:t>
      </w:r>
      <w:r>
        <w:rPr>
          <w:rFonts w:ascii="Times New Roman" w:hAnsi="Times New Roman" w:cs="Times New Roman"/>
        </w:rPr>
        <w:t xml:space="preserve">, and the </w:t>
      </w:r>
      <w:r>
        <w:rPr>
          <w:rFonts w:ascii="Times New Roman" w:hAnsi="Times New Roman" w:cs="Times New Roman"/>
          <w:i/>
        </w:rPr>
        <w:t>Muskogee Phoenix</w:t>
      </w:r>
      <w:r>
        <w:rPr>
          <w:rFonts w:ascii="Times New Roman" w:hAnsi="Times New Roman" w:cs="Times New Roman"/>
        </w:rPr>
        <w:t xml:space="preserve"> (Posey, </w:t>
      </w:r>
      <w:r>
        <w:rPr>
          <w:rFonts w:ascii="Times New Roman" w:hAnsi="Times New Roman" w:cs="Times New Roman"/>
          <w:i/>
        </w:rPr>
        <w:t xml:space="preserve">Lost Creeks </w:t>
      </w:r>
      <w:r>
        <w:rPr>
          <w:rFonts w:ascii="Times New Roman" w:hAnsi="Times New Roman" w:cs="Times New Roman"/>
        </w:rPr>
        <w:t xml:space="preserve">29). Through the nineteenth-century system of newspaper exchange as well as the appearance of a few poems in </w:t>
      </w:r>
      <w:r>
        <w:rPr>
          <w:rFonts w:ascii="Times New Roman" w:hAnsi="Times New Roman" w:cs="Times New Roman"/>
          <w:i/>
        </w:rPr>
        <w:t>The Red Men</w:t>
      </w:r>
      <w:r>
        <w:rPr>
          <w:rFonts w:ascii="Times New Roman" w:hAnsi="Times New Roman" w:cs="Times New Roman"/>
        </w:rPr>
        <w:t xml:space="preserve">, the literary magazine of the Carlisle Indian School in Carlisle, Pennsylvania, Posey began to attract literary attention from outside of Indian Territory. However, Posey mysteriously “did his best to reject the exposure of his work beyond his homeland” (29-30). In a note published in the </w:t>
      </w:r>
      <w:r>
        <w:rPr>
          <w:rFonts w:ascii="Times New Roman" w:hAnsi="Times New Roman" w:cs="Times New Roman"/>
          <w:i/>
        </w:rPr>
        <w:t>Philadelphia Press</w:t>
      </w:r>
      <w:r>
        <w:rPr>
          <w:rFonts w:ascii="Times New Roman" w:hAnsi="Times New Roman" w:cs="Times New Roman"/>
        </w:rPr>
        <w:t>, Posey demurred: “I write exclusively of the West, of home scenes and places, and fearing that my local allusions might not be appreciated elsewhere, I have never made any attempt to get a hearing in the East” (30). Posey’s reasoning here doesn’t quite add up. For one, the majority of the poems that were earning him national attention were Romantic in influence and style; though a few of them, like “</w:t>
      </w:r>
      <w:proofErr w:type="spellStart"/>
      <w:r>
        <w:rPr>
          <w:rFonts w:ascii="Times New Roman" w:hAnsi="Times New Roman" w:cs="Times New Roman"/>
        </w:rPr>
        <w:t>Husse</w:t>
      </w:r>
      <w:proofErr w:type="spellEnd"/>
      <w:r>
        <w:rPr>
          <w:rFonts w:ascii="Times New Roman" w:hAnsi="Times New Roman" w:cs="Times New Roman"/>
        </w:rPr>
        <w:t xml:space="preserve"> Lotka </w:t>
      </w:r>
      <w:proofErr w:type="spellStart"/>
      <w:r>
        <w:rPr>
          <w:rFonts w:ascii="Times New Roman" w:hAnsi="Times New Roman" w:cs="Times New Roman"/>
        </w:rPr>
        <w:t>Enhotulle</w:t>
      </w:r>
      <w:proofErr w:type="spellEnd"/>
      <w:r>
        <w:rPr>
          <w:rFonts w:ascii="Times New Roman" w:hAnsi="Times New Roman" w:cs="Times New Roman"/>
        </w:rPr>
        <w:t xml:space="preserve"> (To the West Wind),” did indeed feature the “scenes and places” of Indian Territory, many of them did not. Instead, we can read Posey’s prioritization of his local subjects and readers as a refusal of the politics of recognition. As Littlefield and Sivils note, “Posey must have known that the American reading public was at that time much drawn </w:t>
      </w:r>
      <w:proofErr w:type="gramStart"/>
      <w:r>
        <w:rPr>
          <w:rFonts w:ascii="Times New Roman" w:hAnsi="Times New Roman" w:cs="Times New Roman"/>
        </w:rPr>
        <w:t>to</w:t>
      </w:r>
      <w:proofErr w:type="gramEnd"/>
      <w:r>
        <w:rPr>
          <w:rFonts w:ascii="Times New Roman" w:hAnsi="Times New Roman" w:cs="Times New Roman"/>
        </w:rPr>
        <w:t xml:space="preserve"> Indian and to Indian subjects” (Littlefield, qtd. in </w:t>
      </w:r>
      <w:r>
        <w:rPr>
          <w:rFonts w:ascii="Times New Roman" w:hAnsi="Times New Roman" w:cs="Times New Roman"/>
          <w:i/>
        </w:rPr>
        <w:t>Lost Creeks</w:t>
      </w:r>
      <w:r>
        <w:rPr>
          <w:rFonts w:ascii="Times New Roman" w:hAnsi="Times New Roman" w:cs="Times New Roman"/>
        </w:rPr>
        <w:t xml:space="preserve"> 30). Foregoing literary celebrity meant rejecting the exoticizing stare of the white cognoscenti. It is thus, perhaps, not a coincidence that Posey then chose to give up poetry and take up journalism. In 1902, he bought the Indian Journal Publishing Company, the publisher of the </w:t>
      </w:r>
      <w:r>
        <w:rPr>
          <w:rFonts w:ascii="Times New Roman" w:hAnsi="Times New Roman" w:cs="Times New Roman"/>
          <w:i/>
        </w:rPr>
        <w:t>Indian Journal</w:t>
      </w:r>
      <w:r>
        <w:rPr>
          <w:rFonts w:ascii="Times New Roman" w:hAnsi="Times New Roman" w:cs="Times New Roman"/>
        </w:rPr>
        <w:t xml:space="preserve">, and began his tenure as that paper’s editor. As editor, Posey focused on local news items and abandoned the romanticism of his poetry for a wry, humorous journalistic voice that </w:t>
      </w:r>
      <w:r>
        <w:rPr>
          <w:rFonts w:ascii="Times New Roman" w:hAnsi="Times New Roman" w:cs="Times New Roman"/>
        </w:rPr>
        <w:lastRenderedPageBreak/>
        <w:t xml:space="preserve">appealed to common readers. When the first Fus Fixico Letters appeared in the </w:t>
      </w:r>
      <w:r>
        <w:rPr>
          <w:rFonts w:ascii="Times New Roman" w:hAnsi="Times New Roman" w:cs="Times New Roman"/>
          <w:i/>
        </w:rPr>
        <w:t xml:space="preserve">Indian Journal </w:t>
      </w:r>
      <w:r>
        <w:rPr>
          <w:rFonts w:ascii="Times New Roman" w:hAnsi="Times New Roman" w:cs="Times New Roman"/>
        </w:rPr>
        <w:t>in late 1902, they marked Posey’s turning inward to the Muscogee community.</w:t>
      </w:r>
    </w:p>
    <w:p w14:paraId="0F03FB3B" w14:textId="15AAEB6F" w:rsidR="00287C65" w:rsidRDefault="009E5931" w:rsidP="00287C65">
      <w:pPr>
        <w:spacing w:line="480" w:lineRule="auto"/>
        <w:rPr>
          <w:rFonts w:ascii="Times New Roman" w:hAnsi="Times New Roman" w:cs="Times New Roman"/>
        </w:rPr>
      </w:pPr>
      <w:r>
        <w:rPr>
          <w:rFonts w:ascii="Times New Roman" w:hAnsi="Times New Roman" w:cs="Times New Roman"/>
        </w:rPr>
        <w:tab/>
      </w:r>
      <w:r w:rsidR="00287C65">
        <w:rPr>
          <w:rFonts w:ascii="Times New Roman" w:hAnsi="Times New Roman" w:cs="Times New Roman"/>
        </w:rPr>
        <w:t xml:space="preserve">The Fus Fixico Letters satirize the major political issues facing the Muscogee Nation between 1902 and 1908, namely the allotment of Muscogee tribal lands and the question of statehood for Indian Territory. It is important to first understand these historical events in order to understand the Letters’ political work. Allotment refers to the U.S. federal policy of dividing up tribal nations’ </w:t>
      </w:r>
      <w:proofErr w:type="gramStart"/>
      <w:r w:rsidR="00287C65">
        <w:rPr>
          <w:rFonts w:ascii="Times New Roman" w:hAnsi="Times New Roman" w:cs="Times New Roman"/>
        </w:rPr>
        <w:t>communally-held</w:t>
      </w:r>
      <w:proofErr w:type="gramEnd"/>
      <w:r w:rsidR="00287C65">
        <w:rPr>
          <w:rFonts w:ascii="Times New Roman" w:hAnsi="Times New Roman" w:cs="Times New Roman"/>
        </w:rPr>
        <w:t xml:space="preserve"> land, reassigning individual lots to tribal citizens as private property, and buying the “surplus lands” from the Native governments. Through allotment, the U.S. government dispossessed the nations of Indian Territory of 1,815,189.22 acres of land (Ellinghaus 25). The process of allotment began with the passage of the General Allotment Act of 1887, which authorized the President to break up </w:t>
      </w:r>
      <w:proofErr w:type="gramStart"/>
      <w:r w:rsidR="00287C65">
        <w:rPr>
          <w:rFonts w:ascii="Times New Roman" w:hAnsi="Times New Roman" w:cs="Times New Roman"/>
        </w:rPr>
        <w:t>communally-held</w:t>
      </w:r>
      <w:proofErr w:type="gramEnd"/>
      <w:r w:rsidR="00287C65">
        <w:rPr>
          <w:rFonts w:ascii="Times New Roman" w:hAnsi="Times New Roman" w:cs="Times New Roman"/>
        </w:rPr>
        <w:t xml:space="preserve"> reservation lands into individual parcels and allot the plots to officially enrolled tribal citizens. The 1887 Act did not dictate who would be considered tribal </w:t>
      </w:r>
      <w:proofErr w:type="gramStart"/>
      <w:r w:rsidR="00287C65">
        <w:rPr>
          <w:rFonts w:ascii="Times New Roman" w:hAnsi="Times New Roman" w:cs="Times New Roman"/>
        </w:rPr>
        <w:t>citizens, but</w:t>
      </w:r>
      <w:proofErr w:type="gramEnd"/>
      <w:r w:rsidR="00287C65">
        <w:rPr>
          <w:rFonts w:ascii="Times New Roman" w:hAnsi="Times New Roman" w:cs="Times New Roman"/>
        </w:rPr>
        <w:t xml:space="preserve"> deferred to each Native nation to determine eligibility for itself.</w:t>
      </w:r>
      <w:r w:rsidR="00287C65">
        <w:rPr>
          <w:rFonts w:ascii="Times New Roman" w:hAnsi="Times New Roman" w:cs="Times New Roman"/>
          <w:vertAlign w:val="superscript"/>
        </w:rPr>
        <w:footnoteReference w:id="75"/>
      </w:r>
      <w:r w:rsidR="00287C65">
        <w:rPr>
          <w:rFonts w:ascii="Times New Roman" w:hAnsi="Times New Roman" w:cs="Times New Roman"/>
        </w:rPr>
        <w:t xml:space="preserve"> Additionally, many nations located in Indian Territory, including the Muscogee Nation, were originally exempt from the terms of the 1887 Act. That is, they were not compelled to allot their lands by force. However, pressure from white settlers such as the </w:t>
      </w:r>
      <w:proofErr w:type="gramStart"/>
      <w:r w:rsidR="00287C65">
        <w:rPr>
          <w:rFonts w:ascii="Times New Roman" w:hAnsi="Times New Roman" w:cs="Times New Roman"/>
        </w:rPr>
        <w:t>Boomers,</w:t>
      </w:r>
      <w:proofErr w:type="gramEnd"/>
      <w:r w:rsidR="00287C65">
        <w:rPr>
          <w:rFonts w:ascii="Times New Roman" w:hAnsi="Times New Roman" w:cs="Times New Roman"/>
        </w:rPr>
        <w:t xml:space="preserve"> persuaded Congress to establish the Dawes Commission in 1893. At first, the Dawes Commission sought to persuade the Native governments in </w:t>
      </w:r>
      <w:r w:rsidR="00287C65">
        <w:rPr>
          <w:rFonts w:ascii="Times New Roman" w:hAnsi="Times New Roman" w:cs="Times New Roman"/>
        </w:rPr>
        <w:lastRenderedPageBreak/>
        <w:t xml:space="preserve">Indian Territory to voluntarily allot their lands. Leaders of the Native nations staunchly refused allotment. In response, the U.S. government passed the Curtis Act (1898) which authorized the Dawes Commission and its contracted representatives to prepare new tribal citizenship rolls for the nations of Indian Territory in preparation for forced allotment of tribal lands. Prior to the passage of the Curtis Act, every Native nation stipulated their own criteria for tribal membership, based on clan or (in the case of the Muscogees) town belonging. Katherine Ellinghaus describes how the Curtis Act determined tribal eligibility: </w:t>
      </w:r>
    </w:p>
    <w:p w14:paraId="24162F82" w14:textId="77777777" w:rsidR="00287C65" w:rsidRDefault="00287C65" w:rsidP="00287C65">
      <w:pPr>
        <w:spacing w:line="480" w:lineRule="auto"/>
        <w:ind w:left="720"/>
        <w:rPr>
          <w:rFonts w:ascii="Times New Roman" w:hAnsi="Times New Roman" w:cs="Times New Roman"/>
        </w:rPr>
      </w:pPr>
      <w:r>
        <w:rPr>
          <w:rFonts w:ascii="Times New Roman" w:hAnsi="Times New Roman" w:cs="Times New Roman"/>
          <w:highlight w:val="white"/>
        </w:rPr>
        <w:t xml:space="preserve">[T]he commission prescribed six criteria by which an Indian could become eligible for enrollment. The first and clearest path to enrollment was “inheritance of Indian blood.” Blood was not, however, on its own a path to citizenship, but became so only when “coupled with continuous affiliation and residence with one of the Five Tribes” as well as previous recognition and enrollment. The other five legal paths to enrollment had nothing at all to do with racial background. Pursuant to earlier treaty stipulations, citizenship might be attained through tribal adoption; through intermarriage; by being an ex-­ slave or their descendant (except the Chickasaws); and </w:t>
      </w:r>
      <w:proofErr w:type="gramStart"/>
      <w:r>
        <w:rPr>
          <w:rFonts w:ascii="Times New Roman" w:hAnsi="Times New Roman" w:cs="Times New Roman"/>
          <w:highlight w:val="white"/>
        </w:rPr>
        <w:t>finally</w:t>
      </w:r>
      <w:proofErr w:type="gramEnd"/>
      <w:r>
        <w:rPr>
          <w:rFonts w:ascii="Times New Roman" w:hAnsi="Times New Roman" w:cs="Times New Roman"/>
          <w:highlight w:val="white"/>
        </w:rPr>
        <w:t xml:space="preserve"> by appeal to a U.S. court in Indian Territory, or any other legally constituted court, committee, or commission designated by one of the Five Tribes. (31-2)</w:t>
      </w:r>
      <w:r>
        <w:rPr>
          <w:rFonts w:ascii="Times New Roman" w:hAnsi="Times New Roman" w:cs="Times New Roman"/>
          <w:highlight w:val="white"/>
          <w:vertAlign w:val="superscript"/>
        </w:rPr>
        <w:footnoteReference w:id="76"/>
      </w:r>
      <w:r>
        <w:rPr>
          <w:rFonts w:ascii="Times New Roman" w:hAnsi="Times New Roman" w:cs="Times New Roman"/>
        </w:rPr>
        <w:tab/>
      </w:r>
    </w:p>
    <w:p w14:paraId="069347FE" w14:textId="77777777" w:rsidR="00287C65" w:rsidRDefault="00287C65" w:rsidP="00287C65">
      <w:pPr>
        <w:spacing w:line="480" w:lineRule="auto"/>
        <w:rPr>
          <w:rFonts w:ascii="Times New Roman" w:hAnsi="Times New Roman" w:cs="Times New Roman"/>
        </w:rPr>
      </w:pPr>
      <w:r>
        <w:rPr>
          <w:rFonts w:ascii="Times New Roman" w:hAnsi="Times New Roman" w:cs="Times New Roman"/>
        </w:rPr>
        <w:lastRenderedPageBreak/>
        <w:tab/>
        <w:t>The undermining of Native sovereignty in the language of the Curtis Act opened the way for the dissolution of tribal governments and the incorporation of Indian Territory into the new state of Oklahoma in 1907.</w:t>
      </w:r>
      <w:r>
        <w:rPr>
          <w:rFonts w:ascii="Times New Roman" w:hAnsi="Times New Roman" w:cs="Times New Roman"/>
          <w:vertAlign w:val="superscript"/>
        </w:rPr>
        <w:footnoteReference w:id="77"/>
      </w:r>
      <w:r>
        <w:rPr>
          <w:rFonts w:ascii="Times New Roman" w:hAnsi="Times New Roman" w:cs="Times New Roman"/>
        </w:rPr>
        <w:t xml:space="preserve"> However, this process was far from inevitable. As the Fus Fixico Letters show, the citizens of the nations of Indian Territory actively deliberated the future of their people. While for many </w:t>
      </w:r>
      <w:proofErr w:type="gramStart"/>
      <w:r>
        <w:rPr>
          <w:rFonts w:ascii="Times New Roman" w:hAnsi="Times New Roman" w:cs="Times New Roman"/>
        </w:rPr>
        <w:t>statehood</w:t>
      </w:r>
      <w:proofErr w:type="gramEnd"/>
      <w:r>
        <w:rPr>
          <w:rFonts w:ascii="Times New Roman" w:hAnsi="Times New Roman" w:cs="Times New Roman"/>
        </w:rPr>
        <w:t xml:space="preserve"> seemed a foregone conclusion, Natives hotly debated exactly what United States citizenship would look like. Some advocated that Indian Territory should pursue statehood on their own and join the U.S. as its own state separate from Oklahoma Territory. This choice was attractive because, though it meant the formal dissolution of tribal governments, Native leaders would wield greater political power in the eventual state and thus their peoples could retain some power of self-determination. Conversely, others supported the single-state option, by which the Indian and Oklahoma Territories would seek statehood jointly and be admitted into the U.S. as one combined state. Posey supported the single-state </w:t>
      </w:r>
      <w:r>
        <w:rPr>
          <w:rFonts w:ascii="Times New Roman" w:hAnsi="Times New Roman" w:cs="Times New Roman"/>
        </w:rPr>
        <w:lastRenderedPageBreak/>
        <w:t xml:space="preserve">initiative, condemning Muscogee </w:t>
      </w:r>
      <w:proofErr w:type="gramStart"/>
      <w:r>
        <w:rPr>
          <w:rFonts w:ascii="Times New Roman" w:hAnsi="Times New Roman" w:cs="Times New Roman"/>
        </w:rPr>
        <w:t>Principle</w:t>
      </w:r>
      <w:proofErr w:type="gramEnd"/>
      <w:r>
        <w:rPr>
          <w:rFonts w:ascii="Times New Roman" w:hAnsi="Times New Roman" w:cs="Times New Roman"/>
        </w:rPr>
        <w:t xml:space="preserve"> Chief Pleasant Porter’s call for a Native-controlled state not “a logical one, but based </w:t>
      </w:r>
      <w:proofErr w:type="gramStart"/>
      <w:r>
        <w:rPr>
          <w:rFonts w:ascii="Times New Roman" w:hAnsi="Times New Roman" w:cs="Times New Roman"/>
        </w:rPr>
        <w:t>in</w:t>
      </w:r>
      <w:proofErr w:type="gramEnd"/>
      <w:r>
        <w:rPr>
          <w:rFonts w:ascii="Times New Roman" w:hAnsi="Times New Roman" w:cs="Times New Roman"/>
        </w:rPr>
        <w:t xml:space="preserve"> sentiment” (Littlefield 151). Posey believed that </w:t>
      </w:r>
      <w:proofErr w:type="gramStart"/>
      <w:r>
        <w:rPr>
          <w:rFonts w:ascii="Times New Roman" w:hAnsi="Times New Roman" w:cs="Times New Roman"/>
        </w:rPr>
        <w:t>single-statehood</w:t>
      </w:r>
      <w:proofErr w:type="gramEnd"/>
      <w:r>
        <w:rPr>
          <w:rFonts w:ascii="Times New Roman" w:hAnsi="Times New Roman" w:cs="Times New Roman"/>
        </w:rPr>
        <w:t xml:space="preserve"> would bring more economic development to Indian Territory (Posey, </w:t>
      </w:r>
      <w:r>
        <w:rPr>
          <w:rFonts w:ascii="Times New Roman" w:hAnsi="Times New Roman" w:cs="Times New Roman"/>
          <w:i/>
        </w:rPr>
        <w:t>Fus Fixico</w:t>
      </w:r>
      <w:r>
        <w:rPr>
          <w:rFonts w:ascii="Times New Roman" w:hAnsi="Times New Roman" w:cs="Times New Roman"/>
        </w:rPr>
        <w:t xml:space="preserve"> 57). </w:t>
      </w:r>
    </w:p>
    <w:p w14:paraId="5B3D9C16" w14:textId="77777777" w:rsidR="00287C65" w:rsidRDefault="00287C65" w:rsidP="00287C65">
      <w:pPr>
        <w:spacing w:line="480" w:lineRule="auto"/>
        <w:ind w:firstLine="720"/>
        <w:rPr>
          <w:rFonts w:ascii="Times New Roman" w:hAnsi="Times New Roman" w:cs="Times New Roman"/>
          <w:color w:val="111111"/>
          <w:highlight w:val="white"/>
        </w:rPr>
      </w:pPr>
      <w:r>
        <w:rPr>
          <w:rFonts w:ascii="Times New Roman" w:hAnsi="Times New Roman" w:cs="Times New Roman"/>
          <w:color w:val="111111"/>
          <w:highlight w:val="white"/>
        </w:rPr>
        <w:t>Posey began as a single-state advocate but by the spring of 1903, he espoused the idea of a separate state governed by Natives (152). In May of that year, Green McCurtain, Principal Chief of the Choctaw Nation, called for a pan-tribal convention at the town of Eufaula to establish a committee on the statehood question and to draft resolutions to present to the U.S. Congress in support of a separate state. Posey served as secretary of this convention and was later appointed as the Muscogee National representative on the Executive Committee for Independent Statehood of the Five Civilized Tribes (154).</w:t>
      </w:r>
      <w:r>
        <w:rPr>
          <w:rFonts w:ascii="Times New Roman" w:hAnsi="Times New Roman" w:cs="Times New Roman"/>
          <w:color w:val="111111"/>
          <w:highlight w:val="white"/>
          <w:vertAlign w:val="superscript"/>
        </w:rPr>
        <w:footnoteReference w:id="78"/>
      </w:r>
      <w:r>
        <w:rPr>
          <w:rFonts w:ascii="Times New Roman" w:hAnsi="Times New Roman" w:cs="Times New Roman"/>
          <w:color w:val="111111"/>
          <w:highlight w:val="white"/>
        </w:rPr>
        <w:t xml:space="preserve"> </w:t>
      </w:r>
      <w:r>
        <w:rPr>
          <w:rFonts w:ascii="Times New Roman" w:hAnsi="Times New Roman" w:cs="Times New Roman"/>
        </w:rPr>
        <w:t>A third party of Muscogees refused to countenance the question of statehood and flatly rejected all assimilatory policies from within or without the Muscogee Nation.  Led by Chitto Harjo (Crazy Snake) these separatists, whom Posey and others called “Snakes” after their leader, insisted that the United States abide by the Treaty of 1832, which guaranteed the Muscogee Nation their lands west of the Mississippi “as long as the grass and water runs” (239). In fact, this guarantee lay not in the Treaty of 1832, but in President Andrew Jackson’s Letter to the Creek Indians on March 23, 1839: “</w:t>
      </w:r>
      <w:r>
        <w:rPr>
          <w:rFonts w:ascii="Times New Roman" w:hAnsi="Times New Roman" w:cs="Times New Roman"/>
          <w:color w:val="111111"/>
          <w:highlight w:val="white"/>
        </w:rPr>
        <w:t xml:space="preserve">Beyond the </w:t>
      </w:r>
      <w:r>
        <w:rPr>
          <w:rFonts w:ascii="Times New Roman" w:hAnsi="Times New Roman" w:cs="Times New Roman"/>
          <w:color w:val="111111"/>
          <w:highlight w:val="white"/>
        </w:rPr>
        <w:lastRenderedPageBreak/>
        <w:t xml:space="preserve">great river Mississippi, where a part of your nation has gone, your father has provided a country large enough for all of you, and he advises you to remove to it. There your white brothers will not trouble you; they will have no claim to the land, and you can live upon it, you and all your children, as long as the grass grows or the water runs, in peace and plenty” (Jackson). Though Posey admired the Snakes’ idealism, he dismissed their belief in “the restoration of ancient customs and methods of holding Creek lands” as “an impossibility” (qtd. in Littlefield 240). </w:t>
      </w:r>
    </w:p>
    <w:p w14:paraId="6599ED65" w14:textId="77777777" w:rsidR="00287C65" w:rsidRDefault="00287C65" w:rsidP="00287C65">
      <w:pPr>
        <w:spacing w:line="480" w:lineRule="auto"/>
        <w:ind w:firstLine="720"/>
        <w:rPr>
          <w:rFonts w:ascii="Times New Roman" w:hAnsi="Times New Roman" w:cs="Times New Roman"/>
          <w:color w:val="111111"/>
          <w:highlight w:val="white"/>
        </w:rPr>
      </w:pPr>
      <w:r>
        <w:rPr>
          <w:rFonts w:ascii="Times New Roman" w:hAnsi="Times New Roman" w:cs="Times New Roman"/>
          <w:color w:val="111111"/>
          <w:highlight w:val="white"/>
        </w:rPr>
        <w:t xml:space="preserve">The Fus Fixico Letters engage in political conversations about allotment, statehood, and other issues facing the Muscogee Nation in a </w:t>
      </w:r>
      <w:proofErr w:type="gramStart"/>
      <w:r>
        <w:rPr>
          <w:rFonts w:ascii="Times New Roman" w:hAnsi="Times New Roman" w:cs="Times New Roman"/>
          <w:color w:val="111111"/>
          <w:highlight w:val="white"/>
        </w:rPr>
        <w:t>ways</w:t>
      </w:r>
      <w:proofErr w:type="gramEnd"/>
      <w:r>
        <w:rPr>
          <w:rFonts w:ascii="Times New Roman" w:hAnsi="Times New Roman" w:cs="Times New Roman"/>
          <w:color w:val="111111"/>
          <w:highlight w:val="white"/>
        </w:rPr>
        <w:t xml:space="preserve"> that </w:t>
      </w:r>
      <w:proofErr w:type="gramStart"/>
      <w:r>
        <w:rPr>
          <w:rFonts w:ascii="Times New Roman" w:hAnsi="Times New Roman" w:cs="Times New Roman"/>
          <w:color w:val="111111"/>
          <w:highlight w:val="white"/>
        </w:rPr>
        <w:t>center</w:t>
      </w:r>
      <w:proofErr w:type="gramEnd"/>
      <w:r>
        <w:rPr>
          <w:rFonts w:ascii="Times New Roman" w:hAnsi="Times New Roman" w:cs="Times New Roman"/>
          <w:color w:val="111111"/>
          <w:highlight w:val="white"/>
        </w:rPr>
        <w:t xml:space="preserve"> the local Muscogee community’s experience and opinions of such political processes. One of the ways in which the Letters present this community perspective is by reversing the typical flow of the news. When other, non-Native media sources described the </w:t>
      </w:r>
      <w:r>
        <w:rPr>
          <w:rFonts w:ascii="Times New Roman" w:hAnsi="Times New Roman" w:cs="Times New Roman"/>
          <w:i/>
          <w:color w:val="111111"/>
          <w:highlight w:val="white"/>
        </w:rPr>
        <w:t xml:space="preserve">Journal </w:t>
      </w:r>
      <w:r>
        <w:rPr>
          <w:rFonts w:ascii="Times New Roman" w:hAnsi="Times New Roman" w:cs="Times New Roman"/>
          <w:color w:val="111111"/>
          <w:highlight w:val="white"/>
        </w:rPr>
        <w:t xml:space="preserve">and the Fus Fixico Letters, writers imagined Posey using his journalism to reach out to isolated full blood readers and make national news legible to them. For instance, in 1903 the Georgia </w:t>
      </w:r>
      <w:r>
        <w:rPr>
          <w:rFonts w:ascii="Times New Roman" w:hAnsi="Times New Roman" w:cs="Times New Roman"/>
          <w:i/>
          <w:color w:val="111111"/>
          <w:highlight w:val="white"/>
        </w:rPr>
        <w:t xml:space="preserve">Columbus Ledger </w:t>
      </w:r>
      <w:r>
        <w:rPr>
          <w:rFonts w:ascii="Times New Roman" w:hAnsi="Times New Roman" w:cs="Times New Roman"/>
          <w:color w:val="111111"/>
          <w:highlight w:val="white"/>
        </w:rPr>
        <w:t xml:space="preserve">wrote: “The </w:t>
      </w:r>
      <w:r>
        <w:rPr>
          <w:rFonts w:ascii="Times New Roman" w:hAnsi="Times New Roman" w:cs="Times New Roman"/>
          <w:i/>
          <w:color w:val="111111"/>
          <w:highlight w:val="white"/>
        </w:rPr>
        <w:t>Journal</w:t>
      </w:r>
      <w:r>
        <w:rPr>
          <w:rFonts w:ascii="Times New Roman" w:hAnsi="Times New Roman" w:cs="Times New Roman"/>
          <w:color w:val="111111"/>
          <w:highlight w:val="white"/>
        </w:rPr>
        <w:t xml:space="preserve"> is printed in ordinary country newspaper English, except for one editorial column, in which the dialect favored by the Creeks is used. These Indians have never been able to accustom themselves to the English idiom and greatly appreciate the editor’s effort” (8). Here, the editors of the </w:t>
      </w:r>
      <w:r>
        <w:rPr>
          <w:rFonts w:ascii="Times New Roman" w:hAnsi="Times New Roman" w:cs="Times New Roman"/>
          <w:i/>
          <w:color w:val="111111"/>
          <w:highlight w:val="white"/>
        </w:rPr>
        <w:t xml:space="preserve">Ledger </w:t>
      </w:r>
      <w:r>
        <w:rPr>
          <w:rFonts w:ascii="Times New Roman" w:hAnsi="Times New Roman" w:cs="Times New Roman"/>
          <w:color w:val="111111"/>
          <w:highlight w:val="white"/>
        </w:rPr>
        <w:t xml:space="preserve">describe Posey as a producer of knowledge for the consumption and edification of his readership. The paternalism of this model is heightened by the </w:t>
      </w:r>
      <w:r>
        <w:rPr>
          <w:rFonts w:ascii="Times New Roman" w:hAnsi="Times New Roman" w:cs="Times New Roman"/>
          <w:i/>
          <w:color w:val="111111"/>
          <w:highlight w:val="white"/>
        </w:rPr>
        <w:t>Ledger</w:t>
      </w:r>
      <w:r>
        <w:rPr>
          <w:rFonts w:ascii="Times New Roman" w:hAnsi="Times New Roman" w:cs="Times New Roman"/>
          <w:color w:val="111111"/>
          <w:highlight w:val="white"/>
        </w:rPr>
        <w:t xml:space="preserve"> writer’s emphasis on literacy. Posey, half-white and fluent in English, uses dialect to reach an audience of illiterate full </w:t>
      </w:r>
      <w:r>
        <w:rPr>
          <w:rFonts w:ascii="Times New Roman" w:hAnsi="Times New Roman" w:cs="Times New Roman"/>
          <w:color w:val="111111"/>
          <w:highlight w:val="white"/>
        </w:rPr>
        <w:lastRenderedPageBreak/>
        <w:t xml:space="preserve">bloods who presumably would otherwise be incapable of understanding the political issues facing the Muscogee Nation. Similarly, the </w:t>
      </w:r>
      <w:r>
        <w:rPr>
          <w:rFonts w:ascii="Times New Roman" w:hAnsi="Times New Roman" w:cs="Times New Roman"/>
          <w:i/>
          <w:color w:val="111111"/>
          <w:highlight w:val="white"/>
        </w:rPr>
        <w:t xml:space="preserve">New York Times </w:t>
      </w:r>
      <w:r>
        <w:rPr>
          <w:rFonts w:ascii="Times New Roman" w:hAnsi="Times New Roman" w:cs="Times New Roman"/>
          <w:color w:val="111111"/>
          <w:highlight w:val="white"/>
        </w:rPr>
        <w:t xml:space="preserve">writes that Posey’s “comments on the Statehood situation…have done much to establish the Indian in the opinion that he should have a State wherein he may control” (3). Here again Posey is </w:t>
      </w:r>
      <w:proofErr w:type="gramStart"/>
      <w:r>
        <w:rPr>
          <w:rFonts w:ascii="Times New Roman" w:hAnsi="Times New Roman" w:cs="Times New Roman"/>
          <w:color w:val="111111"/>
          <w:highlight w:val="white"/>
        </w:rPr>
        <w:t>imagined as</w:t>
      </w:r>
      <w:proofErr w:type="gramEnd"/>
      <w:r>
        <w:rPr>
          <w:rFonts w:ascii="Times New Roman" w:hAnsi="Times New Roman" w:cs="Times New Roman"/>
          <w:color w:val="111111"/>
          <w:highlight w:val="white"/>
        </w:rPr>
        <w:t xml:space="preserve"> wielding his editorial power to impose his political opinion on the Muscogees. Eastern papers envisioned the </w:t>
      </w:r>
      <w:r>
        <w:rPr>
          <w:rFonts w:ascii="Times New Roman" w:hAnsi="Times New Roman" w:cs="Times New Roman"/>
          <w:i/>
          <w:color w:val="111111"/>
          <w:highlight w:val="white"/>
        </w:rPr>
        <w:t>Journal</w:t>
      </w:r>
      <w:r>
        <w:rPr>
          <w:rFonts w:ascii="Times New Roman" w:hAnsi="Times New Roman" w:cs="Times New Roman"/>
          <w:color w:val="111111"/>
          <w:highlight w:val="white"/>
        </w:rPr>
        <w:t xml:space="preserve"> as a kind of colonial enterprise, another version of the Baptist missions or religious schools that worked to acculturate Native peoples to U.S norms. But the Fus Fixico Letters do not follow this paternalistic pattern. It is common for Fus Fixico to open his early letters with an announcement like: “So I will </w:t>
      </w:r>
      <w:proofErr w:type="gramStart"/>
      <w:r>
        <w:rPr>
          <w:rFonts w:ascii="Times New Roman" w:hAnsi="Times New Roman" w:cs="Times New Roman"/>
          <w:color w:val="111111"/>
          <w:highlight w:val="white"/>
        </w:rPr>
        <w:t>sent</w:t>
      </w:r>
      <w:proofErr w:type="gramEnd"/>
      <w:r>
        <w:rPr>
          <w:rFonts w:ascii="Times New Roman" w:hAnsi="Times New Roman" w:cs="Times New Roman"/>
          <w:color w:val="111111"/>
          <w:highlight w:val="white"/>
        </w:rPr>
        <w:t xml:space="preserve"> you some news to put in this time” (Posey, </w:t>
      </w:r>
      <w:r>
        <w:rPr>
          <w:rFonts w:ascii="Times New Roman" w:hAnsi="Times New Roman" w:cs="Times New Roman"/>
          <w:i/>
          <w:color w:val="111111"/>
          <w:highlight w:val="white"/>
        </w:rPr>
        <w:t>Fus Fixico</w:t>
      </w:r>
      <w:r>
        <w:rPr>
          <w:rFonts w:ascii="Times New Roman" w:hAnsi="Times New Roman" w:cs="Times New Roman"/>
          <w:color w:val="111111"/>
          <w:highlight w:val="white"/>
        </w:rPr>
        <w:t xml:space="preserve"> 52). For instance, Letter No. 10 (February 1903) begins, “Well, so I send you some more news to put in </w:t>
      </w:r>
      <w:proofErr w:type="spellStart"/>
      <w:r>
        <w:rPr>
          <w:rFonts w:ascii="Times New Roman" w:hAnsi="Times New Roman" w:cs="Times New Roman"/>
          <w:color w:val="111111"/>
          <w:highlight w:val="white"/>
        </w:rPr>
        <w:t>Injin</w:t>
      </w:r>
      <w:proofErr w:type="spellEnd"/>
      <w:r>
        <w:rPr>
          <w:rFonts w:ascii="Times New Roman" w:hAnsi="Times New Roman" w:cs="Times New Roman"/>
          <w:color w:val="111111"/>
          <w:highlight w:val="white"/>
        </w:rPr>
        <w:t xml:space="preserve"> Journal” (69). Here it is Fus, a fullblood reader, who delivers the news to the </w:t>
      </w:r>
      <w:r>
        <w:rPr>
          <w:rFonts w:ascii="Times New Roman" w:hAnsi="Times New Roman" w:cs="Times New Roman"/>
          <w:i/>
          <w:color w:val="111111"/>
          <w:highlight w:val="white"/>
        </w:rPr>
        <w:t>Journal</w:t>
      </w:r>
      <w:r>
        <w:rPr>
          <w:rFonts w:ascii="Times New Roman" w:hAnsi="Times New Roman" w:cs="Times New Roman"/>
          <w:color w:val="111111"/>
          <w:highlight w:val="white"/>
        </w:rPr>
        <w:t xml:space="preserve">, reversing the colonial flow of knowledge to privilege the community’s voice over the </w:t>
      </w:r>
      <w:r>
        <w:rPr>
          <w:rFonts w:ascii="Times New Roman" w:hAnsi="Times New Roman" w:cs="Times New Roman"/>
          <w:i/>
          <w:color w:val="111111"/>
          <w:highlight w:val="white"/>
        </w:rPr>
        <w:t>Journal</w:t>
      </w:r>
      <w:r>
        <w:rPr>
          <w:rFonts w:ascii="Times New Roman" w:hAnsi="Times New Roman" w:cs="Times New Roman"/>
          <w:color w:val="111111"/>
          <w:highlight w:val="white"/>
        </w:rPr>
        <w:t>’s editorial one.</w:t>
      </w:r>
    </w:p>
    <w:p w14:paraId="5D351E72" w14:textId="77777777" w:rsidR="00287C65" w:rsidRDefault="00287C65" w:rsidP="00287C65">
      <w:pPr>
        <w:spacing w:line="480" w:lineRule="auto"/>
        <w:ind w:firstLine="720"/>
        <w:rPr>
          <w:rFonts w:ascii="Times New Roman" w:hAnsi="Times New Roman" w:cs="Times New Roman"/>
          <w:color w:val="111111"/>
          <w:highlight w:val="white"/>
        </w:rPr>
      </w:pPr>
      <w:r>
        <w:rPr>
          <w:rFonts w:ascii="Times New Roman" w:hAnsi="Times New Roman" w:cs="Times New Roman"/>
          <w:color w:val="111111"/>
          <w:highlight w:val="white"/>
        </w:rPr>
        <w:t xml:space="preserve"> Moreover, through this reversal of cultural authority, the very nature of political news changes. Fus and his friends, who begin as marginal voices in the Letters but eventually totally eclipse the author, report the minutiae of their daily lives as news fit to print so that things like weather, local crop harvests, small-scale goings on in regional urban centers, and their neighbors’ activities become the news. In the first paragraph of Letter No. 1 (October 1903) Fus reports: </w:t>
      </w:r>
    </w:p>
    <w:p w14:paraId="59DDE4B0" w14:textId="77777777" w:rsidR="00287C65" w:rsidRDefault="00287C65" w:rsidP="00287C65">
      <w:pPr>
        <w:spacing w:line="480" w:lineRule="auto"/>
        <w:ind w:left="720"/>
        <w:rPr>
          <w:rFonts w:ascii="Times New Roman" w:hAnsi="Times New Roman" w:cs="Times New Roman"/>
          <w:color w:val="111111"/>
          <w:highlight w:val="white"/>
        </w:rPr>
      </w:pPr>
      <w:r>
        <w:rPr>
          <w:rFonts w:ascii="Times New Roman" w:hAnsi="Times New Roman" w:cs="Times New Roman"/>
          <w:color w:val="111111"/>
          <w:highlight w:val="white"/>
        </w:rPr>
        <w:lastRenderedPageBreak/>
        <w:t xml:space="preserve">Well, I hope you and your families </w:t>
      </w:r>
      <w:proofErr w:type="gramStart"/>
      <w:r>
        <w:rPr>
          <w:rFonts w:ascii="Times New Roman" w:hAnsi="Times New Roman" w:cs="Times New Roman"/>
          <w:color w:val="111111"/>
          <w:highlight w:val="white"/>
        </w:rPr>
        <w:t>is</w:t>
      </w:r>
      <w:proofErr w:type="gramEnd"/>
      <w:r>
        <w:rPr>
          <w:rFonts w:ascii="Times New Roman" w:hAnsi="Times New Roman" w:cs="Times New Roman"/>
          <w:color w:val="111111"/>
          <w:highlight w:val="white"/>
        </w:rPr>
        <w:t xml:space="preserve"> well, but I got very bad cold in my head. I was </w:t>
      </w:r>
      <w:proofErr w:type="gramStart"/>
      <w:r>
        <w:rPr>
          <w:rFonts w:ascii="Times New Roman" w:hAnsi="Times New Roman" w:cs="Times New Roman"/>
          <w:color w:val="111111"/>
          <w:highlight w:val="white"/>
        </w:rPr>
        <w:t>take</w:t>
      </w:r>
      <w:proofErr w:type="gramEnd"/>
      <w:r>
        <w:rPr>
          <w:rFonts w:ascii="Times New Roman" w:hAnsi="Times New Roman" w:cs="Times New Roman"/>
          <w:color w:val="111111"/>
          <w:highlight w:val="white"/>
        </w:rPr>
        <w:t xml:space="preserve"> my dogs and went possum hunt last night and </w:t>
      </w:r>
      <w:proofErr w:type="gramStart"/>
      <w:r>
        <w:rPr>
          <w:rFonts w:ascii="Times New Roman" w:hAnsi="Times New Roman" w:cs="Times New Roman"/>
          <w:color w:val="111111"/>
          <w:highlight w:val="white"/>
        </w:rPr>
        <w:t>catch</w:t>
      </w:r>
      <w:proofErr w:type="gramEnd"/>
      <w:r>
        <w:rPr>
          <w:rFonts w:ascii="Times New Roman" w:hAnsi="Times New Roman" w:cs="Times New Roman"/>
          <w:color w:val="111111"/>
          <w:highlight w:val="white"/>
        </w:rPr>
        <w:t xml:space="preserve"> nothing but bad cold. Guess I pull off my coat too </w:t>
      </w:r>
      <w:proofErr w:type="gramStart"/>
      <w:r>
        <w:rPr>
          <w:rFonts w:ascii="Times New Roman" w:hAnsi="Times New Roman" w:cs="Times New Roman"/>
          <w:color w:val="111111"/>
          <w:highlight w:val="white"/>
        </w:rPr>
        <w:t>quick</w:t>
      </w:r>
      <w:proofErr w:type="gramEnd"/>
      <w:r>
        <w:rPr>
          <w:rFonts w:ascii="Times New Roman" w:hAnsi="Times New Roman" w:cs="Times New Roman"/>
          <w:color w:val="111111"/>
          <w:highlight w:val="white"/>
        </w:rPr>
        <w:t xml:space="preserve"> when I get too hot trying to stay with my dogs. When I </w:t>
      </w:r>
      <w:proofErr w:type="gramStart"/>
      <w:r>
        <w:rPr>
          <w:rFonts w:ascii="Times New Roman" w:hAnsi="Times New Roman" w:cs="Times New Roman"/>
          <w:color w:val="111111"/>
          <w:highlight w:val="white"/>
        </w:rPr>
        <w:t>rise</w:t>
      </w:r>
      <w:proofErr w:type="gramEnd"/>
      <w:r>
        <w:rPr>
          <w:rFonts w:ascii="Times New Roman" w:hAnsi="Times New Roman" w:cs="Times New Roman"/>
          <w:color w:val="111111"/>
          <w:highlight w:val="white"/>
        </w:rPr>
        <w:t xml:space="preserve"> up this morning my head is almost </w:t>
      </w:r>
      <w:proofErr w:type="gramStart"/>
      <w:r>
        <w:rPr>
          <w:rFonts w:ascii="Times New Roman" w:hAnsi="Times New Roman" w:cs="Times New Roman"/>
          <w:color w:val="111111"/>
          <w:highlight w:val="white"/>
        </w:rPr>
        <w:t>busted</w:t>
      </w:r>
      <w:proofErr w:type="gramEnd"/>
      <w:r>
        <w:rPr>
          <w:rFonts w:ascii="Times New Roman" w:hAnsi="Times New Roman" w:cs="Times New Roman"/>
          <w:color w:val="111111"/>
          <w:highlight w:val="white"/>
        </w:rPr>
        <w:t xml:space="preserve"> and I can’t breathe hardly. I feel like I </w:t>
      </w:r>
      <w:proofErr w:type="gramStart"/>
      <w:r>
        <w:rPr>
          <w:rFonts w:ascii="Times New Roman" w:hAnsi="Times New Roman" w:cs="Times New Roman"/>
          <w:color w:val="111111"/>
          <w:highlight w:val="white"/>
        </w:rPr>
        <w:t>been</w:t>
      </w:r>
      <w:proofErr w:type="gramEnd"/>
      <w:r>
        <w:rPr>
          <w:rFonts w:ascii="Times New Roman" w:hAnsi="Times New Roman" w:cs="Times New Roman"/>
          <w:color w:val="111111"/>
          <w:highlight w:val="white"/>
        </w:rPr>
        <w:t xml:space="preserve"> in calaboose all night in Eufaula. (52)</w:t>
      </w:r>
    </w:p>
    <w:p w14:paraId="309B15A5" w14:textId="77777777" w:rsidR="00287C65" w:rsidRDefault="00287C65" w:rsidP="00287C65">
      <w:pPr>
        <w:spacing w:line="480" w:lineRule="auto"/>
        <w:rPr>
          <w:rFonts w:ascii="Times New Roman" w:hAnsi="Times New Roman" w:cs="Times New Roman"/>
          <w:color w:val="111111"/>
          <w:highlight w:val="white"/>
        </w:rPr>
      </w:pPr>
      <w:r>
        <w:rPr>
          <w:rFonts w:ascii="Times New Roman" w:hAnsi="Times New Roman" w:cs="Times New Roman"/>
          <w:color w:val="111111"/>
          <w:highlight w:val="white"/>
        </w:rPr>
        <w:t xml:space="preserve">Only after sharing his personal news does Fus move on to address recent politics. Even then he reports it anecdotally, through the experience of a friend, Hagee: </w:t>
      </w:r>
    </w:p>
    <w:p w14:paraId="489A2F63" w14:textId="77777777" w:rsidR="00287C65" w:rsidRDefault="00287C65" w:rsidP="00287C65">
      <w:pPr>
        <w:spacing w:line="480" w:lineRule="auto"/>
        <w:ind w:left="720"/>
        <w:rPr>
          <w:rFonts w:ascii="Times New Roman" w:hAnsi="Times New Roman" w:cs="Times New Roman"/>
          <w:color w:val="111111"/>
          <w:highlight w:val="white"/>
        </w:rPr>
      </w:pPr>
      <w:r>
        <w:rPr>
          <w:rFonts w:ascii="Times New Roman" w:hAnsi="Times New Roman" w:cs="Times New Roman"/>
          <w:color w:val="111111"/>
          <w:highlight w:val="white"/>
        </w:rPr>
        <w:t xml:space="preserve">Well, Hagee </w:t>
      </w:r>
      <w:proofErr w:type="gramStart"/>
      <w:r>
        <w:rPr>
          <w:rFonts w:ascii="Times New Roman" w:hAnsi="Times New Roman" w:cs="Times New Roman"/>
          <w:color w:val="111111"/>
          <w:highlight w:val="white"/>
        </w:rPr>
        <w:t>was come</w:t>
      </w:r>
      <w:proofErr w:type="gramEnd"/>
      <w:r>
        <w:rPr>
          <w:rFonts w:ascii="Times New Roman" w:hAnsi="Times New Roman" w:cs="Times New Roman"/>
          <w:color w:val="111111"/>
          <w:highlight w:val="white"/>
        </w:rPr>
        <w:t xml:space="preserve"> back from Okmulgee yesterday. He got </w:t>
      </w:r>
      <w:proofErr w:type="gramStart"/>
      <w:r>
        <w:rPr>
          <w:rFonts w:ascii="Times New Roman" w:hAnsi="Times New Roman" w:cs="Times New Roman"/>
          <w:color w:val="111111"/>
          <w:highlight w:val="white"/>
        </w:rPr>
        <w:t>lots</w:t>
      </w:r>
      <w:proofErr w:type="gramEnd"/>
      <w:r>
        <w:rPr>
          <w:rFonts w:ascii="Times New Roman" w:hAnsi="Times New Roman" w:cs="Times New Roman"/>
          <w:color w:val="111111"/>
          <w:highlight w:val="white"/>
        </w:rPr>
        <w:t xml:space="preserve"> news to tell about Creek council. He says it </w:t>
      </w:r>
      <w:proofErr w:type="spellStart"/>
      <w:r>
        <w:rPr>
          <w:rFonts w:ascii="Times New Roman" w:hAnsi="Times New Roman" w:cs="Times New Roman"/>
          <w:color w:val="111111"/>
          <w:highlight w:val="white"/>
        </w:rPr>
        <w:t>ain’t</w:t>
      </w:r>
      <w:proofErr w:type="spellEnd"/>
      <w:r>
        <w:rPr>
          <w:rFonts w:ascii="Times New Roman" w:hAnsi="Times New Roman" w:cs="Times New Roman"/>
          <w:color w:val="111111"/>
          <w:highlight w:val="white"/>
        </w:rPr>
        <w:t xml:space="preserve"> do nothing but run in debt. He </w:t>
      </w:r>
      <w:proofErr w:type="gramStart"/>
      <w:r>
        <w:rPr>
          <w:rFonts w:ascii="Times New Roman" w:hAnsi="Times New Roman" w:cs="Times New Roman"/>
          <w:color w:val="111111"/>
          <w:highlight w:val="white"/>
        </w:rPr>
        <w:t>say</w:t>
      </w:r>
      <w:proofErr w:type="gramEnd"/>
      <w:r>
        <w:rPr>
          <w:rFonts w:ascii="Times New Roman" w:hAnsi="Times New Roman" w:cs="Times New Roman"/>
          <w:color w:val="111111"/>
          <w:highlight w:val="white"/>
        </w:rPr>
        <w:t xml:space="preserve"> it will be good thing when we get deeds so we can shut up that old council house if we can’t rent it to some </w:t>
      </w:r>
      <w:proofErr w:type="spellStart"/>
      <w:r>
        <w:rPr>
          <w:rFonts w:ascii="Times New Roman" w:hAnsi="Times New Roman" w:cs="Times New Roman"/>
          <w:color w:val="111111"/>
          <w:highlight w:val="white"/>
        </w:rPr>
        <w:t>mens</w:t>
      </w:r>
      <w:proofErr w:type="spellEnd"/>
      <w:r>
        <w:rPr>
          <w:rFonts w:ascii="Times New Roman" w:hAnsi="Times New Roman" w:cs="Times New Roman"/>
          <w:color w:val="111111"/>
          <w:highlight w:val="white"/>
        </w:rPr>
        <w:t xml:space="preserve"> like the Dawes commission that’s got lots of time and money from Washington. (52)</w:t>
      </w:r>
    </w:p>
    <w:p w14:paraId="5E18B7A3" w14:textId="77777777" w:rsidR="00287C65" w:rsidRDefault="00287C65" w:rsidP="00287C65">
      <w:pPr>
        <w:spacing w:line="480" w:lineRule="auto"/>
        <w:rPr>
          <w:rFonts w:ascii="Times New Roman" w:hAnsi="Times New Roman" w:cs="Times New Roman"/>
          <w:color w:val="111111"/>
          <w:highlight w:val="white"/>
        </w:rPr>
      </w:pPr>
      <w:r>
        <w:rPr>
          <w:rFonts w:ascii="Times New Roman" w:hAnsi="Times New Roman" w:cs="Times New Roman"/>
          <w:color w:val="111111"/>
          <w:highlight w:val="white"/>
        </w:rPr>
        <w:t xml:space="preserve">“News” like Hagee’s trip to Okmulgee travels by word of mouth in the Muscogee community first before being written down and reported to the newspaper by Fus. The Letters thus prioritize the doings and opinions of community members over the detached, “objective” representation of allotment. Rather than translating the “news” into dialect to inform ignorant readers, the Fus Fixico Letters refigures Muscogee citizens as agents of change within national events and demonstrates how the news—the process and results of allotment—actually happens at the level of the community. </w:t>
      </w:r>
    </w:p>
    <w:p w14:paraId="7549DDC6" w14:textId="77777777" w:rsidR="00287C65" w:rsidRDefault="00287C65" w:rsidP="00287C65">
      <w:pPr>
        <w:spacing w:line="480" w:lineRule="auto"/>
        <w:rPr>
          <w:rFonts w:ascii="Times New Roman" w:hAnsi="Times New Roman" w:cs="Times New Roman"/>
          <w:color w:val="111111"/>
          <w:highlight w:val="white"/>
        </w:rPr>
      </w:pPr>
      <w:r>
        <w:rPr>
          <w:rFonts w:ascii="Times New Roman" w:hAnsi="Times New Roman" w:cs="Times New Roman"/>
          <w:color w:val="111111"/>
          <w:highlight w:val="white"/>
        </w:rPr>
        <w:tab/>
        <w:t xml:space="preserve">This perspective in the Fus Fixico Letters may reflect the way that Posey’s family adapted to allotment. As has been pointed out, he supported allotment because he </w:t>
      </w:r>
      <w:r>
        <w:rPr>
          <w:rFonts w:ascii="Times New Roman" w:hAnsi="Times New Roman" w:cs="Times New Roman"/>
          <w:color w:val="111111"/>
          <w:highlight w:val="white"/>
        </w:rPr>
        <w:lastRenderedPageBreak/>
        <w:t xml:space="preserve">believed that individual farmers owning their land would economically transform Indian Territory and uplift all its inhabitants. However, evidence shows that the Posey family selected land allotments that would allow them to maintain their large kinship network and keep their extended family close by. In 1899, Posey’s father applied for allotments for himself, Nancy, and their children (except Alex), nine individuals altogether. They applied for allotments all within a few miles of each other in lands around Bald Hill. In 1902, Alex applied for allotments for himself and his two sons, Irving and Kipling, in the same area. The Posey family all lived and worked together in the same area, farming </w:t>
      </w:r>
      <w:proofErr w:type="spellStart"/>
      <w:r>
        <w:rPr>
          <w:rFonts w:ascii="Times New Roman" w:hAnsi="Times New Roman" w:cs="Times New Roman"/>
          <w:color w:val="111111"/>
          <w:highlight w:val="white"/>
        </w:rPr>
        <w:t>each others’</w:t>
      </w:r>
      <w:proofErr w:type="spellEnd"/>
      <w:r>
        <w:rPr>
          <w:rFonts w:ascii="Times New Roman" w:hAnsi="Times New Roman" w:cs="Times New Roman"/>
          <w:color w:val="111111"/>
          <w:highlight w:val="white"/>
        </w:rPr>
        <w:t xml:space="preserve"> allotments and visiting extended family members in nearby towns. Posey and his family traveled to Bald Hill often, but Posey also used his journalism to keep kinship ties alive. Daniel Littlefield writes that during his editorship of the </w:t>
      </w:r>
      <w:r>
        <w:rPr>
          <w:rFonts w:ascii="Times New Roman" w:hAnsi="Times New Roman" w:cs="Times New Roman"/>
          <w:i/>
          <w:color w:val="111111"/>
          <w:highlight w:val="white"/>
        </w:rPr>
        <w:t>Journal</w:t>
      </w:r>
      <w:r>
        <w:rPr>
          <w:rFonts w:ascii="Times New Roman" w:hAnsi="Times New Roman" w:cs="Times New Roman"/>
          <w:color w:val="111111"/>
          <w:highlight w:val="white"/>
        </w:rPr>
        <w:t xml:space="preserve">, Posey used local columns to report the local comings and goings of rural Muscogees—mostly his extended family in the nearby towns of </w:t>
      </w:r>
      <w:proofErr w:type="spellStart"/>
      <w:r>
        <w:rPr>
          <w:rFonts w:ascii="Times New Roman" w:hAnsi="Times New Roman" w:cs="Times New Roman"/>
          <w:color w:val="111111"/>
          <w:highlight w:val="white"/>
        </w:rPr>
        <w:t>Artussee</w:t>
      </w:r>
      <w:proofErr w:type="spellEnd"/>
      <w:r>
        <w:rPr>
          <w:rFonts w:ascii="Times New Roman" w:hAnsi="Times New Roman" w:cs="Times New Roman"/>
          <w:color w:val="111111"/>
          <w:highlight w:val="white"/>
        </w:rPr>
        <w:t xml:space="preserve"> and Mellette—in much the same way that Fus writes about his full blood acquaintances (</w:t>
      </w:r>
      <w:r>
        <w:rPr>
          <w:rFonts w:ascii="Times New Roman" w:hAnsi="Times New Roman" w:cs="Times New Roman"/>
          <w:i/>
          <w:color w:val="111111"/>
          <w:highlight w:val="white"/>
        </w:rPr>
        <w:t>Alex Posey</w:t>
      </w:r>
      <w:r>
        <w:rPr>
          <w:rFonts w:ascii="Times New Roman" w:hAnsi="Times New Roman" w:cs="Times New Roman"/>
          <w:color w:val="111111"/>
          <w:highlight w:val="white"/>
        </w:rPr>
        <w:t xml:space="preserve"> 141-2). Thus, the reversal of news in the Fus Fixico Letters reflects the real ways that the Posey family sustained kinship ties despite allotment’s efforts to sever these connections. </w:t>
      </w:r>
    </w:p>
    <w:p w14:paraId="2DCDF4E9" w14:textId="58E919B6" w:rsidR="00287C65" w:rsidRDefault="00287C65" w:rsidP="00287C65">
      <w:pPr>
        <w:spacing w:line="480" w:lineRule="auto"/>
        <w:rPr>
          <w:rFonts w:ascii="Times New Roman" w:hAnsi="Times New Roman" w:cs="Times New Roman"/>
          <w:color w:val="111111"/>
          <w:highlight w:val="white"/>
        </w:rPr>
      </w:pPr>
      <w:r>
        <w:tab/>
      </w:r>
      <w:r>
        <w:rPr>
          <w:rFonts w:ascii="Times New Roman" w:hAnsi="Times New Roman" w:cs="Times New Roman"/>
          <w:color w:val="111111"/>
          <w:highlight w:val="white"/>
        </w:rPr>
        <w:t xml:space="preserve">The </w:t>
      </w:r>
      <w:proofErr w:type="spellStart"/>
      <w:r>
        <w:rPr>
          <w:rFonts w:ascii="Times New Roman" w:hAnsi="Times New Roman" w:cs="Times New Roman"/>
          <w:color w:val="111111"/>
          <w:highlight w:val="white"/>
        </w:rPr>
        <w:t>Poseys</w:t>
      </w:r>
      <w:proofErr w:type="spellEnd"/>
      <w:r>
        <w:rPr>
          <w:rFonts w:ascii="Times New Roman" w:hAnsi="Times New Roman" w:cs="Times New Roman"/>
          <w:color w:val="111111"/>
          <w:highlight w:val="white"/>
        </w:rPr>
        <w:t xml:space="preserve"> used their allotments to maintain their extended family together, but Fus, Hotgun, and </w:t>
      </w:r>
      <w:proofErr w:type="spellStart"/>
      <w:r>
        <w:rPr>
          <w:rFonts w:ascii="Times New Roman" w:hAnsi="Times New Roman" w:cs="Times New Roman"/>
          <w:color w:val="111111"/>
          <w:highlight w:val="white"/>
        </w:rPr>
        <w:t>Toofpafka</w:t>
      </w:r>
      <w:proofErr w:type="spellEnd"/>
      <w:r>
        <w:rPr>
          <w:rFonts w:ascii="Times New Roman" w:hAnsi="Times New Roman" w:cs="Times New Roman"/>
          <w:color w:val="111111"/>
          <w:highlight w:val="white"/>
        </w:rPr>
        <w:t xml:space="preserve"> Micco have other ideas. The characters’ reactions to allotment </w:t>
      </w:r>
      <w:proofErr w:type="gramStart"/>
      <w:r>
        <w:rPr>
          <w:rFonts w:ascii="Times New Roman" w:hAnsi="Times New Roman" w:cs="Times New Roman"/>
          <w:color w:val="111111"/>
          <w:highlight w:val="white"/>
        </w:rPr>
        <w:t>is</w:t>
      </w:r>
      <w:proofErr w:type="gramEnd"/>
      <w:r>
        <w:rPr>
          <w:rFonts w:ascii="Times New Roman" w:hAnsi="Times New Roman" w:cs="Times New Roman"/>
          <w:color w:val="111111"/>
          <w:highlight w:val="white"/>
        </w:rPr>
        <w:t xml:space="preserve"> the </w:t>
      </w:r>
      <w:r>
        <w:br w:type="page"/>
      </w:r>
    </w:p>
    <w:p w14:paraId="51394B69" w14:textId="77777777" w:rsidR="00287C65" w:rsidRDefault="00287C65" w:rsidP="00287C65">
      <w:pPr>
        <w:spacing w:line="480" w:lineRule="auto"/>
        <w:rPr>
          <w:rFonts w:ascii="Times New Roman" w:hAnsi="Times New Roman" w:cs="Times New Roman"/>
          <w:color w:val="111111"/>
          <w:highlight w:val="white"/>
        </w:rPr>
      </w:pPr>
      <w:r>
        <w:rPr>
          <w:rFonts w:ascii="Times New Roman" w:hAnsi="Times New Roman" w:cs="Times New Roman"/>
          <w:noProof/>
          <w:color w:val="111111"/>
          <w:highlight w:val="white"/>
        </w:rPr>
        <w:lastRenderedPageBreak/>
        <mc:AlternateContent>
          <mc:Choice Requires="wps">
            <w:drawing>
              <wp:anchor distT="114300" distB="114300" distL="114300" distR="114300" simplePos="0" relativeHeight="251662336" behindDoc="0" locked="0" layoutInCell="1" hidden="0" allowOverlap="1" wp14:anchorId="5A3EBB3D" wp14:editId="33A1EBBA">
                <wp:simplePos x="0" y="0"/>
                <wp:positionH relativeFrom="margin">
                  <wp:align>center</wp:align>
                </wp:positionH>
                <wp:positionV relativeFrom="page">
                  <wp:posOffset>6205745</wp:posOffset>
                </wp:positionV>
                <wp:extent cx="5943600" cy="1663700"/>
                <wp:effectExtent l="0" t="0" r="0" b="0"/>
                <wp:wrapTopAndBottom distT="114300" distB="114300"/>
                <wp:docPr id="1" name="Text Box 1"/>
                <wp:cNvGraphicFramePr/>
                <a:graphic xmlns:a="http://schemas.openxmlformats.org/drawingml/2006/main">
                  <a:graphicData uri="http://schemas.microsoft.com/office/word/2010/wordprocessingShape">
                    <wps:wsp>
                      <wps:cNvSpPr txBox="1"/>
                      <wps:spPr>
                        <a:xfrm>
                          <a:off x="0" y="0"/>
                          <a:ext cx="5943600" cy="1663700"/>
                        </a:xfrm>
                        <a:prstGeom prst="rect">
                          <a:avLst/>
                        </a:prstGeom>
                        <a:noFill/>
                        <a:ln>
                          <a:noFill/>
                        </a:ln>
                      </wps:spPr>
                      <wps:txbx>
                        <w:txbxContent>
                          <w:p w14:paraId="3FB90CBE" w14:textId="77777777" w:rsidR="00287C65" w:rsidRDefault="00287C65" w:rsidP="00287C65">
                            <w:pPr>
                              <w:textDirection w:val="btLr"/>
                            </w:pPr>
                            <w:r>
                              <w:rPr>
                                <w:rFonts w:ascii="Times New Roman" w:hAnsi="Times New Roman" w:cs="Times New Roman"/>
                                <w:b/>
                                <w:color w:val="000000"/>
                              </w:rPr>
                              <w:t>Fig. 1</w:t>
                            </w:r>
                            <w:r>
                              <w:rPr>
                                <w:rFonts w:ascii="Times New Roman" w:hAnsi="Times New Roman" w:cs="Times New Roman"/>
                                <w:color w:val="000000"/>
                              </w:rPr>
                              <w:t xml:space="preserve">: Posey’s application to the Dawes Commission for allotment lands for himself and his two sons, Irving and Kipling Posey, dated April 16, 1902. These lands are all adjacent to and contiguous with allotments claimed by Posey’s parents and siblings. </w:t>
                            </w:r>
                            <w:r>
                              <w:rPr>
                                <w:rFonts w:ascii="Times New Roman" w:hAnsi="Times New Roman" w:cs="Times New Roman"/>
                                <w:color w:val="202121"/>
                                <w:highlight w:val="white"/>
                              </w:rPr>
                              <w:t>"Oklahoma, United States records," images, FamilySearch (https://www.familysearch.org/ark:/61903/3:1:S3HY-655S-4XR?view=explore : May 7, 2024), image 795 of 1016; United States. National Archives and Records Administration. Southwest Region.</w:t>
                            </w:r>
                          </w:p>
                        </w:txbxContent>
                      </wps:txbx>
                      <wps:bodyPr spcFirstLastPara="1" wrap="square" lIns="91425" tIns="91425" rIns="91425" bIns="91425" anchor="t" anchorCtr="0">
                        <a:noAutofit/>
                      </wps:bodyPr>
                    </wps:wsp>
                  </a:graphicData>
                </a:graphic>
              </wp:anchor>
            </w:drawing>
          </mc:Choice>
          <mc:Fallback>
            <w:pict>
              <v:shape w14:anchorId="5A3EBB3D" id="_x0000_s1029" type="#_x0000_t202" style="position:absolute;margin-left:0;margin-top:488.65pt;width:468pt;height:131pt;z-index:251662336;visibility:visible;mso-wrap-style:square;mso-wrap-distance-left:9pt;mso-wrap-distance-top:9pt;mso-wrap-distance-right:9pt;mso-wrap-distance-bottom:9pt;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" filled="f" stroked="f">
                <v:textbox inset="2.53958mm,2.53958mm,2.53958mm,2.53958mm">
                  <w:txbxContent>
                    <w:p w14:paraId="3FB90CBE" w14:textId="77777777" w:rsidR="00287C65" w:rsidRDefault="00287C65" w:rsidP="00287C65">
                      <w:pPr>
                        <w:textDirection w:val="btLr"/>
                      </w:pPr>
                      <w:r>
                        <w:rPr>
                          <w:rFonts w:ascii="Times New Roman" w:hAnsi="Times New Roman" w:cs="Times New Roman"/>
                          <w:b/>
                          <w:color w:val="000000"/>
                        </w:rPr>
                        <w:t>Fig. 1</w:t>
                      </w:r>
                      <w:r>
                        <w:rPr>
                          <w:rFonts w:ascii="Times New Roman" w:hAnsi="Times New Roman" w:cs="Times New Roman"/>
                          <w:color w:val="000000"/>
                        </w:rPr>
                        <w:t xml:space="preserve">: Posey’s application to the Dawes Commission for allotment lands for himself and his two sons, Irving and Kipling Posey, dated April 16, 1902. These lands are all adjacent to and contiguous with allotments claimed by Posey’s parents and siblings. </w:t>
                      </w:r>
                      <w:r>
                        <w:rPr>
                          <w:rFonts w:ascii="Times New Roman" w:hAnsi="Times New Roman" w:cs="Times New Roman"/>
                          <w:color w:val="202121"/>
                          <w:highlight w:val="white"/>
                        </w:rPr>
                        <w:t>"Oklahoma, United States records," images, FamilySearch (https://www.familysearch.org/ark:/61903/3:1:S3HY-655S-4XR?view=explore : May 7, 2024), image 795 of 1016; United States. National Archives and Records Administration. Southwest Region.</w:t>
                      </w:r>
                    </w:p>
                  </w:txbxContent>
                </v:textbox>
                <w10:wrap type="topAndBottom" anchorx="margin" anchory="page"/>
              </v:shape>
            </w:pict>
          </mc:Fallback>
        </mc:AlternateContent>
      </w:r>
      <w:r>
        <w:rPr>
          <w:rFonts w:ascii="Times New Roman" w:hAnsi="Times New Roman" w:cs="Times New Roman"/>
          <w:noProof/>
          <w:color w:val="111111"/>
          <w:highlight w:val="white"/>
        </w:rPr>
        <w:drawing>
          <wp:anchor distT="114300" distB="114300" distL="114300" distR="114300" simplePos="0" relativeHeight="251663360" behindDoc="0" locked="0" layoutInCell="1" hidden="0" allowOverlap="1" wp14:anchorId="65DD0CDE" wp14:editId="3861BEE9">
            <wp:simplePos x="0" y="0"/>
            <wp:positionH relativeFrom="margin">
              <wp:align>right</wp:align>
            </wp:positionH>
            <wp:positionV relativeFrom="margin">
              <wp:posOffset>268522</wp:posOffset>
            </wp:positionV>
            <wp:extent cx="5708650" cy="4299585"/>
            <wp:effectExtent l="0" t="0" r="6350" b="5715"/>
            <wp:wrapTopAndBottom distT="114300" distB="114300"/>
            <wp:docPr id="3" name="image1.png" descr="A close-up of a documen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1.png" descr="A close-up of a document&#10;&#10;Description automatically generated"/>
                    <pic:cNvPicPr preferRelativeResize="0"/>
                  </pic:nvPicPr>
                  <pic:blipFill>
                    <a:blip r:embed="rId15"/>
                    <a:srcRect/>
                    <a:stretch>
                      <a:fillRect/>
                    </a:stretch>
                  </pic:blipFill>
                  <pic:spPr>
                    <a:xfrm>
                      <a:off x="0" y="0"/>
                      <a:ext cx="5708650" cy="4299585"/>
                    </a:xfrm>
                    <a:prstGeom prst="rect">
                      <a:avLst/>
                    </a:prstGeom>
                    <a:ln/>
                  </pic:spPr>
                </pic:pic>
              </a:graphicData>
            </a:graphic>
            <wp14:sizeRelH relativeFrom="margin">
              <wp14:pctWidth>0</wp14:pctWidth>
            </wp14:sizeRelH>
            <wp14:sizeRelV relativeFrom="margin">
              <wp14:pctHeight>0</wp14:pctHeight>
            </wp14:sizeRelV>
          </wp:anchor>
        </w:drawing>
      </w:r>
      <w:r>
        <w:br w:type="page"/>
      </w:r>
    </w:p>
    <w:p w14:paraId="1E0EE0E6" w14:textId="77777777" w:rsidR="00287C65" w:rsidRDefault="00287C65" w:rsidP="00287C65">
      <w:pPr>
        <w:spacing w:line="480" w:lineRule="auto"/>
        <w:rPr>
          <w:rFonts w:ascii="Times New Roman" w:hAnsi="Times New Roman" w:cs="Times New Roman"/>
          <w:color w:val="111111"/>
          <w:highlight w:val="white"/>
        </w:rPr>
      </w:pPr>
      <w:r>
        <w:rPr>
          <w:rFonts w:ascii="Times New Roman" w:hAnsi="Times New Roman" w:cs="Times New Roman"/>
          <w:noProof/>
          <w:color w:val="111111"/>
          <w:highlight w:val="white"/>
        </w:rPr>
        <w:lastRenderedPageBreak/>
        <mc:AlternateContent>
          <mc:Choice Requires="wps">
            <w:drawing>
              <wp:anchor distT="114300" distB="114300" distL="114300" distR="114300" simplePos="0" relativeHeight="251664384" behindDoc="0" locked="0" layoutInCell="1" hidden="0" allowOverlap="1" wp14:anchorId="786D8926" wp14:editId="1D337E81">
                <wp:simplePos x="0" y="0"/>
                <wp:positionH relativeFrom="margin">
                  <wp:align>center</wp:align>
                </wp:positionH>
                <wp:positionV relativeFrom="margin">
                  <wp:posOffset>4620260</wp:posOffset>
                </wp:positionV>
                <wp:extent cx="5943600" cy="1658679"/>
                <wp:effectExtent l="0" t="0" r="0" b="0"/>
                <wp:wrapTopAndBottom distT="114300" distB="114300"/>
                <wp:docPr id="2" name="Text Box 2"/>
                <wp:cNvGraphicFramePr/>
                <a:graphic xmlns:a="http://schemas.openxmlformats.org/drawingml/2006/main">
                  <a:graphicData uri="http://schemas.microsoft.com/office/word/2010/wordprocessingShape">
                    <wps:wsp>
                      <wps:cNvSpPr txBox="1"/>
                      <wps:spPr>
                        <a:xfrm>
                          <a:off x="0" y="0"/>
                          <a:ext cx="5943600" cy="1658679"/>
                        </a:xfrm>
                        <a:prstGeom prst="rect">
                          <a:avLst/>
                        </a:prstGeom>
                        <a:noFill/>
                        <a:ln>
                          <a:noFill/>
                        </a:ln>
                      </wps:spPr>
                      <wps:txbx>
                        <w:txbxContent>
                          <w:p w14:paraId="363DFD8D" w14:textId="77777777" w:rsidR="00287C65" w:rsidRDefault="00287C65" w:rsidP="00287C65">
                            <w:pPr>
                              <w:textDirection w:val="btLr"/>
                            </w:pPr>
                            <w:r>
                              <w:rPr>
                                <w:rFonts w:ascii="Times New Roman" w:hAnsi="Times New Roman" w:cs="Times New Roman"/>
                                <w:b/>
                                <w:color w:val="000000"/>
                              </w:rPr>
                              <w:t xml:space="preserve">Fig. 2: </w:t>
                            </w:r>
                            <w:r>
                              <w:rPr>
                                <w:rFonts w:ascii="Times New Roman" w:hAnsi="Times New Roman" w:cs="Times New Roman"/>
                                <w:color w:val="000000"/>
                              </w:rPr>
                              <w:t xml:space="preserve">A map showing the Posey family’s contiguous allotments, circa 1910. In order to facilitate the disbursement of tribal lands, the Dawes Commission imposed a grid on Indian Territory, identifying 160-acre parcels according to Section, Town, and Range. Posey’s plot occupies Section 17, Town 10, Range 15.  E. </w:t>
                            </w:r>
                            <w:proofErr w:type="spellStart"/>
                            <w:r>
                              <w:rPr>
                                <w:rFonts w:ascii="Times New Roman" w:hAnsi="Times New Roman" w:cs="Times New Roman"/>
                                <w:color w:val="000000"/>
                              </w:rPr>
                              <w:t>Hastain</w:t>
                            </w:r>
                            <w:proofErr w:type="spellEnd"/>
                            <w:r>
                              <w:rPr>
                                <w:rFonts w:ascii="Times New Roman" w:hAnsi="Times New Roman" w:cs="Times New Roman"/>
                                <w:color w:val="000000"/>
                              </w:rPr>
                              <w:t xml:space="preserve">. </w:t>
                            </w:r>
                            <w:proofErr w:type="spellStart"/>
                            <w:r>
                              <w:rPr>
                                <w:rFonts w:ascii="Times New Roman" w:hAnsi="Times New Roman" w:cs="Times New Roman"/>
                                <w:i/>
                                <w:color w:val="000000"/>
                              </w:rPr>
                              <w:t>Hastain’s</w:t>
                            </w:r>
                            <w:proofErr w:type="spellEnd"/>
                            <w:r>
                              <w:rPr>
                                <w:rFonts w:ascii="Times New Roman" w:hAnsi="Times New Roman" w:cs="Times New Roman"/>
                                <w:i/>
                                <w:color w:val="000000"/>
                              </w:rPr>
                              <w:t xml:space="preserve"> Township Plats of the Creek Nation</w:t>
                            </w:r>
                            <w:r>
                              <w:rPr>
                                <w:rFonts w:ascii="Times New Roman" w:hAnsi="Times New Roman" w:cs="Times New Roman"/>
                                <w:color w:val="000000"/>
                              </w:rPr>
                              <w:t xml:space="preserve">. Model Printing Co., 1910, 214. Internet Archive. </w:t>
                            </w:r>
                            <w:r w:rsidRPr="001F6217">
                              <w:rPr>
                                <w:rFonts w:ascii="Times New Roman" w:hAnsi="Times New Roman" w:cs="Times New Roman"/>
                              </w:rPr>
                              <w:t xml:space="preserve">https://archive.org/details/hastainstownship00hast/page/214/mode/2up. </w:t>
                            </w:r>
                          </w:p>
                        </w:txbxContent>
                      </wps:txbx>
                      <wps:bodyPr spcFirstLastPara="1" wrap="square" lIns="91425" tIns="91425" rIns="91425" bIns="91425" anchor="t" anchorCtr="0">
                        <a:noAutofit/>
                      </wps:bodyPr>
                    </wps:wsp>
                  </a:graphicData>
                </a:graphic>
              </wp:anchor>
            </w:drawing>
          </mc:Choice>
          <mc:Fallback>
            <w:pict>
              <v:shape w14:anchorId="786D8926" id="Text Box 2" o:spid="_x0000_s1030" type="#_x0000_t202" style="position:absolute;margin-left:0;margin-top:363.8pt;width:468pt;height:130.6pt;z-index:251664384;visibility:visible;mso-wrap-style:square;mso-wrap-distance-left:9pt;mso-wrap-distance-top:9pt;mso-wrap-distance-right:9pt;mso-wrap-distance-bottom:9pt;mso-position-horizontal:center;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" filled="f" stroked="f">
                <v:textbox inset="2.53958mm,2.53958mm,2.53958mm,2.53958mm">
                  <w:txbxContent>
                    <w:p w14:paraId="363DFD8D" w14:textId="77777777" w:rsidR="00287C65" w:rsidRDefault="00287C65" w:rsidP="00287C65">
                      <w:pPr>
                        <w:textDirection w:val="btLr"/>
                      </w:pPr>
                      <w:r>
                        <w:rPr>
                          <w:rFonts w:ascii="Times New Roman" w:hAnsi="Times New Roman" w:cs="Times New Roman"/>
                          <w:b/>
                          <w:color w:val="000000"/>
                        </w:rPr>
                        <w:t xml:space="preserve">Fig. 2: </w:t>
                      </w:r>
                      <w:r>
                        <w:rPr>
                          <w:rFonts w:ascii="Times New Roman" w:hAnsi="Times New Roman" w:cs="Times New Roman"/>
                          <w:color w:val="000000"/>
                        </w:rPr>
                        <w:t xml:space="preserve">A map showing the Posey family’s contiguous allotments, circa 1910. In order to facilitate the disbursement of tribal lands, the Dawes Commission imposed a grid on Indian Territory, identifying 160-acre parcels according to Section, Town, and Range. Posey’s plot occupies Section 17, Town 10, Range 15.  E. </w:t>
                      </w:r>
                      <w:proofErr w:type="spellStart"/>
                      <w:r>
                        <w:rPr>
                          <w:rFonts w:ascii="Times New Roman" w:hAnsi="Times New Roman" w:cs="Times New Roman"/>
                          <w:color w:val="000000"/>
                        </w:rPr>
                        <w:t>Hastain</w:t>
                      </w:r>
                      <w:proofErr w:type="spellEnd"/>
                      <w:r>
                        <w:rPr>
                          <w:rFonts w:ascii="Times New Roman" w:hAnsi="Times New Roman" w:cs="Times New Roman"/>
                          <w:color w:val="000000"/>
                        </w:rPr>
                        <w:t xml:space="preserve">. </w:t>
                      </w:r>
                      <w:proofErr w:type="spellStart"/>
                      <w:r>
                        <w:rPr>
                          <w:rFonts w:ascii="Times New Roman" w:hAnsi="Times New Roman" w:cs="Times New Roman"/>
                          <w:i/>
                          <w:color w:val="000000"/>
                        </w:rPr>
                        <w:t>Hastain’s</w:t>
                      </w:r>
                      <w:proofErr w:type="spellEnd"/>
                      <w:r>
                        <w:rPr>
                          <w:rFonts w:ascii="Times New Roman" w:hAnsi="Times New Roman" w:cs="Times New Roman"/>
                          <w:i/>
                          <w:color w:val="000000"/>
                        </w:rPr>
                        <w:t xml:space="preserve"> Township Plats of the Creek Nation</w:t>
                      </w:r>
                      <w:r>
                        <w:rPr>
                          <w:rFonts w:ascii="Times New Roman" w:hAnsi="Times New Roman" w:cs="Times New Roman"/>
                          <w:color w:val="000000"/>
                        </w:rPr>
                        <w:t xml:space="preserve">. Model Printing Co., 1910, 214. Internet Archive. </w:t>
                      </w:r>
                      <w:r w:rsidRPr="001F6217">
                        <w:rPr>
                          <w:rFonts w:ascii="Times New Roman" w:hAnsi="Times New Roman" w:cs="Times New Roman"/>
                        </w:rPr>
                        <w:t xml:space="preserve">https://archive.org/details/hastainstownship00hast/page/214/mode/2up. </w:t>
                      </w:r>
                    </w:p>
                  </w:txbxContent>
                </v:textbox>
                <w10:wrap type="topAndBottom" anchorx="margin" anchory="margin"/>
              </v:shape>
            </w:pict>
          </mc:Fallback>
        </mc:AlternateContent>
      </w:r>
      <w:r>
        <w:rPr>
          <w:rFonts w:ascii="Times New Roman" w:hAnsi="Times New Roman" w:cs="Times New Roman"/>
          <w:noProof/>
          <w:color w:val="111111"/>
          <w:highlight w:val="white"/>
        </w:rPr>
        <w:drawing>
          <wp:anchor distT="114300" distB="114300" distL="114300" distR="114300" simplePos="0" relativeHeight="251665408" behindDoc="0" locked="0" layoutInCell="1" hidden="0" allowOverlap="1" wp14:anchorId="5B88CC8A" wp14:editId="18E5B967">
            <wp:simplePos x="0" y="0"/>
            <wp:positionH relativeFrom="margin">
              <wp:posOffset>-165100</wp:posOffset>
            </wp:positionH>
            <wp:positionV relativeFrom="page">
              <wp:posOffset>1816100</wp:posOffset>
            </wp:positionV>
            <wp:extent cx="5651500" cy="3949700"/>
            <wp:effectExtent l="0" t="0" r="6350" b="0"/>
            <wp:wrapTopAndBottom distT="114300" distB="114300"/>
            <wp:docPr id="4" name="image2.png" descr="A close-up of a crossword puzzle&#10;&#10;Description automatically generated"/>
            <wp:cNvGraphicFramePr/>
            <a:graphic xmlns:a="http://schemas.openxmlformats.org/drawingml/2006/main">
              <a:graphicData uri="http://schemas.openxmlformats.org/drawingml/2006/picture">
                <pic:pic xmlns:pic="http://schemas.openxmlformats.org/drawingml/2006/picture">
                  <pic:nvPicPr>
                    <pic:cNvPr id="4" name="image2.png" descr="A close-up of a crossword puzzle&#10;&#10;Description automatically generated"/>
                    <pic:cNvPicPr preferRelativeResize="0"/>
                  </pic:nvPicPr>
                  <pic:blipFill>
                    <a:blip r:embed="rId16"/>
                    <a:srcRect/>
                    <a:stretch>
                      <a:fillRect/>
                    </a:stretch>
                  </pic:blipFill>
                  <pic:spPr>
                    <a:xfrm>
                      <a:off x="0" y="0"/>
                      <a:ext cx="5651500" cy="3949700"/>
                    </a:xfrm>
                    <a:prstGeom prst="rect">
                      <a:avLst/>
                    </a:prstGeom>
                    <a:ln/>
                  </pic:spPr>
                </pic:pic>
              </a:graphicData>
            </a:graphic>
            <wp14:sizeRelH relativeFrom="margin">
              <wp14:pctWidth>0</wp14:pctWidth>
            </wp14:sizeRelH>
            <wp14:sizeRelV relativeFrom="margin">
              <wp14:pctHeight>0</wp14:pctHeight>
            </wp14:sizeRelV>
          </wp:anchor>
        </w:drawing>
      </w:r>
      <w:r>
        <w:br w:type="page"/>
      </w:r>
    </w:p>
    <w:p w14:paraId="3BD6A4A8" w14:textId="018C358F" w:rsidR="00287C65" w:rsidRDefault="009E5931" w:rsidP="00287C65">
      <w:pPr>
        <w:spacing w:line="480" w:lineRule="auto"/>
        <w:rPr>
          <w:rFonts w:ascii="Times New Roman" w:hAnsi="Times New Roman" w:cs="Times New Roman"/>
          <w:color w:val="111111"/>
          <w:highlight w:val="white"/>
        </w:rPr>
      </w:pPr>
      <w:r>
        <w:rPr>
          <w:rFonts w:ascii="Times New Roman" w:hAnsi="Times New Roman" w:cs="Times New Roman"/>
          <w:color w:val="111111"/>
          <w:highlight w:val="white"/>
        </w:rPr>
        <w:lastRenderedPageBreak/>
        <w:t xml:space="preserve">source of </w:t>
      </w:r>
      <w:proofErr w:type="gramStart"/>
      <w:r>
        <w:rPr>
          <w:rFonts w:ascii="Times New Roman" w:hAnsi="Times New Roman" w:cs="Times New Roman"/>
          <w:color w:val="111111"/>
          <w:highlight w:val="white"/>
        </w:rPr>
        <w:t>much humor</w:t>
      </w:r>
      <w:proofErr w:type="gramEnd"/>
      <w:r>
        <w:rPr>
          <w:rFonts w:ascii="Times New Roman" w:hAnsi="Times New Roman" w:cs="Times New Roman"/>
          <w:color w:val="111111"/>
          <w:highlight w:val="white"/>
        </w:rPr>
        <w:t xml:space="preserve"> in the Letters.  In the early Letters, Fus is eager to get his hands on the deed to his allotment so that he can sell it to white land speculators. Initially, the U.S. government and Muscogee Nation did not allow allottees to sell their </w:t>
      </w:r>
      <w:r w:rsidR="00287C65">
        <w:rPr>
          <w:rFonts w:ascii="Times New Roman" w:hAnsi="Times New Roman" w:cs="Times New Roman"/>
          <w:color w:val="111111"/>
          <w:highlight w:val="white"/>
        </w:rPr>
        <w:t xml:space="preserve">land, so Fus here is acting illegally, which explains why he is so anxious to get his deed. In Letter No. 3 (November 1902) he complains, “I don’t know what I do if I don’t get my deed pretty soon. The land buyer </w:t>
      </w:r>
      <w:proofErr w:type="gramStart"/>
      <w:r w:rsidR="00287C65">
        <w:rPr>
          <w:rFonts w:ascii="Times New Roman" w:hAnsi="Times New Roman" w:cs="Times New Roman"/>
          <w:color w:val="111111"/>
          <w:highlight w:val="white"/>
        </w:rPr>
        <w:t>say</w:t>
      </w:r>
      <w:proofErr w:type="gramEnd"/>
      <w:r w:rsidR="00287C65">
        <w:rPr>
          <w:rFonts w:ascii="Times New Roman" w:hAnsi="Times New Roman" w:cs="Times New Roman"/>
          <w:color w:val="111111"/>
          <w:highlight w:val="white"/>
        </w:rPr>
        <w:t xml:space="preserve"> he can’t give me but 15 c[ents] for my land if them deeds don’t show up” (Posey, </w:t>
      </w:r>
      <w:r w:rsidR="00287C65">
        <w:rPr>
          <w:rFonts w:ascii="Times New Roman" w:hAnsi="Times New Roman" w:cs="Times New Roman"/>
          <w:i/>
          <w:color w:val="111111"/>
          <w:highlight w:val="white"/>
        </w:rPr>
        <w:t>Fus Fixico</w:t>
      </w:r>
      <w:r w:rsidR="00287C65">
        <w:rPr>
          <w:rFonts w:ascii="Times New Roman" w:hAnsi="Times New Roman" w:cs="Times New Roman"/>
          <w:color w:val="111111"/>
          <w:highlight w:val="white"/>
        </w:rPr>
        <w:t xml:space="preserve"> 56). However, in the meantime, Fus figures out that he can charge purchases to his allotment at white businesses in town without actually holding his deed. Borrowing against the value of one’s allotment was called “buying on land.” In Letter No. 1 (October 1902) he writes, “I was up to Muskogee last week and buy heap stuff on my land. Them white </w:t>
      </w:r>
      <w:proofErr w:type="spellStart"/>
      <w:r w:rsidR="00287C65">
        <w:rPr>
          <w:rFonts w:ascii="Times New Roman" w:hAnsi="Times New Roman" w:cs="Times New Roman"/>
          <w:color w:val="111111"/>
          <w:highlight w:val="white"/>
        </w:rPr>
        <w:t>mens</w:t>
      </w:r>
      <w:proofErr w:type="spellEnd"/>
      <w:r w:rsidR="00287C65">
        <w:rPr>
          <w:rFonts w:ascii="Times New Roman" w:hAnsi="Times New Roman" w:cs="Times New Roman"/>
          <w:color w:val="111111"/>
          <w:highlight w:val="white"/>
        </w:rPr>
        <w:t xml:space="preserve"> was good to me. Next time I </w:t>
      </w:r>
      <w:proofErr w:type="gramStart"/>
      <w:r w:rsidR="00287C65">
        <w:rPr>
          <w:rFonts w:ascii="Times New Roman" w:hAnsi="Times New Roman" w:cs="Times New Roman"/>
          <w:color w:val="111111"/>
          <w:highlight w:val="white"/>
        </w:rPr>
        <w:t>go</w:t>
      </w:r>
      <w:proofErr w:type="gramEnd"/>
      <w:r w:rsidR="00287C65">
        <w:rPr>
          <w:rFonts w:ascii="Times New Roman" w:hAnsi="Times New Roman" w:cs="Times New Roman"/>
          <w:color w:val="111111"/>
          <w:highlight w:val="white"/>
        </w:rPr>
        <w:t xml:space="preserve"> to Checotah, or maybe Eufaula, and buy stuff the same way” (52).  Fus’s tricks show how many Muscogees took advantage of the Dawes Commission’s disorganization to capitalize on allotment to benefit themselves and their families. </w:t>
      </w:r>
    </w:p>
    <w:p w14:paraId="3477975A" w14:textId="77777777" w:rsidR="00287C65" w:rsidRDefault="00287C65" w:rsidP="00287C65">
      <w:pPr>
        <w:spacing w:line="480" w:lineRule="auto"/>
        <w:rPr>
          <w:rFonts w:ascii="Times New Roman" w:hAnsi="Times New Roman" w:cs="Times New Roman"/>
          <w:color w:val="111111"/>
          <w:highlight w:val="white"/>
        </w:rPr>
      </w:pPr>
      <w:r>
        <w:rPr>
          <w:rFonts w:ascii="Times New Roman" w:hAnsi="Times New Roman" w:cs="Times New Roman"/>
          <w:color w:val="111111"/>
          <w:highlight w:val="white"/>
        </w:rPr>
        <w:tab/>
        <w:t xml:space="preserve">The full blood characters Hotgun and </w:t>
      </w:r>
      <w:proofErr w:type="spellStart"/>
      <w:r>
        <w:rPr>
          <w:rFonts w:ascii="Times New Roman" w:hAnsi="Times New Roman" w:cs="Times New Roman"/>
          <w:color w:val="111111"/>
          <w:highlight w:val="white"/>
        </w:rPr>
        <w:t>Toofpafka</w:t>
      </w:r>
      <w:proofErr w:type="spellEnd"/>
      <w:r>
        <w:rPr>
          <w:rFonts w:ascii="Times New Roman" w:hAnsi="Times New Roman" w:cs="Times New Roman"/>
          <w:color w:val="111111"/>
          <w:highlight w:val="white"/>
        </w:rPr>
        <w:t xml:space="preserve"> Micco react differently to allotment. Hotgun and </w:t>
      </w:r>
      <w:proofErr w:type="spellStart"/>
      <w:r>
        <w:rPr>
          <w:rFonts w:ascii="Times New Roman" w:hAnsi="Times New Roman" w:cs="Times New Roman"/>
          <w:color w:val="111111"/>
          <w:highlight w:val="white"/>
        </w:rPr>
        <w:t>Toofpafka</w:t>
      </w:r>
      <w:proofErr w:type="spellEnd"/>
      <w:r>
        <w:rPr>
          <w:rFonts w:ascii="Times New Roman" w:hAnsi="Times New Roman" w:cs="Times New Roman"/>
          <w:color w:val="111111"/>
          <w:highlight w:val="white"/>
        </w:rPr>
        <w:t xml:space="preserve"> Micco are both Snakes, followers of Chitto Harjo, and so reject allotment as a betrayal of the 1832 Treaty. Many full bloods, Snakes or not, simply refused to apply for allotment. In Letter No. 4 (December 1902) Fus reports that Hotgun and his fellow Snake </w:t>
      </w:r>
      <w:proofErr w:type="spellStart"/>
      <w:r>
        <w:rPr>
          <w:rFonts w:ascii="Times New Roman" w:hAnsi="Times New Roman" w:cs="Times New Roman"/>
          <w:color w:val="111111"/>
          <w:highlight w:val="white"/>
        </w:rPr>
        <w:t>Choela</w:t>
      </w:r>
      <w:proofErr w:type="spellEnd"/>
      <w:r>
        <w:rPr>
          <w:rFonts w:ascii="Times New Roman" w:hAnsi="Times New Roman" w:cs="Times New Roman"/>
          <w:color w:val="111111"/>
          <w:highlight w:val="white"/>
        </w:rPr>
        <w:t xml:space="preserve"> “was </w:t>
      </w:r>
      <w:proofErr w:type="spellStart"/>
      <w:r>
        <w:rPr>
          <w:rFonts w:ascii="Times New Roman" w:hAnsi="Times New Roman" w:cs="Times New Roman"/>
          <w:color w:val="111111"/>
          <w:highlight w:val="white"/>
        </w:rPr>
        <w:t>druther</w:t>
      </w:r>
      <w:proofErr w:type="spellEnd"/>
      <w:r>
        <w:rPr>
          <w:rFonts w:ascii="Times New Roman" w:hAnsi="Times New Roman" w:cs="Times New Roman"/>
          <w:color w:val="111111"/>
          <w:highlight w:val="white"/>
        </w:rPr>
        <w:t xml:space="preserve"> have a ticket to Mexico instead of a deed” and Fus worries that “if Porter don’t hurry up maybe they go horseback or ‘foot” (58). Some Snakes and other full blood separatists considered emigrating to Mexico as an </w:t>
      </w:r>
      <w:r>
        <w:rPr>
          <w:rFonts w:ascii="Times New Roman" w:hAnsi="Times New Roman" w:cs="Times New Roman"/>
          <w:color w:val="111111"/>
          <w:highlight w:val="white"/>
        </w:rPr>
        <w:lastRenderedPageBreak/>
        <w:t xml:space="preserve">alternative to forced assimilation into the U.S. Fus pokes fun at Hotgun and </w:t>
      </w:r>
      <w:proofErr w:type="spellStart"/>
      <w:r>
        <w:rPr>
          <w:rFonts w:ascii="Times New Roman" w:hAnsi="Times New Roman" w:cs="Times New Roman"/>
          <w:color w:val="111111"/>
          <w:highlight w:val="white"/>
        </w:rPr>
        <w:t>Choela</w:t>
      </w:r>
      <w:proofErr w:type="spellEnd"/>
      <w:r>
        <w:rPr>
          <w:rFonts w:ascii="Times New Roman" w:hAnsi="Times New Roman" w:cs="Times New Roman"/>
          <w:color w:val="111111"/>
          <w:highlight w:val="white"/>
        </w:rPr>
        <w:t xml:space="preserve"> by suggesting that the only reason they haven’t emigrated yet is because they, too, are waiting on Porter to follow through with their train tickets. Like Fus, </w:t>
      </w:r>
      <w:proofErr w:type="spellStart"/>
      <w:r>
        <w:rPr>
          <w:rFonts w:ascii="Times New Roman" w:hAnsi="Times New Roman" w:cs="Times New Roman"/>
          <w:color w:val="111111"/>
          <w:highlight w:val="white"/>
        </w:rPr>
        <w:t>Tookfpafka</w:t>
      </w:r>
      <w:proofErr w:type="spellEnd"/>
      <w:r>
        <w:rPr>
          <w:rFonts w:ascii="Times New Roman" w:hAnsi="Times New Roman" w:cs="Times New Roman"/>
          <w:color w:val="111111"/>
          <w:highlight w:val="white"/>
        </w:rPr>
        <w:t xml:space="preserve"> Micco also seeks to sell his allotment land, though not for any personal gain. Fus reports on a conversation with </w:t>
      </w:r>
      <w:proofErr w:type="spellStart"/>
      <w:r>
        <w:rPr>
          <w:rFonts w:ascii="Times New Roman" w:hAnsi="Times New Roman" w:cs="Times New Roman"/>
          <w:color w:val="111111"/>
          <w:highlight w:val="white"/>
        </w:rPr>
        <w:t>Tookpafka</w:t>
      </w:r>
      <w:proofErr w:type="spellEnd"/>
      <w:r>
        <w:rPr>
          <w:rFonts w:ascii="Times New Roman" w:hAnsi="Times New Roman" w:cs="Times New Roman"/>
          <w:color w:val="111111"/>
          <w:highlight w:val="white"/>
        </w:rPr>
        <w:t xml:space="preserve"> Micco: </w:t>
      </w:r>
    </w:p>
    <w:p w14:paraId="6AF614C2" w14:textId="77777777" w:rsidR="00287C65" w:rsidRDefault="00287C65" w:rsidP="00287C65">
      <w:pPr>
        <w:spacing w:line="480" w:lineRule="auto"/>
        <w:ind w:left="720"/>
        <w:rPr>
          <w:rFonts w:ascii="Times New Roman" w:hAnsi="Times New Roman" w:cs="Times New Roman"/>
          <w:color w:val="111111"/>
          <w:highlight w:val="white"/>
        </w:rPr>
      </w:pPr>
      <w:r>
        <w:rPr>
          <w:rFonts w:ascii="Times New Roman" w:hAnsi="Times New Roman" w:cs="Times New Roman"/>
          <w:color w:val="111111"/>
          <w:highlight w:val="white"/>
        </w:rPr>
        <w:t>“</w:t>
      </w:r>
      <w:proofErr w:type="spellStart"/>
      <w:proofErr w:type="gramStart"/>
      <w:r>
        <w:rPr>
          <w:rFonts w:ascii="Times New Roman" w:hAnsi="Times New Roman" w:cs="Times New Roman"/>
          <w:color w:val="111111"/>
          <w:highlight w:val="white"/>
        </w:rPr>
        <w:t>Toofpafka</w:t>
      </w:r>
      <w:proofErr w:type="spellEnd"/>
      <w:r>
        <w:rPr>
          <w:rFonts w:ascii="Times New Roman" w:hAnsi="Times New Roman" w:cs="Times New Roman"/>
          <w:color w:val="111111"/>
          <w:highlight w:val="white"/>
        </w:rPr>
        <w:t xml:space="preserve"> Micco</w:t>
      </w:r>
      <w:proofErr w:type="gramEnd"/>
      <w:r>
        <w:rPr>
          <w:rFonts w:ascii="Times New Roman" w:hAnsi="Times New Roman" w:cs="Times New Roman"/>
          <w:color w:val="111111"/>
          <w:highlight w:val="white"/>
        </w:rPr>
        <w:t xml:space="preserve"> he say he </w:t>
      </w:r>
      <w:proofErr w:type="spellStart"/>
      <w:r>
        <w:rPr>
          <w:rFonts w:ascii="Times New Roman" w:hAnsi="Times New Roman" w:cs="Times New Roman"/>
          <w:color w:val="111111"/>
          <w:highlight w:val="white"/>
        </w:rPr>
        <w:t>druther</w:t>
      </w:r>
      <w:proofErr w:type="spellEnd"/>
      <w:r>
        <w:rPr>
          <w:rFonts w:ascii="Times New Roman" w:hAnsi="Times New Roman" w:cs="Times New Roman"/>
          <w:color w:val="111111"/>
          <w:highlight w:val="white"/>
        </w:rPr>
        <w:t xml:space="preserve"> had a deed to his land than a big name in the newspaper. When I ask him what he do after he sell his land, he </w:t>
      </w:r>
      <w:proofErr w:type="gramStart"/>
      <w:r>
        <w:rPr>
          <w:rFonts w:ascii="Times New Roman" w:hAnsi="Times New Roman" w:cs="Times New Roman"/>
          <w:color w:val="111111"/>
          <w:highlight w:val="white"/>
        </w:rPr>
        <w:t>say</w:t>
      </w:r>
      <w:proofErr w:type="gramEnd"/>
      <w:r>
        <w:rPr>
          <w:rFonts w:ascii="Times New Roman" w:hAnsi="Times New Roman" w:cs="Times New Roman"/>
          <w:color w:val="111111"/>
          <w:highlight w:val="white"/>
        </w:rPr>
        <w:t xml:space="preserve"> he don’t know…Then he say was let the future take care of its own self like a calf when it was get too old to suck. Guess so </w:t>
      </w:r>
      <w:proofErr w:type="spellStart"/>
      <w:r>
        <w:rPr>
          <w:rFonts w:ascii="Times New Roman" w:hAnsi="Times New Roman" w:cs="Times New Roman"/>
          <w:color w:val="111111"/>
          <w:highlight w:val="white"/>
        </w:rPr>
        <w:t>Toofpafka</w:t>
      </w:r>
      <w:proofErr w:type="spellEnd"/>
      <w:r>
        <w:rPr>
          <w:rFonts w:ascii="Times New Roman" w:hAnsi="Times New Roman" w:cs="Times New Roman"/>
          <w:color w:val="111111"/>
          <w:highlight w:val="white"/>
        </w:rPr>
        <w:t xml:space="preserve"> Micco was made up his mind to drink sofky and eat sour bread and be glad like a young cat with a ball a yarn before the </w:t>
      </w:r>
      <w:proofErr w:type="gramStart"/>
      <w:r>
        <w:rPr>
          <w:rFonts w:ascii="Times New Roman" w:hAnsi="Times New Roman" w:cs="Times New Roman"/>
          <w:color w:val="111111"/>
          <w:highlight w:val="white"/>
        </w:rPr>
        <w:t>fire place</w:t>
      </w:r>
      <w:proofErr w:type="gramEnd"/>
      <w:r>
        <w:rPr>
          <w:rFonts w:ascii="Times New Roman" w:hAnsi="Times New Roman" w:cs="Times New Roman"/>
          <w:color w:val="111111"/>
          <w:highlight w:val="white"/>
        </w:rPr>
        <w:t xml:space="preserve"> in the winter time.” (87-88) </w:t>
      </w:r>
    </w:p>
    <w:p w14:paraId="7D875819" w14:textId="77777777" w:rsidR="00287C65" w:rsidRDefault="00287C65" w:rsidP="00287C65">
      <w:pPr>
        <w:spacing w:line="480" w:lineRule="auto"/>
        <w:rPr>
          <w:rFonts w:ascii="Times New Roman" w:hAnsi="Times New Roman" w:cs="Times New Roman"/>
          <w:color w:val="111111"/>
          <w:highlight w:val="white"/>
        </w:rPr>
      </w:pPr>
      <w:r>
        <w:rPr>
          <w:rFonts w:ascii="Times New Roman" w:hAnsi="Times New Roman" w:cs="Times New Roman"/>
          <w:color w:val="111111"/>
          <w:highlight w:val="white"/>
        </w:rPr>
        <w:t xml:space="preserve">Like Hotgun, </w:t>
      </w:r>
      <w:proofErr w:type="spellStart"/>
      <w:r>
        <w:rPr>
          <w:rFonts w:ascii="Times New Roman" w:hAnsi="Times New Roman" w:cs="Times New Roman"/>
          <w:color w:val="111111"/>
          <w:highlight w:val="white"/>
        </w:rPr>
        <w:t>Choela</w:t>
      </w:r>
      <w:proofErr w:type="spellEnd"/>
      <w:r>
        <w:rPr>
          <w:rFonts w:ascii="Times New Roman" w:hAnsi="Times New Roman" w:cs="Times New Roman"/>
          <w:color w:val="111111"/>
          <w:highlight w:val="white"/>
        </w:rPr>
        <w:t xml:space="preserve">, and Chitto Harjo, </w:t>
      </w:r>
      <w:proofErr w:type="spellStart"/>
      <w:r>
        <w:rPr>
          <w:rFonts w:ascii="Times New Roman" w:hAnsi="Times New Roman" w:cs="Times New Roman"/>
          <w:color w:val="111111"/>
          <w:highlight w:val="white"/>
        </w:rPr>
        <w:t>Toofpafka</w:t>
      </w:r>
      <w:proofErr w:type="spellEnd"/>
      <w:r>
        <w:rPr>
          <w:rFonts w:ascii="Times New Roman" w:hAnsi="Times New Roman" w:cs="Times New Roman"/>
          <w:color w:val="111111"/>
          <w:highlight w:val="white"/>
        </w:rPr>
        <w:t xml:space="preserve"> Micco’s response is another refusal of allotment. Even though he looks </w:t>
      </w:r>
      <w:proofErr w:type="gramStart"/>
      <w:r>
        <w:rPr>
          <w:rFonts w:ascii="Times New Roman" w:hAnsi="Times New Roman" w:cs="Times New Roman"/>
          <w:color w:val="111111"/>
          <w:highlight w:val="white"/>
        </w:rPr>
        <w:t>to</w:t>
      </w:r>
      <w:proofErr w:type="gramEnd"/>
      <w:r>
        <w:rPr>
          <w:rFonts w:ascii="Times New Roman" w:hAnsi="Times New Roman" w:cs="Times New Roman"/>
          <w:color w:val="111111"/>
          <w:highlight w:val="white"/>
        </w:rPr>
        <w:t xml:space="preserve"> sell his land, he does so in order to be left alone. Though Fus teases </w:t>
      </w:r>
      <w:proofErr w:type="spellStart"/>
      <w:r>
        <w:rPr>
          <w:rFonts w:ascii="Times New Roman" w:hAnsi="Times New Roman" w:cs="Times New Roman"/>
          <w:color w:val="111111"/>
          <w:highlight w:val="white"/>
        </w:rPr>
        <w:t>Tookpafka</w:t>
      </w:r>
      <w:proofErr w:type="spellEnd"/>
      <w:r>
        <w:rPr>
          <w:rFonts w:ascii="Times New Roman" w:hAnsi="Times New Roman" w:cs="Times New Roman"/>
          <w:color w:val="111111"/>
          <w:highlight w:val="white"/>
        </w:rPr>
        <w:t xml:space="preserve"> Micco that he will do nothing but lay around, eat, and drink, </w:t>
      </w:r>
      <w:proofErr w:type="spellStart"/>
      <w:r>
        <w:rPr>
          <w:rFonts w:ascii="Times New Roman" w:hAnsi="Times New Roman" w:cs="Times New Roman"/>
          <w:color w:val="111111"/>
          <w:highlight w:val="white"/>
        </w:rPr>
        <w:t>Toofpafka</w:t>
      </w:r>
      <w:proofErr w:type="spellEnd"/>
      <w:r>
        <w:rPr>
          <w:rFonts w:ascii="Times New Roman" w:hAnsi="Times New Roman" w:cs="Times New Roman"/>
          <w:color w:val="111111"/>
          <w:highlight w:val="white"/>
        </w:rPr>
        <w:t xml:space="preserve"> Micco’s “I don’t know” is a politically viable rejection of the idealized portrait of “progressive” Native farmers, working individually to improve their lands and become productive U.S. citizens. As Rose Stremlau points out in her study of Cherokee families’ responses to allotment, strategically claiming plots to sustain family ties, selling land for personal profit, or simply refusing allotment altogether are all acts of sovereignty and demonstrate the myriad ways that Native individuals and families adapted to allotment (152). </w:t>
      </w:r>
    </w:p>
    <w:p w14:paraId="4C4BC093" w14:textId="77777777" w:rsidR="00287C65" w:rsidRDefault="00287C65" w:rsidP="00287C65">
      <w:pPr>
        <w:spacing w:line="480" w:lineRule="auto"/>
        <w:ind w:firstLine="720"/>
        <w:rPr>
          <w:rFonts w:ascii="Times New Roman" w:hAnsi="Times New Roman" w:cs="Times New Roman"/>
          <w:color w:val="111111"/>
          <w:highlight w:val="white"/>
        </w:rPr>
      </w:pPr>
      <w:r>
        <w:rPr>
          <w:rFonts w:ascii="Times New Roman" w:hAnsi="Times New Roman" w:cs="Times New Roman"/>
          <w:color w:val="111111"/>
          <w:highlight w:val="white"/>
        </w:rPr>
        <w:lastRenderedPageBreak/>
        <w:t>Though Fus teases his full blood friends’ hardline resistance to “progress,” his humor is not antagonistic to them. Indeed, humor is one of the ways that community is constructed in the Fus Fixico Letters. The Muscogee writer Louis Little Coon Oliver attests to the commonplace nature of humor among the Muscogees. “I know that other tribes have professional clowns who arouse much laughter by their antics and freakish actions,” Oliver writes. “We the Creeks do not have professional clowns, but every man is a clown unto himself, verbally” (53). Oliver describes how the Muscogees, like other peoples, use humor to socialize and build community.   “They are good at finding something in every little thing, no matter how insignificant, or crass…</w:t>
      </w:r>
      <w:proofErr w:type="gramStart"/>
      <w:r>
        <w:rPr>
          <w:rFonts w:ascii="Times New Roman" w:hAnsi="Times New Roman" w:cs="Times New Roman"/>
          <w:color w:val="111111"/>
          <w:highlight w:val="white"/>
        </w:rPr>
        <w:t>where ever</w:t>
      </w:r>
      <w:proofErr w:type="gramEnd"/>
      <w:r>
        <w:rPr>
          <w:rFonts w:ascii="Times New Roman" w:hAnsi="Times New Roman" w:cs="Times New Roman"/>
          <w:color w:val="111111"/>
          <w:highlight w:val="white"/>
        </w:rPr>
        <w:t xml:space="preserve"> the Creeks meet, whether in twos, fours or a crowd, there will be chuckles, laughter and at times roaring laughter” (53). In a way that mirrors the separatist Snakes’ revivification of traditional Muscogee lifeways at Hickory Grounds, Fus and his full blood friends use humor to socialize and embody the values of the </w:t>
      </w:r>
      <w:proofErr w:type="spellStart"/>
      <w:r>
        <w:rPr>
          <w:rFonts w:ascii="Times New Roman" w:hAnsi="Times New Roman" w:cs="Times New Roman"/>
          <w:color w:val="111111"/>
          <w:highlight w:val="white"/>
        </w:rPr>
        <w:t>talwa</w:t>
      </w:r>
      <w:proofErr w:type="spellEnd"/>
      <w:r>
        <w:rPr>
          <w:rFonts w:ascii="Times New Roman" w:hAnsi="Times New Roman" w:cs="Times New Roman"/>
          <w:color w:val="111111"/>
          <w:highlight w:val="white"/>
        </w:rPr>
        <w:t xml:space="preserve"> and the sofky pot in the face of allotment’s attempted decimation of Muscogee kinship. An example of this can be seen in Letter No. 50 (July 1904) in which humor, political discussion, and traditional Muscogee social organization fuse meaningfully:</w:t>
      </w:r>
    </w:p>
    <w:p w14:paraId="1127AD3C" w14:textId="77777777" w:rsidR="00287C65" w:rsidRDefault="00287C65" w:rsidP="00287C65">
      <w:pPr>
        <w:spacing w:line="480" w:lineRule="auto"/>
        <w:ind w:left="720" w:firstLine="720"/>
        <w:rPr>
          <w:rFonts w:ascii="Times New Roman" w:hAnsi="Times New Roman" w:cs="Times New Roman"/>
          <w:color w:val="111111"/>
          <w:highlight w:val="white"/>
        </w:rPr>
      </w:pPr>
      <w:r>
        <w:rPr>
          <w:rFonts w:ascii="Times New Roman" w:hAnsi="Times New Roman" w:cs="Times New Roman"/>
          <w:color w:val="111111"/>
          <w:highlight w:val="white"/>
        </w:rPr>
        <w:t xml:space="preserve">Well, so, the wind was from the south and Hotgun and </w:t>
      </w:r>
      <w:proofErr w:type="spellStart"/>
      <w:r>
        <w:rPr>
          <w:rFonts w:ascii="Times New Roman" w:hAnsi="Times New Roman" w:cs="Times New Roman"/>
          <w:color w:val="111111"/>
          <w:highlight w:val="white"/>
        </w:rPr>
        <w:t>Toofpafka</w:t>
      </w:r>
      <w:proofErr w:type="spellEnd"/>
      <w:r>
        <w:rPr>
          <w:rFonts w:ascii="Times New Roman" w:hAnsi="Times New Roman" w:cs="Times New Roman"/>
          <w:color w:val="111111"/>
          <w:highlight w:val="white"/>
        </w:rPr>
        <w:t xml:space="preserve"> Micco and Wolf Warrior and Kono Harjo they </w:t>
      </w:r>
      <w:proofErr w:type="gramStart"/>
      <w:r>
        <w:rPr>
          <w:rFonts w:ascii="Times New Roman" w:hAnsi="Times New Roman" w:cs="Times New Roman"/>
          <w:color w:val="111111"/>
          <w:highlight w:val="white"/>
        </w:rPr>
        <w:t>was</w:t>
      </w:r>
      <w:proofErr w:type="gramEnd"/>
      <w:r>
        <w:rPr>
          <w:rFonts w:ascii="Times New Roman" w:hAnsi="Times New Roman" w:cs="Times New Roman"/>
          <w:color w:val="111111"/>
          <w:highlight w:val="white"/>
        </w:rPr>
        <w:t xml:space="preserve"> light they pipes and get in the shade a the </w:t>
      </w:r>
      <w:proofErr w:type="spellStart"/>
      <w:r>
        <w:rPr>
          <w:rFonts w:ascii="Times New Roman" w:hAnsi="Times New Roman" w:cs="Times New Roman"/>
          <w:color w:val="111111"/>
          <w:highlight w:val="white"/>
        </w:rPr>
        <w:t>catapa</w:t>
      </w:r>
      <w:proofErr w:type="spellEnd"/>
      <w:r>
        <w:rPr>
          <w:rFonts w:ascii="Times New Roman" w:hAnsi="Times New Roman" w:cs="Times New Roman"/>
          <w:color w:val="111111"/>
          <w:highlight w:val="white"/>
        </w:rPr>
        <w:t xml:space="preserve"> tree, and talk on politics, while the women folks was go out and pick up some dead wood and start a fire under the sofky pot and make the smoke bile out a the </w:t>
      </w:r>
      <w:proofErr w:type="spellStart"/>
      <w:r>
        <w:rPr>
          <w:rFonts w:ascii="Times New Roman" w:hAnsi="Times New Roman" w:cs="Times New Roman"/>
          <w:color w:val="111111"/>
          <w:highlight w:val="white"/>
        </w:rPr>
        <w:t>chimley</w:t>
      </w:r>
      <w:proofErr w:type="spellEnd"/>
      <w:r>
        <w:rPr>
          <w:rFonts w:ascii="Times New Roman" w:hAnsi="Times New Roman" w:cs="Times New Roman"/>
          <w:color w:val="111111"/>
          <w:highlight w:val="white"/>
        </w:rPr>
        <w:t xml:space="preserve"> like it was put near dinner time. The old squirrel </w:t>
      </w:r>
      <w:proofErr w:type="gramStart"/>
      <w:r>
        <w:rPr>
          <w:rFonts w:ascii="Times New Roman" w:hAnsi="Times New Roman" w:cs="Times New Roman"/>
          <w:color w:val="111111"/>
          <w:highlight w:val="white"/>
        </w:rPr>
        <w:t>dog he</w:t>
      </w:r>
      <w:proofErr w:type="gramEnd"/>
      <w:r>
        <w:rPr>
          <w:rFonts w:ascii="Times New Roman" w:hAnsi="Times New Roman" w:cs="Times New Roman"/>
          <w:color w:val="111111"/>
          <w:highlight w:val="white"/>
        </w:rPr>
        <w:t xml:space="preserve"> was out </w:t>
      </w:r>
      <w:proofErr w:type="gramStart"/>
      <w:r>
        <w:rPr>
          <w:rFonts w:ascii="Times New Roman" w:hAnsi="Times New Roman" w:cs="Times New Roman"/>
          <w:color w:val="111111"/>
          <w:highlight w:val="white"/>
        </w:rPr>
        <w:lastRenderedPageBreak/>
        <w:t>a the</w:t>
      </w:r>
      <w:proofErr w:type="gramEnd"/>
      <w:r>
        <w:rPr>
          <w:rFonts w:ascii="Times New Roman" w:hAnsi="Times New Roman" w:cs="Times New Roman"/>
          <w:color w:val="111111"/>
          <w:highlight w:val="white"/>
        </w:rPr>
        <w:t xml:space="preserve"> fence corner and get in the way ‘round the kitchen door and keep order ‘</w:t>
      </w:r>
      <w:proofErr w:type="spellStart"/>
      <w:r>
        <w:rPr>
          <w:rFonts w:ascii="Times New Roman" w:hAnsi="Times New Roman" w:cs="Times New Roman"/>
          <w:color w:val="111111"/>
          <w:highlight w:val="white"/>
        </w:rPr>
        <w:t>mong</w:t>
      </w:r>
      <w:proofErr w:type="spellEnd"/>
      <w:r>
        <w:rPr>
          <w:rFonts w:ascii="Times New Roman" w:hAnsi="Times New Roman" w:cs="Times New Roman"/>
          <w:color w:val="111111"/>
          <w:highlight w:val="white"/>
        </w:rPr>
        <w:t xml:space="preserve"> the chickens and </w:t>
      </w:r>
      <w:proofErr w:type="spellStart"/>
      <w:r>
        <w:rPr>
          <w:rFonts w:ascii="Times New Roman" w:hAnsi="Times New Roman" w:cs="Times New Roman"/>
          <w:color w:val="111111"/>
          <w:highlight w:val="white"/>
        </w:rPr>
        <w:t>choates</w:t>
      </w:r>
      <w:proofErr w:type="spellEnd"/>
      <w:r>
        <w:rPr>
          <w:rFonts w:ascii="Times New Roman" w:hAnsi="Times New Roman" w:cs="Times New Roman"/>
          <w:color w:val="111111"/>
          <w:highlight w:val="white"/>
        </w:rPr>
        <w:t xml:space="preserve">. </w:t>
      </w:r>
    </w:p>
    <w:p w14:paraId="3A2D8481" w14:textId="77777777" w:rsidR="00287C65" w:rsidRDefault="00287C65" w:rsidP="00287C65">
      <w:pPr>
        <w:spacing w:line="480" w:lineRule="auto"/>
        <w:ind w:left="720" w:firstLine="720"/>
        <w:rPr>
          <w:rFonts w:ascii="Times New Roman" w:hAnsi="Times New Roman" w:cs="Times New Roman"/>
          <w:color w:val="111111"/>
          <w:highlight w:val="white"/>
        </w:rPr>
      </w:pPr>
      <w:r>
        <w:rPr>
          <w:rFonts w:ascii="Times New Roman" w:hAnsi="Times New Roman" w:cs="Times New Roman"/>
          <w:color w:val="111111"/>
          <w:highlight w:val="white"/>
        </w:rPr>
        <w:t xml:space="preserve">“Well, maybe so” Hotgun he </w:t>
      </w:r>
      <w:proofErr w:type="gramStart"/>
      <w:r>
        <w:rPr>
          <w:rFonts w:ascii="Times New Roman" w:hAnsi="Times New Roman" w:cs="Times New Roman"/>
          <w:color w:val="111111"/>
          <w:highlight w:val="white"/>
        </w:rPr>
        <w:t>say</w:t>
      </w:r>
      <w:proofErr w:type="gramEnd"/>
      <w:r>
        <w:rPr>
          <w:rFonts w:ascii="Times New Roman" w:hAnsi="Times New Roman" w:cs="Times New Roman"/>
          <w:color w:val="111111"/>
          <w:highlight w:val="white"/>
        </w:rPr>
        <w:t>, “the boll weevil was ruin the cotton and the chintz bug was get in his work on the corn and the Big Man at Washington was put a few more kinks in the red tape a the Loyal Creek payment, but all the same the Japs was still doing a Rushing business and they was lots a good prospects in the Flowery kingdom.”</w:t>
      </w:r>
    </w:p>
    <w:p w14:paraId="7F411B0E" w14:textId="77777777" w:rsidR="00287C65" w:rsidRDefault="00287C65" w:rsidP="00287C65">
      <w:pPr>
        <w:spacing w:line="480" w:lineRule="auto"/>
        <w:ind w:left="720" w:firstLine="720"/>
        <w:rPr>
          <w:rFonts w:ascii="Times New Roman" w:hAnsi="Times New Roman" w:cs="Times New Roman"/>
          <w:highlight w:val="white"/>
        </w:rPr>
      </w:pPr>
      <w:r>
        <w:rPr>
          <w:rFonts w:ascii="Times New Roman" w:hAnsi="Times New Roman" w:cs="Times New Roman"/>
          <w:color w:val="111111"/>
          <w:highlight w:val="white"/>
        </w:rPr>
        <w:t>(</w:t>
      </w:r>
      <w:proofErr w:type="spellStart"/>
      <w:r>
        <w:rPr>
          <w:rFonts w:ascii="Times New Roman" w:hAnsi="Times New Roman" w:cs="Times New Roman"/>
          <w:color w:val="111111"/>
          <w:highlight w:val="white"/>
        </w:rPr>
        <w:t>Toofpafka</w:t>
      </w:r>
      <w:proofErr w:type="spellEnd"/>
      <w:r>
        <w:rPr>
          <w:rFonts w:ascii="Times New Roman" w:hAnsi="Times New Roman" w:cs="Times New Roman"/>
          <w:color w:val="111111"/>
          <w:highlight w:val="white"/>
        </w:rPr>
        <w:t xml:space="preserve"> Micco and Wolf Warrior and Kono Harjo they </w:t>
      </w:r>
      <w:proofErr w:type="gramStart"/>
      <w:r>
        <w:rPr>
          <w:rFonts w:ascii="Times New Roman" w:hAnsi="Times New Roman" w:cs="Times New Roman"/>
          <w:color w:val="111111"/>
          <w:highlight w:val="white"/>
        </w:rPr>
        <w:t>was</w:t>
      </w:r>
      <w:proofErr w:type="gramEnd"/>
      <w:r>
        <w:rPr>
          <w:rFonts w:ascii="Times New Roman" w:hAnsi="Times New Roman" w:cs="Times New Roman"/>
          <w:color w:val="111111"/>
          <w:highlight w:val="white"/>
        </w:rPr>
        <w:t xml:space="preserve"> grunt and listen close and kind a keep one eye on the kitchen.) (Posey, </w:t>
      </w:r>
      <w:r>
        <w:rPr>
          <w:rFonts w:ascii="Times New Roman" w:hAnsi="Times New Roman" w:cs="Times New Roman"/>
          <w:i/>
          <w:color w:val="111111"/>
          <w:highlight w:val="white"/>
        </w:rPr>
        <w:t>Fus Fixico</w:t>
      </w:r>
      <w:r>
        <w:rPr>
          <w:rFonts w:ascii="Times New Roman" w:hAnsi="Times New Roman" w:cs="Times New Roman"/>
          <w:color w:val="111111"/>
          <w:highlight w:val="white"/>
        </w:rPr>
        <w:t xml:space="preserve"> 187)</w:t>
      </w:r>
    </w:p>
    <w:p w14:paraId="7FB7F240" w14:textId="77777777" w:rsidR="00287C65" w:rsidRDefault="00287C65" w:rsidP="00287C65">
      <w:pPr>
        <w:spacing w:line="480" w:lineRule="auto"/>
        <w:ind w:firstLine="720"/>
        <w:rPr>
          <w:rFonts w:ascii="Times New Roman" w:hAnsi="Times New Roman" w:cs="Times New Roman"/>
          <w:highlight w:val="white"/>
        </w:rPr>
      </w:pPr>
      <w:r>
        <w:rPr>
          <w:rFonts w:ascii="Times New Roman" w:hAnsi="Times New Roman" w:cs="Times New Roman"/>
          <w:highlight w:val="white"/>
        </w:rPr>
        <w:t>Fus’s description establishes the ways that the full bloods’ community maintains a traditional Muscogee social organization. Like many other southeastern nations, Muscogees adhere to a gendered division of labor that, generally, assigns men governmental, religious, cultural, and extra-familial responsibilities and assigns women the responsibilities pertinent to sustaining family and community relationships (Innes 234).</w:t>
      </w:r>
      <w:r>
        <w:rPr>
          <w:rFonts w:ascii="Times New Roman" w:hAnsi="Times New Roman" w:cs="Times New Roman"/>
          <w:highlight w:val="white"/>
          <w:vertAlign w:val="superscript"/>
        </w:rPr>
        <w:footnoteReference w:id="79"/>
      </w:r>
      <w:r>
        <w:rPr>
          <w:rFonts w:ascii="Times New Roman" w:hAnsi="Times New Roman" w:cs="Times New Roman"/>
          <w:highlight w:val="white"/>
        </w:rPr>
        <w:t xml:space="preserve"> Observing this division, the Muscogee women mentioned in the Letter maintain the sofky pot while Fus, Hotgun, and the others engage in political discussion.</w:t>
      </w:r>
      <w:r>
        <w:rPr>
          <w:rFonts w:ascii="Times New Roman" w:hAnsi="Times New Roman" w:cs="Times New Roman"/>
          <w:highlight w:val="white"/>
          <w:vertAlign w:val="superscript"/>
        </w:rPr>
        <w:footnoteReference w:id="80"/>
      </w:r>
      <w:r>
        <w:rPr>
          <w:rFonts w:ascii="Times New Roman" w:hAnsi="Times New Roman" w:cs="Times New Roman"/>
          <w:highlight w:val="white"/>
        </w:rPr>
        <w:t xml:space="preserve"> The men </w:t>
      </w:r>
      <w:r>
        <w:rPr>
          <w:rFonts w:ascii="Times New Roman" w:hAnsi="Times New Roman" w:cs="Times New Roman"/>
          <w:highlight w:val="white"/>
        </w:rPr>
        <w:lastRenderedPageBreak/>
        <w:t>observe the decorum of socialization by smoking together before engaging in the topic of discussion. Turning to politics, Hotgun humorously includes the U.S. President and Congress in his list of grievances against boll weevils, “chintz” (chinch) bugs, and other agricultural pests working against the Muscogees. The Loyal Creek payment refers to money that the United States owed to a faction of Muscogees whose families had remained “loyal” to the Federal government during the U.S. Civil War. Since the signing of the 1866 Treaty between the U.S. and the Muscogee Nation at the closing of the war, the U.S. had dragged its feet in disbursing these funds. To Muscogees like Nancy Posey, who continued to agitate officials at Muskogee about her mother’s Loyal Creek claim thirty years after it was filed, the “red tape” Hotgun describes was another way that the U.S. sought to undermine the economic and cultural power of Native families (Littlefield 141). Hotgun’s joke creates an in-group among the assembled Muscogees, constructing a sense of community around their shared grievances against the United States.</w:t>
      </w:r>
      <w:r>
        <w:rPr>
          <w:rFonts w:ascii="Times New Roman" w:hAnsi="Times New Roman" w:cs="Times New Roman"/>
          <w:highlight w:val="white"/>
          <w:vertAlign w:val="superscript"/>
        </w:rPr>
        <w:footnoteReference w:id="81"/>
      </w:r>
    </w:p>
    <w:p w14:paraId="4ED57F5B" w14:textId="77777777" w:rsidR="00287C65" w:rsidRDefault="00287C65" w:rsidP="00287C65">
      <w:pPr>
        <w:spacing w:line="480" w:lineRule="auto"/>
        <w:ind w:firstLine="720"/>
        <w:rPr>
          <w:rFonts w:ascii="Times New Roman" w:hAnsi="Times New Roman" w:cs="Times New Roman"/>
          <w:highlight w:val="white"/>
        </w:rPr>
      </w:pPr>
      <w:r>
        <w:rPr>
          <w:rFonts w:ascii="Times New Roman" w:hAnsi="Times New Roman" w:cs="Times New Roman"/>
          <w:highlight w:val="white"/>
        </w:rPr>
        <w:t xml:space="preserve">Another joke in Letter No. 50 is Hotgun’s extended analogy of the Russo-Japanese War to explain a local political squabble then ongoing in Muskogee. Briefly, Muskogee Mayor Samuel Rutherford and Councilman Morgan Caraway disagreed on </w:t>
      </w:r>
      <w:r>
        <w:rPr>
          <w:rFonts w:ascii="Times New Roman" w:hAnsi="Times New Roman" w:cs="Times New Roman"/>
          <w:highlight w:val="white"/>
        </w:rPr>
        <w:lastRenderedPageBreak/>
        <w:t xml:space="preserve">how to fill the office of the city recorder, left vacant by the previous recorder’s recent death. Caraway claimed the privilege of a political appointment while Rutherford insisted on holding an election for the position. According to Daniel Littlefield, the question was hotly debated in the Indian Territory press (186). Hotgun’s long joke compares this small-scale debacle to the international conflict of the Russo-Japanese War. That War was an imperial conflict between Russia and Japan, who both desired to establish their own “spheres of influence” in Korea and Manchuria (today part of China and Mongolia). Hotgun expresses admiration for the Japanese, equating Mayor Rutherford’s defense of Muscogee voters to Japan’s “spunk.” They were both “fine scrappers,” he said, “They </w:t>
      </w:r>
      <w:proofErr w:type="gramStart"/>
      <w:r>
        <w:rPr>
          <w:rFonts w:ascii="Times New Roman" w:hAnsi="Times New Roman" w:cs="Times New Roman"/>
          <w:highlight w:val="white"/>
        </w:rPr>
        <w:t>was fight</w:t>
      </w:r>
      <w:proofErr w:type="gramEnd"/>
      <w:r>
        <w:rPr>
          <w:rFonts w:ascii="Times New Roman" w:hAnsi="Times New Roman" w:cs="Times New Roman"/>
          <w:highlight w:val="white"/>
        </w:rPr>
        <w:t xml:space="preserve"> to win and they efforts was crowned with success” (Posey, </w:t>
      </w:r>
      <w:r>
        <w:rPr>
          <w:rFonts w:ascii="Times New Roman" w:hAnsi="Times New Roman" w:cs="Times New Roman"/>
          <w:i/>
          <w:highlight w:val="white"/>
        </w:rPr>
        <w:t>Fus Fixico</w:t>
      </w:r>
      <w:r>
        <w:rPr>
          <w:rFonts w:ascii="Times New Roman" w:hAnsi="Times New Roman" w:cs="Times New Roman"/>
          <w:highlight w:val="white"/>
        </w:rPr>
        <w:t xml:space="preserve"> 187). </w:t>
      </w:r>
    </w:p>
    <w:p w14:paraId="6F839482" w14:textId="77777777" w:rsidR="00287C65" w:rsidRDefault="00287C65" w:rsidP="00287C65">
      <w:pPr>
        <w:spacing w:line="480" w:lineRule="auto"/>
        <w:ind w:firstLine="720"/>
        <w:rPr>
          <w:rFonts w:ascii="Times New Roman" w:hAnsi="Times New Roman" w:cs="Times New Roman"/>
          <w:highlight w:val="white"/>
        </w:rPr>
      </w:pPr>
      <w:r>
        <w:rPr>
          <w:rFonts w:ascii="Times New Roman" w:hAnsi="Times New Roman" w:cs="Times New Roman"/>
          <w:highlight w:val="white"/>
        </w:rPr>
        <w:t xml:space="preserve">While for the readers of the </w:t>
      </w:r>
      <w:r>
        <w:rPr>
          <w:rFonts w:ascii="Times New Roman" w:hAnsi="Times New Roman" w:cs="Times New Roman"/>
          <w:i/>
          <w:highlight w:val="white"/>
        </w:rPr>
        <w:t>Muskogee Phoenix</w:t>
      </w:r>
      <w:r>
        <w:rPr>
          <w:rFonts w:ascii="Times New Roman" w:hAnsi="Times New Roman" w:cs="Times New Roman"/>
          <w:highlight w:val="white"/>
        </w:rPr>
        <w:t xml:space="preserve"> this joke was very topical, for modern readers its interest lies in the way that Hotgun’s alignment of Muscogee and Japanese courage reflects his sense of Muscogee sovereignty. To Hotgun, Mayor Rutherford and the Japanese are both underdogs who surprised everyone with their abilities (“they </w:t>
      </w:r>
      <w:proofErr w:type="gramStart"/>
      <w:r>
        <w:rPr>
          <w:rFonts w:ascii="Times New Roman" w:hAnsi="Times New Roman" w:cs="Times New Roman"/>
          <w:highlight w:val="white"/>
        </w:rPr>
        <w:t>was</w:t>
      </w:r>
      <w:proofErr w:type="gramEnd"/>
      <w:r>
        <w:rPr>
          <w:rFonts w:ascii="Times New Roman" w:hAnsi="Times New Roman" w:cs="Times New Roman"/>
          <w:highlight w:val="white"/>
        </w:rPr>
        <w:t xml:space="preserve"> both about the same size and they was both get the right sow by the ear.”) (187). While Rutherford was white and not Muscogee, his fight against the town council’s autocratic policies reflects the Snakes’ fight against the Muscogee Nation’s and the United States’s exercise of arbitrary power over the Muscogee people. In Hotgun’s version of the story, Rutherford defends the public’s right to self-government: “The people know who they </w:t>
      </w:r>
      <w:proofErr w:type="spellStart"/>
      <w:r>
        <w:rPr>
          <w:rFonts w:ascii="Times New Roman" w:hAnsi="Times New Roman" w:cs="Times New Roman"/>
          <w:highlight w:val="white"/>
        </w:rPr>
        <w:t>druther</w:t>
      </w:r>
      <w:proofErr w:type="spellEnd"/>
      <w:r>
        <w:rPr>
          <w:rFonts w:ascii="Times New Roman" w:hAnsi="Times New Roman" w:cs="Times New Roman"/>
          <w:highlight w:val="white"/>
        </w:rPr>
        <w:t xml:space="preserve"> had to jolt ‘</w:t>
      </w:r>
      <w:proofErr w:type="spellStart"/>
      <w:r>
        <w:rPr>
          <w:rFonts w:ascii="Times New Roman" w:hAnsi="Times New Roman" w:cs="Times New Roman"/>
          <w:highlight w:val="white"/>
        </w:rPr>
        <w:t>em</w:t>
      </w:r>
      <w:proofErr w:type="spellEnd"/>
      <w:r>
        <w:rPr>
          <w:rFonts w:ascii="Times New Roman" w:hAnsi="Times New Roman" w:cs="Times New Roman"/>
          <w:highlight w:val="white"/>
        </w:rPr>
        <w:t xml:space="preserve"> with the cost and trimmings, or assignment on the rock pile” (187). Similarly, Chitto Harjo defended the Muscogees’ right to </w:t>
      </w:r>
      <w:r>
        <w:rPr>
          <w:rFonts w:ascii="Times New Roman" w:hAnsi="Times New Roman" w:cs="Times New Roman"/>
          <w:highlight w:val="white"/>
        </w:rPr>
        <w:lastRenderedPageBreak/>
        <w:t xml:space="preserve">continue to live on their land under their own laws and rejected assimilatory policies as having been decided without the consent of people whose lives they effected. In testimony before a Senate investigative committee in 1906, Chitto Harjo protested unlawful and unjust decimation of Muscogee lands under allotment: “I never agreed to the exchanging of </w:t>
      </w:r>
      <w:proofErr w:type="gramStart"/>
      <w:r>
        <w:rPr>
          <w:rFonts w:ascii="Times New Roman" w:hAnsi="Times New Roman" w:cs="Times New Roman"/>
          <w:highlight w:val="white"/>
        </w:rPr>
        <w:t>lands</w:t>
      </w:r>
      <w:proofErr w:type="gramEnd"/>
      <w:r>
        <w:rPr>
          <w:rFonts w:ascii="Times New Roman" w:hAnsi="Times New Roman" w:cs="Times New Roman"/>
          <w:highlight w:val="white"/>
        </w:rPr>
        <w:t xml:space="preserve"> and I never agreed to the allotting of my lands” (40). Like the Japanese, Hotgun sees the Muscogees as also facing down an imperial power in the United States. While Hotgun’s long joke is an example of Posey’s characteristic penchant for humorous understatement, the complex identification of the Muscogees with figures of political resistance at the local, national, and international levels also enunciates a strong sense of Muscogee sovereignty that contributes to the communal voice of the Fus Fixico Letters. </w:t>
      </w:r>
    </w:p>
    <w:p w14:paraId="25E51FE3" w14:textId="77777777" w:rsidR="00287C65" w:rsidRDefault="00287C65" w:rsidP="00287C65">
      <w:pPr>
        <w:spacing w:line="480" w:lineRule="auto"/>
        <w:rPr>
          <w:rFonts w:ascii="Times New Roman" w:hAnsi="Times New Roman" w:cs="Times New Roman"/>
          <w:color w:val="111111"/>
          <w:highlight w:val="white"/>
        </w:rPr>
      </w:pPr>
      <w:r>
        <w:rPr>
          <w:rFonts w:ascii="Times New Roman" w:hAnsi="Times New Roman" w:cs="Times New Roman"/>
          <w:color w:val="111111"/>
          <w:highlight w:val="white"/>
        </w:rPr>
        <w:tab/>
        <w:t xml:space="preserve">The image of the sofky pot recurs, framing the political discussion of Letter No. 50. As we have already seen, the letter opens with Fus’s description of Muscogee women gathering wood for the fire under the pot. Throughout the letter, Hotgun and </w:t>
      </w:r>
      <w:proofErr w:type="spellStart"/>
      <w:r>
        <w:rPr>
          <w:rFonts w:ascii="Times New Roman" w:hAnsi="Times New Roman" w:cs="Times New Roman"/>
          <w:color w:val="111111"/>
          <w:highlight w:val="white"/>
        </w:rPr>
        <w:t>Toofpafka</w:t>
      </w:r>
      <w:proofErr w:type="spellEnd"/>
      <w:r>
        <w:rPr>
          <w:rFonts w:ascii="Times New Roman" w:hAnsi="Times New Roman" w:cs="Times New Roman"/>
          <w:color w:val="111111"/>
          <w:highlight w:val="white"/>
        </w:rPr>
        <w:t xml:space="preserve"> Micco’s discourse is punctuated by humorous parentheticals in which Wolf Warrior and Kono Harjo, the silent chorus of the Fus Fixico Letters, grunt their affirmation to the conversation and impatiently eye the meal preparation. Then, as Hotgun’s story ends, political discussion is curtailed as the women call the men to eat:</w:t>
      </w:r>
    </w:p>
    <w:p w14:paraId="6205073A" w14:textId="77777777" w:rsidR="00287C65" w:rsidRDefault="00287C65" w:rsidP="00287C65">
      <w:pPr>
        <w:spacing w:line="480" w:lineRule="auto"/>
        <w:ind w:left="720"/>
        <w:rPr>
          <w:rFonts w:ascii="Times New Roman" w:hAnsi="Times New Roman" w:cs="Times New Roman"/>
          <w:color w:val="111111"/>
          <w:highlight w:val="white"/>
        </w:rPr>
      </w:pPr>
      <w:r>
        <w:rPr>
          <w:rFonts w:ascii="Times New Roman" w:hAnsi="Times New Roman" w:cs="Times New Roman"/>
          <w:color w:val="111111"/>
          <w:highlight w:val="white"/>
        </w:rPr>
        <w:t xml:space="preserve">“City Lawyer Ram-it-in-all [W. F. </w:t>
      </w:r>
      <w:proofErr w:type="spellStart"/>
      <w:r>
        <w:rPr>
          <w:rFonts w:ascii="Times New Roman" w:hAnsi="Times New Roman" w:cs="Times New Roman"/>
          <w:color w:val="111111"/>
          <w:highlight w:val="white"/>
        </w:rPr>
        <w:t>Rampendahl</w:t>
      </w:r>
      <w:proofErr w:type="spellEnd"/>
      <w:r>
        <w:rPr>
          <w:rFonts w:ascii="Times New Roman" w:hAnsi="Times New Roman" w:cs="Times New Roman"/>
          <w:color w:val="111111"/>
          <w:highlight w:val="white"/>
        </w:rPr>
        <w:t xml:space="preserve">] he </w:t>
      </w:r>
      <w:proofErr w:type="gramStart"/>
      <w:r>
        <w:rPr>
          <w:rFonts w:ascii="Times New Roman" w:hAnsi="Times New Roman" w:cs="Times New Roman"/>
          <w:color w:val="111111"/>
          <w:highlight w:val="white"/>
        </w:rPr>
        <w:t>wrinkle</w:t>
      </w:r>
      <w:proofErr w:type="gramEnd"/>
      <w:r>
        <w:rPr>
          <w:rFonts w:ascii="Times New Roman" w:hAnsi="Times New Roman" w:cs="Times New Roman"/>
          <w:color w:val="111111"/>
          <w:highlight w:val="white"/>
        </w:rPr>
        <w:t xml:space="preserve"> his brow and </w:t>
      </w:r>
      <w:proofErr w:type="gramStart"/>
      <w:r>
        <w:rPr>
          <w:rFonts w:ascii="Times New Roman" w:hAnsi="Times New Roman" w:cs="Times New Roman"/>
          <w:color w:val="111111"/>
          <w:highlight w:val="white"/>
        </w:rPr>
        <w:t>act</w:t>
      </w:r>
      <w:proofErr w:type="gramEnd"/>
      <w:r>
        <w:rPr>
          <w:rFonts w:ascii="Times New Roman" w:hAnsi="Times New Roman" w:cs="Times New Roman"/>
          <w:color w:val="111111"/>
          <w:highlight w:val="white"/>
        </w:rPr>
        <w:t xml:space="preserve"> wise like the old squirrel dog. He </w:t>
      </w:r>
      <w:proofErr w:type="gramStart"/>
      <w:r>
        <w:rPr>
          <w:rFonts w:ascii="Times New Roman" w:hAnsi="Times New Roman" w:cs="Times New Roman"/>
          <w:color w:val="111111"/>
          <w:highlight w:val="white"/>
        </w:rPr>
        <w:t>say</w:t>
      </w:r>
      <w:proofErr w:type="gramEnd"/>
      <w:r>
        <w:rPr>
          <w:rFonts w:ascii="Times New Roman" w:hAnsi="Times New Roman" w:cs="Times New Roman"/>
          <w:color w:val="111111"/>
          <w:highlight w:val="white"/>
        </w:rPr>
        <w:t xml:space="preserve">, ‘Well, maybe so nobody else but you was think </w:t>
      </w:r>
      <w:r>
        <w:rPr>
          <w:rFonts w:ascii="Times New Roman" w:hAnsi="Times New Roman" w:cs="Times New Roman"/>
          <w:color w:val="111111"/>
          <w:highlight w:val="white"/>
        </w:rPr>
        <w:lastRenderedPageBreak/>
        <w:t xml:space="preserve">so but I was in favor of leaving it with the people </w:t>
      </w:r>
      <w:proofErr w:type="spellStart"/>
      <w:r>
        <w:rPr>
          <w:rFonts w:ascii="Times New Roman" w:hAnsi="Times New Roman" w:cs="Times New Roman"/>
          <w:color w:val="111111"/>
          <w:highlight w:val="white"/>
        </w:rPr>
        <w:t>’cause</w:t>
      </w:r>
      <w:proofErr w:type="spellEnd"/>
      <w:r>
        <w:rPr>
          <w:rFonts w:ascii="Times New Roman" w:hAnsi="Times New Roman" w:cs="Times New Roman"/>
          <w:color w:val="111111"/>
          <w:highlight w:val="white"/>
        </w:rPr>
        <w:t xml:space="preserve"> they votes was worth more than Tear Away and his pikers. So that’s my opinion.’ ”</w:t>
      </w:r>
    </w:p>
    <w:p w14:paraId="75F32C03" w14:textId="77777777" w:rsidR="00287C65" w:rsidRDefault="00287C65" w:rsidP="00287C65">
      <w:pPr>
        <w:spacing w:line="480" w:lineRule="auto"/>
        <w:ind w:left="720"/>
        <w:rPr>
          <w:rFonts w:ascii="Times New Roman" w:hAnsi="Times New Roman" w:cs="Times New Roman"/>
          <w:color w:val="111111"/>
          <w:highlight w:val="white"/>
        </w:rPr>
      </w:pPr>
      <w:r>
        <w:rPr>
          <w:rFonts w:ascii="Times New Roman" w:hAnsi="Times New Roman" w:cs="Times New Roman"/>
          <w:color w:val="111111"/>
          <w:highlight w:val="white"/>
        </w:rPr>
        <w:tab/>
        <w:t>(</w:t>
      </w:r>
      <w:proofErr w:type="spellStart"/>
      <w:r>
        <w:rPr>
          <w:rFonts w:ascii="Times New Roman" w:hAnsi="Times New Roman" w:cs="Times New Roman"/>
          <w:color w:val="111111"/>
          <w:highlight w:val="white"/>
        </w:rPr>
        <w:t>Tookpafka</w:t>
      </w:r>
      <w:proofErr w:type="spellEnd"/>
      <w:r>
        <w:rPr>
          <w:rFonts w:ascii="Times New Roman" w:hAnsi="Times New Roman" w:cs="Times New Roman"/>
          <w:color w:val="111111"/>
          <w:highlight w:val="white"/>
        </w:rPr>
        <w:t xml:space="preserve"> Micco and Wolf Warrior and Kono Harjo they give long grunt and about that time the women folks </w:t>
      </w:r>
      <w:proofErr w:type="gramStart"/>
      <w:r>
        <w:rPr>
          <w:rFonts w:ascii="Times New Roman" w:hAnsi="Times New Roman" w:cs="Times New Roman"/>
          <w:color w:val="111111"/>
          <w:highlight w:val="white"/>
        </w:rPr>
        <w:t>was</w:t>
      </w:r>
      <w:proofErr w:type="gramEnd"/>
      <w:r>
        <w:rPr>
          <w:rFonts w:ascii="Times New Roman" w:hAnsi="Times New Roman" w:cs="Times New Roman"/>
          <w:color w:val="111111"/>
          <w:highlight w:val="white"/>
        </w:rPr>
        <w:t xml:space="preserve"> holler, “</w:t>
      </w:r>
      <w:proofErr w:type="spellStart"/>
      <w:r>
        <w:rPr>
          <w:rFonts w:ascii="Times New Roman" w:hAnsi="Times New Roman" w:cs="Times New Roman"/>
          <w:color w:val="111111"/>
          <w:highlight w:val="white"/>
        </w:rPr>
        <w:t>Hombuxche</w:t>
      </w:r>
      <w:proofErr w:type="spellEnd"/>
      <w:r>
        <w:rPr>
          <w:rFonts w:ascii="Times New Roman" w:hAnsi="Times New Roman" w:cs="Times New Roman"/>
          <w:color w:val="111111"/>
          <w:highlight w:val="white"/>
        </w:rPr>
        <w:t xml:space="preserve">!”) (Posey, </w:t>
      </w:r>
      <w:r>
        <w:rPr>
          <w:rFonts w:ascii="Times New Roman" w:hAnsi="Times New Roman" w:cs="Times New Roman"/>
          <w:i/>
          <w:color w:val="111111"/>
          <w:highlight w:val="white"/>
        </w:rPr>
        <w:t xml:space="preserve">Fus Fixico </w:t>
      </w:r>
      <w:r>
        <w:rPr>
          <w:rFonts w:ascii="Times New Roman" w:hAnsi="Times New Roman" w:cs="Times New Roman"/>
          <w:color w:val="111111"/>
          <w:highlight w:val="white"/>
        </w:rPr>
        <w:t>189).</w:t>
      </w:r>
    </w:p>
    <w:p w14:paraId="0CEC572B" w14:textId="77777777" w:rsidR="00287C65" w:rsidRDefault="00287C65" w:rsidP="00287C65">
      <w:pPr>
        <w:spacing w:line="480" w:lineRule="auto"/>
        <w:rPr>
          <w:rFonts w:ascii="Times New Roman" w:hAnsi="Times New Roman" w:cs="Times New Roman"/>
          <w:color w:val="111111"/>
          <w:highlight w:val="white"/>
        </w:rPr>
      </w:pPr>
      <w:r>
        <w:rPr>
          <w:rFonts w:ascii="Times New Roman" w:hAnsi="Times New Roman" w:cs="Times New Roman"/>
          <w:color w:val="111111"/>
          <w:highlight w:val="white"/>
        </w:rPr>
        <w:t>Community is created by the men’s unanimous approval of Hotgun’s storytelling, and affirmed by the women’s call to gather, “</w:t>
      </w:r>
      <w:proofErr w:type="spellStart"/>
      <w:r>
        <w:rPr>
          <w:rFonts w:ascii="Times New Roman" w:hAnsi="Times New Roman" w:cs="Times New Roman"/>
          <w:color w:val="111111"/>
          <w:highlight w:val="white"/>
        </w:rPr>
        <w:t>hombuxche</w:t>
      </w:r>
      <w:proofErr w:type="spellEnd"/>
      <w:r>
        <w:rPr>
          <w:rFonts w:ascii="Times New Roman" w:hAnsi="Times New Roman" w:cs="Times New Roman"/>
          <w:color w:val="111111"/>
          <w:highlight w:val="white"/>
        </w:rPr>
        <w:t>” meaning roughly “make ready to eat” (</w:t>
      </w:r>
      <w:r w:rsidRPr="00100F41">
        <w:rPr>
          <w:rFonts w:ascii="Times New Roman" w:hAnsi="Times New Roman" w:cs="Times New Roman"/>
          <w:color w:val="111111"/>
        </w:rPr>
        <w:t xml:space="preserve">Littlefield 110). The threads of humor, politics, and Muscogee community weaving through the Letters combine in the image of the sofky pot. </w:t>
      </w:r>
    </w:p>
    <w:p w14:paraId="61D8CBA2" w14:textId="77777777" w:rsidR="00287C65" w:rsidRDefault="00287C65" w:rsidP="00287C65">
      <w:pPr>
        <w:spacing w:line="480" w:lineRule="auto"/>
        <w:ind w:firstLine="720"/>
        <w:rPr>
          <w:rFonts w:ascii="Times New Roman" w:hAnsi="Times New Roman" w:cs="Times New Roman"/>
          <w:color w:val="111111"/>
          <w:highlight w:val="white"/>
        </w:rPr>
      </w:pPr>
      <w:r>
        <w:rPr>
          <w:rFonts w:ascii="Times New Roman" w:hAnsi="Times New Roman" w:cs="Times New Roman"/>
          <w:color w:val="111111"/>
          <w:highlight w:val="white"/>
        </w:rPr>
        <w:t xml:space="preserve">Later Fus Fixico Letters continue to embody Muscogee values of kinship and sovereignty as </w:t>
      </w:r>
      <w:proofErr w:type="gramStart"/>
      <w:r>
        <w:rPr>
          <w:rFonts w:ascii="Times New Roman" w:hAnsi="Times New Roman" w:cs="Times New Roman"/>
          <w:color w:val="111111"/>
          <w:highlight w:val="white"/>
        </w:rPr>
        <w:t>Fus</w:t>
      </w:r>
      <w:proofErr w:type="gramEnd"/>
      <w:r>
        <w:rPr>
          <w:rFonts w:ascii="Times New Roman" w:hAnsi="Times New Roman" w:cs="Times New Roman"/>
          <w:color w:val="111111"/>
          <w:highlight w:val="white"/>
        </w:rPr>
        <w:t xml:space="preserve"> and his friends turn their attention to the issue of impending statehood. As mentioned above, though Posey was an earlier bandwagoner for Indian and Oklahoma Territories’ admission into the U.S. as a single state, by the fall of 1905 his editorials avidly supported separate statehood for Indian Territory. The apex of the separate statehood movement was the Sequoyah Convention, a constitutional convention, convened in August 1905 for the purpose of framing a constitution for the proposed state of Sequoyah. Though ultimately unsuccessful, the Sequoyah movement was one of the most important stands for Indigenous sovereignty in Native American history. In Letter No. 57 (September 1905), Hotgun called the resolutions of the Sequoyah Convention “a </w:t>
      </w:r>
      <w:r>
        <w:rPr>
          <w:rFonts w:ascii="Times New Roman" w:hAnsi="Times New Roman" w:cs="Times New Roman"/>
          <w:color w:val="111111"/>
          <w:highlight w:val="white"/>
        </w:rPr>
        <w:lastRenderedPageBreak/>
        <w:t xml:space="preserve">declaration of independence that was had its foundation on every hearthstone in </w:t>
      </w:r>
      <w:proofErr w:type="spellStart"/>
      <w:r>
        <w:rPr>
          <w:rFonts w:ascii="Times New Roman" w:hAnsi="Times New Roman" w:cs="Times New Roman"/>
          <w:color w:val="111111"/>
          <w:highlight w:val="white"/>
        </w:rPr>
        <w:t>Injin</w:t>
      </w:r>
      <w:proofErr w:type="spellEnd"/>
      <w:r>
        <w:rPr>
          <w:rFonts w:ascii="Times New Roman" w:hAnsi="Times New Roman" w:cs="Times New Roman"/>
          <w:color w:val="111111"/>
          <w:highlight w:val="white"/>
        </w:rPr>
        <w:t xml:space="preserve"> Territory” (Posey, </w:t>
      </w:r>
      <w:r>
        <w:rPr>
          <w:rFonts w:ascii="Times New Roman" w:hAnsi="Times New Roman" w:cs="Times New Roman"/>
          <w:i/>
          <w:color w:val="111111"/>
          <w:highlight w:val="white"/>
        </w:rPr>
        <w:t xml:space="preserve">Fus Fixico </w:t>
      </w:r>
      <w:r>
        <w:rPr>
          <w:rFonts w:ascii="Times New Roman" w:hAnsi="Times New Roman" w:cs="Times New Roman"/>
          <w:color w:val="111111"/>
          <w:highlight w:val="white"/>
        </w:rPr>
        <w:t>218).</w:t>
      </w:r>
      <w:r>
        <w:rPr>
          <w:rFonts w:ascii="Times New Roman" w:hAnsi="Times New Roman" w:cs="Times New Roman"/>
          <w:color w:val="111111"/>
          <w:highlight w:val="white"/>
          <w:vertAlign w:val="superscript"/>
        </w:rPr>
        <w:footnoteReference w:id="82"/>
      </w:r>
      <w:r>
        <w:rPr>
          <w:rFonts w:ascii="Times New Roman" w:hAnsi="Times New Roman" w:cs="Times New Roman"/>
          <w:color w:val="111111"/>
          <w:highlight w:val="white"/>
        </w:rPr>
        <w:t xml:space="preserve"> </w:t>
      </w:r>
    </w:p>
    <w:p w14:paraId="5508FCD6" w14:textId="77777777" w:rsidR="00287C65" w:rsidRDefault="00287C65" w:rsidP="00287C65">
      <w:pPr>
        <w:spacing w:line="480" w:lineRule="auto"/>
        <w:ind w:firstLine="720"/>
        <w:rPr>
          <w:rFonts w:ascii="Times New Roman" w:hAnsi="Times New Roman" w:cs="Times New Roman"/>
          <w:color w:val="111111"/>
          <w:highlight w:val="white"/>
        </w:rPr>
      </w:pPr>
      <w:r>
        <w:rPr>
          <w:rFonts w:ascii="Times New Roman" w:hAnsi="Times New Roman" w:cs="Times New Roman"/>
          <w:color w:val="111111"/>
          <w:highlight w:val="white"/>
        </w:rPr>
        <w:t xml:space="preserve">However, separate statehood was not without anxiety. The Fus Fixico Letters between September 1905 and March 1906 oscillate between enthusiasm about the Natives’ political future and worried passages about the changes that statehood would bring to Muscogee lifeways. In Letter No. 57, Hotgun relates Chief Pleasant Porter’s speech at the Sequoyah Convention, in which the Muscogee </w:t>
      </w:r>
      <w:proofErr w:type="gramStart"/>
      <w:r>
        <w:rPr>
          <w:rFonts w:ascii="Times New Roman" w:hAnsi="Times New Roman" w:cs="Times New Roman"/>
          <w:color w:val="111111"/>
          <w:highlight w:val="white"/>
        </w:rPr>
        <w:t>principle</w:t>
      </w:r>
      <w:proofErr w:type="gramEnd"/>
      <w:r>
        <w:rPr>
          <w:rFonts w:ascii="Times New Roman" w:hAnsi="Times New Roman" w:cs="Times New Roman"/>
          <w:color w:val="111111"/>
          <w:highlight w:val="white"/>
        </w:rPr>
        <w:t xml:space="preserve"> chief foretold that “the fullblood </w:t>
      </w:r>
      <w:proofErr w:type="spellStart"/>
      <w:r>
        <w:rPr>
          <w:rFonts w:ascii="Times New Roman" w:hAnsi="Times New Roman" w:cs="Times New Roman"/>
          <w:color w:val="111111"/>
          <w:highlight w:val="white"/>
        </w:rPr>
        <w:t>Injin</w:t>
      </w:r>
      <w:proofErr w:type="spellEnd"/>
      <w:r>
        <w:rPr>
          <w:rFonts w:ascii="Times New Roman" w:hAnsi="Times New Roman" w:cs="Times New Roman"/>
          <w:color w:val="111111"/>
          <w:highlight w:val="white"/>
        </w:rPr>
        <w:t xml:space="preserve"> was about to die and go to the Happy Hunting Grounds. He was you to take his sofky patch and make a big farm of </w:t>
      </w:r>
      <w:proofErr w:type="gramStart"/>
      <w:r>
        <w:rPr>
          <w:rFonts w:ascii="Times New Roman" w:hAnsi="Times New Roman" w:cs="Times New Roman"/>
          <w:color w:val="111111"/>
          <w:highlight w:val="white"/>
        </w:rPr>
        <w:t>it, and</w:t>
      </w:r>
      <w:proofErr w:type="gramEnd"/>
      <w:r>
        <w:rPr>
          <w:rFonts w:ascii="Times New Roman" w:hAnsi="Times New Roman" w:cs="Times New Roman"/>
          <w:color w:val="111111"/>
          <w:highlight w:val="white"/>
        </w:rPr>
        <w:t xml:space="preserve"> raise wheat and oats and prunes and things like that instead of flint corn and gourds” (220). In Letter No. 58 (September 1905) Hotgun and </w:t>
      </w:r>
      <w:proofErr w:type="spellStart"/>
      <w:r>
        <w:rPr>
          <w:rFonts w:ascii="Times New Roman" w:hAnsi="Times New Roman" w:cs="Times New Roman"/>
          <w:color w:val="111111"/>
          <w:highlight w:val="white"/>
        </w:rPr>
        <w:t>Toofpafka</w:t>
      </w:r>
      <w:proofErr w:type="spellEnd"/>
      <w:r>
        <w:rPr>
          <w:rFonts w:ascii="Times New Roman" w:hAnsi="Times New Roman" w:cs="Times New Roman"/>
          <w:color w:val="111111"/>
          <w:highlight w:val="white"/>
        </w:rPr>
        <w:t xml:space="preserve"> Micco imagine what “the future state” will look like (222). </w:t>
      </w:r>
    </w:p>
    <w:p w14:paraId="54D888AA" w14:textId="77777777" w:rsidR="00287C65" w:rsidRDefault="00287C65" w:rsidP="00287C65">
      <w:pPr>
        <w:spacing w:line="480" w:lineRule="auto"/>
        <w:ind w:left="720"/>
        <w:rPr>
          <w:rFonts w:ascii="Times New Roman" w:hAnsi="Times New Roman" w:cs="Times New Roman"/>
          <w:color w:val="111111"/>
          <w:highlight w:val="white"/>
        </w:rPr>
      </w:pPr>
      <w:r>
        <w:rPr>
          <w:rFonts w:ascii="Times New Roman" w:hAnsi="Times New Roman" w:cs="Times New Roman"/>
          <w:color w:val="111111"/>
          <w:highlight w:val="white"/>
        </w:rPr>
        <w:t xml:space="preserve">Then Hotgun he </w:t>
      </w:r>
      <w:proofErr w:type="gramStart"/>
      <w:r>
        <w:rPr>
          <w:rFonts w:ascii="Times New Roman" w:hAnsi="Times New Roman" w:cs="Times New Roman"/>
          <w:color w:val="111111"/>
          <w:highlight w:val="white"/>
        </w:rPr>
        <w:t>say</w:t>
      </w:r>
      <w:proofErr w:type="gramEnd"/>
      <w:r>
        <w:rPr>
          <w:rFonts w:ascii="Times New Roman" w:hAnsi="Times New Roman" w:cs="Times New Roman"/>
          <w:color w:val="111111"/>
          <w:highlight w:val="white"/>
        </w:rPr>
        <w:t xml:space="preserve">, “Well so everything be different then, like you say. Instead a kings and warriors in the council house, we was had </w:t>
      </w:r>
      <w:proofErr w:type="spellStart"/>
      <w:r>
        <w:rPr>
          <w:rFonts w:ascii="Times New Roman" w:hAnsi="Times New Roman" w:cs="Times New Roman"/>
          <w:color w:val="111111"/>
          <w:highlight w:val="white"/>
        </w:rPr>
        <w:t>boodlers</w:t>
      </w:r>
      <w:proofErr w:type="spellEnd"/>
      <w:r>
        <w:rPr>
          <w:rFonts w:ascii="Times New Roman" w:hAnsi="Times New Roman" w:cs="Times New Roman"/>
          <w:color w:val="111111"/>
          <w:highlight w:val="white"/>
        </w:rPr>
        <w:t xml:space="preserve"> and machine makers in the legislature; and instead of a chief, we was had a governor to slice the pie and call out the </w:t>
      </w:r>
      <w:proofErr w:type="spellStart"/>
      <w:r>
        <w:rPr>
          <w:rFonts w:ascii="Times New Roman" w:hAnsi="Times New Roman" w:cs="Times New Roman"/>
          <w:color w:val="111111"/>
          <w:highlight w:val="white"/>
        </w:rPr>
        <w:t>milita</w:t>
      </w:r>
      <w:proofErr w:type="spellEnd"/>
      <w:r>
        <w:rPr>
          <w:rFonts w:ascii="Times New Roman" w:hAnsi="Times New Roman" w:cs="Times New Roman"/>
          <w:color w:val="111111"/>
          <w:highlight w:val="white"/>
        </w:rPr>
        <w:t xml:space="preserve">; and instead a fish </w:t>
      </w:r>
      <w:proofErr w:type="spellStart"/>
      <w:r>
        <w:rPr>
          <w:rFonts w:ascii="Times New Roman" w:hAnsi="Times New Roman" w:cs="Times New Roman"/>
          <w:color w:val="111111"/>
          <w:highlight w:val="white"/>
        </w:rPr>
        <w:t>frys</w:t>
      </w:r>
      <w:proofErr w:type="spellEnd"/>
      <w:r>
        <w:rPr>
          <w:rFonts w:ascii="Times New Roman" w:hAnsi="Times New Roman" w:cs="Times New Roman"/>
          <w:color w:val="111111"/>
          <w:highlight w:val="white"/>
        </w:rPr>
        <w:t xml:space="preserve">, we was had clam bakes and free lunches; and instead a sofky and </w:t>
      </w:r>
      <w:proofErr w:type="spellStart"/>
      <w:r>
        <w:rPr>
          <w:rFonts w:ascii="Times New Roman" w:hAnsi="Times New Roman" w:cs="Times New Roman"/>
          <w:color w:val="111111"/>
          <w:highlight w:val="white"/>
        </w:rPr>
        <w:t>peruny</w:t>
      </w:r>
      <w:proofErr w:type="spellEnd"/>
      <w:r>
        <w:rPr>
          <w:rFonts w:ascii="Times New Roman" w:hAnsi="Times New Roman" w:cs="Times New Roman"/>
          <w:color w:val="111111"/>
          <w:highlight w:val="white"/>
        </w:rPr>
        <w:t xml:space="preserve">, we was had the best Kentucky and Milwaukee could afford; and instead a the pestle and mortar, we was had </w:t>
      </w:r>
      <w:proofErr w:type="spellStart"/>
      <w:r>
        <w:rPr>
          <w:rFonts w:ascii="Times New Roman" w:hAnsi="Times New Roman" w:cs="Times New Roman"/>
          <w:color w:val="111111"/>
          <w:highlight w:val="white"/>
        </w:rPr>
        <w:t>goff</w:t>
      </w:r>
      <w:proofErr w:type="spellEnd"/>
      <w:r>
        <w:rPr>
          <w:rFonts w:ascii="Times New Roman" w:hAnsi="Times New Roman" w:cs="Times New Roman"/>
          <w:color w:val="111111"/>
          <w:highlight w:val="white"/>
        </w:rPr>
        <w:t xml:space="preserve"> </w:t>
      </w:r>
      <w:r>
        <w:rPr>
          <w:rFonts w:ascii="Times New Roman" w:hAnsi="Times New Roman" w:cs="Times New Roman"/>
          <w:color w:val="111111"/>
          <w:highlight w:val="white"/>
        </w:rPr>
        <w:lastRenderedPageBreak/>
        <w:t xml:space="preserve">sticks; and instead a sofky patches, we was had tennis courts; and instead a grassfed fillies, we was had airships; and instead of stomp dances, we was had social functions, where the </w:t>
      </w:r>
      <w:proofErr w:type="spellStart"/>
      <w:r>
        <w:rPr>
          <w:rFonts w:ascii="Times New Roman" w:hAnsi="Times New Roman" w:cs="Times New Roman"/>
          <w:color w:val="111111"/>
          <w:highlight w:val="white"/>
        </w:rPr>
        <w:t>womens</w:t>
      </w:r>
      <w:proofErr w:type="spellEnd"/>
      <w:r>
        <w:rPr>
          <w:rFonts w:ascii="Times New Roman" w:hAnsi="Times New Roman" w:cs="Times New Roman"/>
          <w:color w:val="111111"/>
          <w:highlight w:val="white"/>
        </w:rPr>
        <w:t xml:space="preserve"> was wear necklaces instead a </w:t>
      </w:r>
      <w:proofErr w:type="spellStart"/>
      <w:r>
        <w:rPr>
          <w:rFonts w:ascii="Times New Roman" w:hAnsi="Times New Roman" w:cs="Times New Roman"/>
          <w:color w:val="111111"/>
          <w:highlight w:val="white"/>
        </w:rPr>
        <w:t>tarrapin</w:t>
      </w:r>
      <w:proofErr w:type="spellEnd"/>
      <w:r>
        <w:rPr>
          <w:rFonts w:ascii="Times New Roman" w:hAnsi="Times New Roman" w:cs="Times New Roman"/>
          <w:color w:val="111111"/>
          <w:highlight w:val="white"/>
        </w:rPr>
        <w:t xml:space="preserve"> shells and shirt waists, and the men was divide they hair between the eyes. (223)</w:t>
      </w:r>
    </w:p>
    <w:p w14:paraId="1BF4C0F0" w14:textId="77777777" w:rsidR="00287C65" w:rsidRDefault="00287C65" w:rsidP="00287C65">
      <w:pPr>
        <w:spacing w:line="480" w:lineRule="auto"/>
        <w:rPr>
          <w:rFonts w:ascii="Times New Roman" w:hAnsi="Times New Roman" w:cs="Times New Roman"/>
          <w:color w:val="111111"/>
          <w:highlight w:val="white"/>
        </w:rPr>
      </w:pPr>
      <w:r>
        <w:rPr>
          <w:rFonts w:ascii="Times New Roman" w:hAnsi="Times New Roman" w:cs="Times New Roman"/>
          <w:color w:val="111111"/>
          <w:highlight w:val="white"/>
        </w:rPr>
        <w:t xml:space="preserve">It would seem that Hotgun and </w:t>
      </w:r>
      <w:proofErr w:type="spellStart"/>
      <w:r>
        <w:rPr>
          <w:rFonts w:ascii="Times New Roman" w:hAnsi="Times New Roman" w:cs="Times New Roman"/>
          <w:color w:val="111111"/>
          <w:highlight w:val="white"/>
        </w:rPr>
        <w:t>Toofpafka</w:t>
      </w:r>
      <w:proofErr w:type="spellEnd"/>
      <w:r>
        <w:rPr>
          <w:rFonts w:ascii="Times New Roman" w:hAnsi="Times New Roman" w:cs="Times New Roman"/>
          <w:color w:val="111111"/>
          <w:highlight w:val="white"/>
        </w:rPr>
        <w:t xml:space="preserve"> Micco followed progressives’ prognostications that statehood heralded the disappearance of traditional Muscogee culture. Politicians like Chief Porter seemed to ironically tie the rise of the movement for Indigenous self-determination to the demise of the rural full bloods’ way of life. It is possible, in this light, to read the humor in passages like the one above merely masks the full bloods’ deep anxiety over their imminent vanishment. </w:t>
      </w:r>
    </w:p>
    <w:p w14:paraId="179A67BE" w14:textId="77777777" w:rsidR="00287C65" w:rsidRDefault="00287C65" w:rsidP="00287C65">
      <w:pPr>
        <w:spacing w:line="480" w:lineRule="auto"/>
        <w:ind w:firstLine="720"/>
        <w:rPr>
          <w:rFonts w:ascii="Times New Roman" w:hAnsi="Times New Roman" w:cs="Times New Roman"/>
          <w:color w:val="111111"/>
        </w:rPr>
      </w:pPr>
      <w:r>
        <w:rPr>
          <w:rFonts w:ascii="Times New Roman" w:hAnsi="Times New Roman" w:cs="Times New Roman"/>
          <w:color w:val="111111"/>
          <w:highlight w:val="white"/>
        </w:rPr>
        <w:t xml:space="preserve">However, depictions of kinship in Hotgun’s and </w:t>
      </w:r>
      <w:proofErr w:type="spellStart"/>
      <w:r>
        <w:rPr>
          <w:rFonts w:ascii="Times New Roman" w:hAnsi="Times New Roman" w:cs="Times New Roman"/>
          <w:color w:val="111111"/>
          <w:highlight w:val="white"/>
        </w:rPr>
        <w:t>Toofpafka</w:t>
      </w:r>
      <w:proofErr w:type="spellEnd"/>
      <w:r>
        <w:rPr>
          <w:rFonts w:ascii="Times New Roman" w:hAnsi="Times New Roman" w:cs="Times New Roman"/>
          <w:color w:val="111111"/>
          <w:highlight w:val="white"/>
        </w:rPr>
        <w:t xml:space="preserve"> Micco’s discussions of statehood undercut the discourse of vanishment to focus instead on Muscogee adaptability. For instance, Letter No. 59 (October 1905) looks forward to the ratification of the Sequoyah constitution by the people of Indian Territory, prompting Hotgun to imagine that “maybe so, this time next year be lots a </w:t>
      </w:r>
      <w:proofErr w:type="gramStart"/>
      <w:r>
        <w:rPr>
          <w:rFonts w:ascii="Times New Roman" w:hAnsi="Times New Roman" w:cs="Times New Roman"/>
          <w:color w:val="111111"/>
          <w:highlight w:val="white"/>
        </w:rPr>
        <w:t>hamlets</w:t>
      </w:r>
      <w:proofErr w:type="gramEnd"/>
      <w:r>
        <w:rPr>
          <w:rFonts w:ascii="Times New Roman" w:hAnsi="Times New Roman" w:cs="Times New Roman"/>
          <w:color w:val="111111"/>
          <w:highlight w:val="white"/>
        </w:rPr>
        <w:t xml:space="preserve"> in the commonwealth of Sequoyah day-</w:t>
      </w:r>
      <w:proofErr w:type="spellStart"/>
      <w:r>
        <w:rPr>
          <w:rFonts w:ascii="Times New Roman" w:hAnsi="Times New Roman" w:cs="Times New Roman"/>
          <w:color w:val="111111"/>
          <w:highlight w:val="white"/>
        </w:rPr>
        <w:t>dreamin</w:t>
      </w:r>
      <w:proofErr w:type="spellEnd"/>
      <w:r>
        <w:rPr>
          <w:rFonts w:ascii="Times New Roman" w:hAnsi="Times New Roman" w:cs="Times New Roman"/>
          <w:color w:val="111111"/>
          <w:highlight w:val="white"/>
        </w:rPr>
        <w:t xml:space="preserve">’ </w:t>
      </w:r>
      <w:proofErr w:type="spellStart"/>
      <w:r>
        <w:rPr>
          <w:rFonts w:ascii="Times New Roman" w:hAnsi="Times New Roman" w:cs="Times New Roman"/>
          <w:color w:val="111111"/>
          <w:highlight w:val="white"/>
        </w:rPr>
        <w:t>roun</w:t>
      </w:r>
      <w:proofErr w:type="spellEnd"/>
      <w:r>
        <w:rPr>
          <w:rFonts w:ascii="Times New Roman" w:hAnsi="Times New Roman" w:cs="Times New Roman"/>
          <w:color w:val="111111"/>
          <w:highlight w:val="white"/>
        </w:rPr>
        <w:t xml:space="preserve">’ the court house square, </w:t>
      </w:r>
      <w:proofErr w:type="spellStart"/>
      <w:r>
        <w:rPr>
          <w:rFonts w:ascii="Times New Roman" w:hAnsi="Times New Roman" w:cs="Times New Roman"/>
          <w:color w:val="111111"/>
          <w:highlight w:val="white"/>
        </w:rPr>
        <w:t>waitin</w:t>
      </w:r>
      <w:proofErr w:type="spellEnd"/>
      <w:r>
        <w:rPr>
          <w:rFonts w:ascii="Times New Roman" w:hAnsi="Times New Roman" w:cs="Times New Roman"/>
          <w:color w:val="111111"/>
          <w:highlight w:val="white"/>
        </w:rPr>
        <w:t xml:space="preserve">’ for the fall trade up an’ the circus calliope to come ‘long an’ break the </w:t>
      </w:r>
      <w:proofErr w:type="spellStart"/>
      <w:r>
        <w:rPr>
          <w:rFonts w:ascii="Times New Roman" w:hAnsi="Times New Roman" w:cs="Times New Roman"/>
          <w:color w:val="111111"/>
          <w:highlight w:val="white"/>
        </w:rPr>
        <w:t>monot’ny</w:t>
      </w:r>
      <w:proofErr w:type="spellEnd"/>
      <w:r>
        <w:rPr>
          <w:rFonts w:ascii="Times New Roman" w:hAnsi="Times New Roman" w:cs="Times New Roman"/>
          <w:color w:val="111111"/>
          <w:highlight w:val="white"/>
        </w:rPr>
        <w:t xml:space="preserve">” (227). </w:t>
      </w:r>
      <w:r>
        <w:rPr>
          <w:rFonts w:ascii="Times New Roman" w:hAnsi="Times New Roman" w:cs="Times New Roman"/>
          <w:color w:val="111111"/>
        </w:rPr>
        <w:t>First, Hotgun’s use of the word “commonwealth” instead of “state” is interesting because it bases his vision of the future in his belief in the primacy of Muscogee people’s sovereignty.</w:t>
      </w:r>
      <w:r>
        <w:rPr>
          <w:rFonts w:ascii="Times New Roman" w:hAnsi="Times New Roman" w:cs="Times New Roman"/>
          <w:color w:val="111111"/>
          <w:vertAlign w:val="superscript"/>
        </w:rPr>
        <w:footnoteReference w:id="83"/>
      </w:r>
      <w:r>
        <w:rPr>
          <w:rFonts w:ascii="Times New Roman" w:hAnsi="Times New Roman" w:cs="Times New Roman"/>
          <w:color w:val="111111"/>
        </w:rPr>
        <w:t xml:space="preserve"> More important, </w:t>
      </w:r>
      <w:r>
        <w:rPr>
          <w:rFonts w:ascii="Times New Roman" w:hAnsi="Times New Roman" w:cs="Times New Roman"/>
          <w:color w:val="111111"/>
        </w:rPr>
        <w:lastRenderedPageBreak/>
        <w:t xml:space="preserve">however, are the “hamlets” Hotgun sees peacefully gathering around the </w:t>
      </w:r>
      <w:proofErr w:type="gramStart"/>
      <w:r>
        <w:rPr>
          <w:rFonts w:ascii="Times New Roman" w:hAnsi="Times New Roman" w:cs="Times New Roman"/>
          <w:color w:val="111111"/>
        </w:rPr>
        <w:t>court house</w:t>
      </w:r>
      <w:proofErr w:type="gramEnd"/>
      <w:r>
        <w:rPr>
          <w:rFonts w:ascii="Times New Roman" w:hAnsi="Times New Roman" w:cs="Times New Roman"/>
          <w:color w:val="111111"/>
        </w:rPr>
        <w:t xml:space="preserve"> square. This image of whole towns coming to the local center of government administration to partake in big calendar events like seasonal market days or the traveling circus strongly evokes the traditional social organization of Muscogee </w:t>
      </w:r>
      <w:proofErr w:type="spellStart"/>
      <w:r>
        <w:rPr>
          <w:rFonts w:ascii="Times New Roman" w:hAnsi="Times New Roman" w:cs="Times New Roman"/>
          <w:color w:val="111111"/>
        </w:rPr>
        <w:t>talwas</w:t>
      </w:r>
      <w:proofErr w:type="spellEnd"/>
      <w:r>
        <w:rPr>
          <w:rFonts w:ascii="Times New Roman" w:hAnsi="Times New Roman" w:cs="Times New Roman"/>
          <w:color w:val="111111"/>
        </w:rPr>
        <w:t xml:space="preserve">. In ceremonies like the annual Green Corn ceremony, also called the “busk,” the citizens of each town would gather at the town square, which Louis </w:t>
      </w:r>
      <w:proofErr w:type="spellStart"/>
      <w:r>
        <w:rPr>
          <w:rFonts w:ascii="Times New Roman" w:hAnsi="Times New Roman" w:cs="Times New Roman"/>
          <w:color w:val="111111"/>
        </w:rPr>
        <w:t>Littlecoon</w:t>
      </w:r>
      <w:proofErr w:type="spellEnd"/>
      <w:r>
        <w:rPr>
          <w:rFonts w:ascii="Times New Roman" w:hAnsi="Times New Roman" w:cs="Times New Roman"/>
          <w:color w:val="111111"/>
        </w:rPr>
        <w:t xml:space="preserve"> Oliver also calls the Big House (</w:t>
      </w:r>
      <w:proofErr w:type="spellStart"/>
      <w:r>
        <w:rPr>
          <w:rFonts w:ascii="Times New Roman" w:hAnsi="Times New Roman" w:cs="Times New Roman"/>
          <w:color w:val="111111"/>
        </w:rPr>
        <w:t>Chukorako</w:t>
      </w:r>
      <w:proofErr w:type="spellEnd"/>
      <w:r>
        <w:rPr>
          <w:rFonts w:ascii="Times New Roman" w:hAnsi="Times New Roman" w:cs="Times New Roman"/>
          <w:color w:val="111111"/>
        </w:rPr>
        <w:t>), at the center of which was rekindled the sacred fire (5). The busk and other festivals throughout the year were important religious observances, but they were also times for social gathering and the renewal of kinship bonds (Debo 21-2). At these gatherings, Muscogees danced, sang, bathed, ate, smoked, played ball, married, divorced, and socialized. The gatherings that Hotgun foresees adapt these practices rather than replace them and, as with allotment, point to the ways that Muscogees worked within the new systems of statehood to sustain traditional forms of kinship and community.</w:t>
      </w:r>
    </w:p>
    <w:p w14:paraId="198AB27A" w14:textId="77777777" w:rsidR="00287C65" w:rsidRDefault="00287C65" w:rsidP="00287C65">
      <w:pPr>
        <w:spacing w:line="480" w:lineRule="auto"/>
        <w:ind w:firstLine="720"/>
        <w:rPr>
          <w:rFonts w:ascii="Times New Roman" w:hAnsi="Times New Roman" w:cs="Times New Roman"/>
          <w:color w:val="111111"/>
        </w:rPr>
      </w:pPr>
      <w:r>
        <w:rPr>
          <w:rFonts w:ascii="Times New Roman" w:hAnsi="Times New Roman" w:cs="Times New Roman"/>
          <w:color w:val="111111"/>
        </w:rPr>
        <w:t xml:space="preserve">Hotgun’s vision of Muscogee adaptation may have been inspired by Posey’s recent experiences traveling among the full blood communities in rural Indian Territory. In 1904, Posey left journalism to work for the Dawes Commission. Formed after the passage of the Dawes Severalty Act (also called the General Allotment Act) in 1887, the </w:t>
      </w:r>
      <w:r>
        <w:rPr>
          <w:rFonts w:ascii="Times New Roman" w:hAnsi="Times New Roman" w:cs="Times New Roman"/>
          <w:color w:val="111111"/>
        </w:rPr>
        <w:lastRenderedPageBreak/>
        <w:t xml:space="preserve">Dawes Commission was tasked with the responsibility of convincing the tribal governments of Indian Territory to accede to the U.S. Government’s plan to dissolve the tribal governments and distribute, or allot, </w:t>
      </w:r>
      <w:proofErr w:type="gramStart"/>
      <w:r>
        <w:rPr>
          <w:rFonts w:ascii="Times New Roman" w:hAnsi="Times New Roman" w:cs="Times New Roman"/>
          <w:color w:val="111111"/>
        </w:rPr>
        <w:t>commonly-owned</w:t>
      </w:r>
      <w:proofErr w:type="gramEnd"/>
      <w:r>
        <w:rPr>
          <w:rFonts w:ascii="Times New Roman" w:hAnsi="Times New Roman" w:cs="Times New Roman"/>
          <w:color w:val="111111"/>
        </w:rPr>
        <w:t xml:space="preserve"> tribal lands to every individual as parcels of private property. The allotment process required thorough lists of every identifiable tribal citizen of every Native nation living on reservation lands. After the passage of the Curtis Act of 1898, in which Congress granted itself the authority to create these tribal membership rolls, the Dawes Commission hired hundreds of bureaucrats and fieldworkers to record the names, ages, tribal, and town affiliations of every individual tribal citizen eligible to claim an allotment. </w:t>
      </w:r>
    </w:p>
    <w:p w14:paraId="78EDAC9D" w14:textId="77777777" w:rsidR="00287C65" w:rsidRDefault="00287C65" w:rsidP="00287C65">
      <w:pPr>
        <w:spacing w:line="480" w:lineRule="auto"/>
        <w:ind w:firstLine="720"/>
        <w:rPr>
          <w:rFonts w:ascii="Times New Roman" w:hAnsi="Times New Roman" w:cs="Times New Roman"/>
          <w:color w:val="111111"/>
        </w:rPr>
      </w:pPr>
      <w:r>
        <w:rPr>
          <w:rFonts w:ascii="Times New Roman" w:hAnsi="Times New Roman" w:cs="Times New Roman"/>
          <w:color w:val="111111"/>
        </w:rPr>
        <w:t xml:space="preserve">These “Dawes Rolls” were partly based on existing tribal rolls, which recorded the names of tribal members based on each Native nation’s own membership criteria. However, the final Dawes Rolls largely ignored Indigenous ways of reckoning belonging and instead adopted harmful blood quantum tests to determine who would be recognizable to the federal government as a citizen of a Native nation. Still today, the federal government requires a Native applicant demonstrate 1/4 “Indian blood” to be eligible for many services available to Native communities (Native Governance Center). </w:t>
      </w:r>
    </w:p>
    <w:p w14:paraId="5103E903" w14:textId="77777777" w:rsidR="00287C65" w:rsidRDefault="00287C65" w:rsidP="00287C65">
      <w:pPr>
        <w:spacing w:line="480" w:lineRule="auto"/>
        <w:ind w:firstLine="720"/>
        <w:rPr>
          <w:rFonts w:ascii="Times New Roman" w:hAnsi="Times New Roman" w:cs="Times New Roman"/>
          <w:color w:val="111111"/>
        </w:rPr>
      </w:pPr>
      <w:r>
        <w:rPr>
          <w:rFonts w:ascii="Times New Roman" w:hAnsi="Times New Roman" w:cs="Times New Roman"/>
          <w:color w:val="111111"/>
        </w:rPr>
        <w:t xml:space="preserve">Blood quantum and allotment had devastating effects of the Native nations of Indian Territory, which persist to this day. Through the parceling out of tribal lands, the U.S. government dispossessed Native peoples of more than 3 million acres of Native land (Carter). Many Native individuals who refused to comply with allotment policies in the late-nineteenth and early-twentieth centuries were assigned random lots by the </w:t>
      </w:r>
      <w:r>
        <w:rPr>
          <w:rFonts w:ascii="Times New Roman" w:hAnsi="Times New Roman" w:cs="Times New Roman"/>
          <w:color w:val="111111"/>
        </w:rPr>
        <w:lastRenderedPageBreak/>
        <w:t>Commission. Frequently these random lots were arid, remote, or otherwise unsuitable to sustain an individual’s livelihood, resulting in bankruptcy and foreclosure which further dispossessed Native families of even these meager land holdings (Stremlau). Many Native families continue to feel the generational effects of this land theft as more than 1 in 4 Native individuals today live in poverty (</w:t>
      </w:r>
      <w:proofErr w:type="spellStart"/>
      <w:r>
        <w:rPr>
          <w:rFonts w:ascii="Times New Roman" w:hAnsi="Times New Roman" w:cs="Times New Roman"/>
          <w:color w:val="111111"/>
        </w:rPr>
        <w:t>Crepelle</w:t>
      </w:r>
      <w:proofErr w:type="spellEnd"/>
      <w:r>
        <w:rPr>
          <w:rFonts w:ascii="Times New Roman" w:hAnsi="Times New Roman" w:cs="Times New Roman"/>
          <w:color w:val="111111"/>
        </w:rPr>
        <w:t xml:space="preserve">). </w:t>
      </w:r>
    </w:p>
    <w:p w14:paraId="1E0EFA2C" w14:textId="77777777" w:rsidR="00287C65" w:rsidRDefault="00287C65" w:rsidP="00287C65">
      <w:pPr>
        <w:spacing w:line="480" w:lineRule="auto"/>
        <w:ind w:firstLine="720"/>
        <w:rPr>
          <w:rFonts w:ascii="Times New Roman" w:hAnsi="Times New Roman" w:cs="Times New Roman"/>
          <w:color w:val="111111"/>
        </w:rPr>
      </w:pPr>
      <w:r>
        <w:rPr>
          <w:rFonts w:ascii="Times New Roman" w:hAnsi="Times New Roman" w:cs="Times New Roman"/>
          <w:color w:val="111111"/>
        </w:rPr>
        <w:t>Furthermore, contemporary Native nations still contend with the effects of blood quantum. Some Native critics of tribal governments’ continued use of blood quantum metrics point to the fact that, as a colonial construct, blood quantum is a method of “paper genocide” (Hilleary). Blood quantum artificially shrinks tribal enrollment numbers, further alienating Native individuals from their communities and prohibiting important cultural practices. This also threatens Native nations’ sovereignty since, as Jill Doerfler notes, “</w:t>
      </w:r>
      <w:r>
        <w:rPr>
          <w:rFonts w:ascii="Georgia" w:hAnsi="Georgia"/>
          <w:color w:val="222F3A"/>
          <w:shd w:val="clear" w:color="auto" w:fill="FFFFFF"/>
        </w:rPr>
        <w:t>if a nation doesn't have any citizens, there’s no nation…no relationship that has to be maintained, and no services that need to be provided. The government could eliminate the whole budget line of the Bureau of Indian Affairs” (qtd. in Hilleary). Practices implemented by the Dawes Commission in the final decades of the nineteenth century significantly disrupted the Native communities of Indian Territory.</w:t>
      </w:r>
      <w:r>
        <w:rPr>
          <w:rFonts w:ascii="Times New Roman" w:hAnsi="Times New Roman" w:cs="Times New Roman"/>
          <w:color w:val="111111"/>
        </w:rPr>
        <w:t xml:space="preserve">  </w:t>
      </w:r>
    </w:p>
    <w:p w14:paraId="3FA03AE8" w14:textId="77777777" w:rsidR="00287C65" w:rsidRDefault="00287C65" w:rsidP="00287C65">
      <w:pPr>
        <w:spacing w:line="480" w:lineRule="auto"/>
        <w:ind w:firstLine="720"/>
        <w:rPr>
          <w:rFonts w:ascii="Times New Roman" w:hAnsi="Times New Roman" w:cs="Times New Roman"/>
          <w:color w:val="111111"/>
        </w:rPr>
      </w:pPr>
      <w:r>
        <w:rPr>
          <w:rFonts w:ascii="Times New Roman" w:hAnsi="Times New Roman" w:cs="Times New Roman"/>
          <w:color w:val="111111"/>
        </w:rPr>
        <w:t xml:space="preserve">Posey assisted the Dawes Commission as a fieldworker, collecting evidence in rural Muscogee communities in order to verify the individuals who were listed on the Muscogee town rolls but whom the Commissioners had not been able to identify and to get these so-called “lost Creeks” “enrolled” on the final Dawes rolls (Littlefield, 187-95). </w:t>
      </w:r>
      <w:r>
        <w:rPr>
          <w:rFonts w:ascii="Times New Roman" w:hAnsi="Times New Roman" w:cs="Times New Roman"/>
          <w:color w:val="111111"/>
        </w:rPr>
        <w:lastRenderedPageBreak/>
        <w:t xml:space="preserve">In 1904, Posey worked under the chief clerk of the Creek enrolling division as an interpreter and in 1905 he was put in charge of a Creek enrollment field party. Posey describes the purpose of this field party in the journal he kept during that time. As he explains, “Our business is to secure additional evidence in applications for enrollment, search for “lost Creeks” and conciliate the “Snakes”’ (Posey, </w:t>
      </w:r>
      <w:r>
        <w:rPr>
          <w:rFonts w:ascii="Times New Roman" w:hAnsi="Times New Roman" w:cs="Times New Roman"/>
          <w:i/>
          <w:color w:val="111111"/>
        </w:rPr>
        <w:t xml:space="preserve">Lost Creeks </w:t>
      </w:r>
      <w:r>
        <w:rPr>
          <w:rFonts w:ascii="Times New Roman" w:hAnsi="Times New Roman" w:cs="Times New Roman"/>
          <w:color w:val="111111"/>
        </w:rPr>
        <w:t>121). Due to the remoteness of the Muscogees he sought out and the Snakes’ resistance to allotment, “the work must be done on the roadside, at the hearthside and in the cotton patch” (121).</w:t>
      </w:r>
      <w:r>
        <w:rPr>
          <w:rFonts w:ascii="Times New Roman" w:hAnsi="Times New Roman" w:cs="Times New Roman"/>
          <w:color w:val="111111"/>
          <w:vertAlign w:val="superscript"/>
        </w:rPr>
        <w:footnoteReference w:id="84"/>
      </w:r>
    </w:p>
    <w:p w14:paraId="0100B6B8" w14:textId="77777777" w:rsidR="00287C65" w:rsidRDefault="00287C65" w:rsidP="00287C65">
      <w:pPr>
        <w:spacing w:line="480" w:lineRule="auto"/>
        <w:ind w:firstLine="720"/>
        <w:rPr>
          <w:rFonts w:ascii="Times New Roman" w:hAnsi="Times New Roman" w:cs="Times New Roman"/>
          <w:color w:val="111111"/>
        </w:rPr>
      </w:pPr>
      <w:r>
        <w:rPr>
          <w:rFonts w:ascii="Times New Roman" w:hAnsi="Times New Roman" w:cs="Times New Roman"/>
          <w:color w:val="111111"/>
        </w:rPr>
        <w:t xml:space="preserve">Posey’s journal entries do not reflect the Commissions’ settler colonial desire to exclude individuals from tribal membership; they instead record how the traditional protocols of kinship continued to define Muscogee social life in these remote communities. Locating “lost Creeks” was often difficult and Posey and his notary, Drennen C. </w:t>
      </w:r>
      <w:proofErr w:type="spellStart"/>
      <w:r>
        <w:rPr>
          <w:rFonts w:ascii="Times New Roman" w:hAnsi="Times New Roman" w:cs="Times New Roman"/>
          <w:color w:val="111111"/>
        </w:rPr>
        <w:t>Skraggs</w:t>
      </w:r>
      <w:proofErr w:type="spellEnd"/>
      <w:r>
        <w:rPr>
          <w:rFonts w:ascii="Times New Roman" w:hAnsi="Times New Roman" w:cs="Times New Roman"/>
          <w:color w:val="111111"/>
        </w:rPr>
        <w:t xml:space="preserve">, had to rely on the testimony of relatives or neighbors to verify individuals’ identities. Sometimes they found that the people they sought had passed. Posey records the testimony of these individuals’ children and neighbors, who remembered them to Posey and shared stories about their relatives’ lives. Posey’s journal also frequently notes the hospitality of the people he meets. On September 15, Posey and </w:t>
      </w:r>
      <w:r>
        <w:rPr>
          <w:rFonts w:ascii="Times New Roman" w:hAnsi="Times New Roman" w:cs="Times New Roman"/>
          <w:color w:val="111111"/>
        </w:rPr>
        <w:lastRenderedPageBreak/>
        <w:t xml:space="preserve">Skaggs gathered testimony from a March Thompson, whom they find “barbequing beef to feed his renters” (126). Posey relates a humorous anecdote, perhaps told to him by Thompson himself, in which Thompson found himself unable to feed some of his hired farm hands from his livestock so he allowed them to eat from his orchard. “At supper time,” Posey writes, “there was still nothing to </w:t>
      </w:r>
      <w:proofErr w:type="gramStart"/>
      <w:r>
        <w:rPr>
          <w:rFonts w:ascii="Times New Roman" w:hAnsi="Times New Roman" w:cs="Times New Roman"/>
          <w:color w:val="111111"/>
        </w:rPr>
        <w:t>eat</w:t>
      </w:r>
      <w:proofErr w:type="gramEnd"/>
      <w:r>
        <w:rPr>
          <w:rFonts w:ascii="Times New Roman" w:hAnsi="Times New Roman" w:cs="Times New Roman"/>
          <w:color w:val="111111"/>
        </w:rPr>
        <w:t xml:space="preserve"> and the workmen adjourned to a neighbor’s house to satisfy the inner man. While they were eating someone down the road was heard whistling and presently March came into sight. Riding up he dismounted and soon joined his hungry haymakers in their good fortune” (126). On October 27, they “Visit Cindy—the thriftiest Indian woman known hereabouts” (132). In addition to noting Cindy’s good standing in her community, Posey describes how Cindy cares for her relatives’ graves: “There is a graveyard </w:t>
      </w:r>
      <w:proofErr w:type="spellStart"/>
      <w:proofErr w:type="gramStart"/>
      <w:r>
        <w:rPr>
          <w:rFonts w:ascii="Times New Roman" w:hAnsi="Times New Roman" w:cs="Times New Roman"/>
          <w:color w:val="111111"/>
        </w:rPr>
        <w:t>near by</w:t>
      </w:r>
      <w:proofErr w:type="spellEnd"/>
      <w:proofErr w:type="gramEnd"/>
      <w:r>
        <w:rPr>
          <w:rFonts w:ascii="Times New Roman" w:hAnsi="Times New Roman" w:cs="Times New Roman"/>
          <w:color w:val="111111"/>
        </w:rPr>
        <w:t xml:space="preserve"> where a number of her relatives are buried. Over their [15] graves she has had erected veritable houses, besides which the common Indian grave house would pale into insignificance. The house over her mother’s (Kinita) grave is big enough to live comfortably in” (133). Posey’s sharp sense of humor is quick to laugh at the idea of Thompson’s helping himself to his neighbor’s repast or the gargantuan size of Cindy’s mother’s grave house. What Posey positions as punchlines are exactly the acts of kindness, reciprocity, and social responsibility that mark the persistence of Muscogee values. </w:t>
      </w:r>
    </w:p>
    <w:p w14:paraId="136E5B8E" w14:textId="77777777" w:rsidR="00287C65" w:rsidRDefault="00287C65" w:rsidP="00287C65">
      <w:pPr>
        <w:spacing w:line="480" w:lineRule="auto"/>
        <w:ind w:firstLine="720"/>
        <w:rPr>
          <w:rFonts w:ascii="Times New Roman" w:hAnsi="Times New Roman" w:cs="Times New Roman"/>
          <w:color w:val="111111"/>
        </w:rPr>
      </w:pPr>
      <w:r>
        <w:rPr>
          <w:rFonts w:ascii="Times New Roman" w:hAnsi="Times New Roman" w:cs="Times New Roman"/>
          <w:color w:val="111111"/>
        </w:rPr>
        <w:t xml:space="preserve">Interestingly, Thompson and Cindy are also exemplary of how Muscogees have adapted traditional cultural practices to maintain their values amidst “progress.” Thompson, a Muscogee, has rented his allotment lands to renters as Posey’s father and </w:t>
      </w:r>
      <w:r>
        <w:rPr>
          <w:rFonts w:ascii="Times New Roman" w:hAnsi="Times New Roman" w:cs="Times New Roman"/>
          <w:color w:val="111111"/>
        </w:rPr>
        <w:lastRenderedPageBreak/>
        <w:t>other “progressive” Muscogees did, thereby profiting off of allotment. Yet, his relationship with his hired workers and renters is not structured by the capitalist logic of tenant and landlord, but by the laws of Muscogee reciprocity. He cares for them by sharing his food, but when he cannot, they can all rely on Thompson’s neighbors to share what they have to make sure everyone is fed. The grave houses that Cindy has erected over her relatives’ graves provide a more concrete example of adaptation. Grave houses are small structures made of stone or wood that Muscogees erect over the graves of deceased relatives. According to Melissa Harjo-</w:t>
      </w:r>
      <w:proofErr w:type="spellStart"/>
      <w:r>
        <w:rPr>
          <w:rFonts w:ascii="Times New Roman" w:hAnsi="Times New Roman" w:cs="Times New Roman"/>
          <w:color w:val="111111"/>
        </w:rPr>
        <w:t>Moffer</w:t>
      </w:r>
      <w:proofErr w:type="spellEnd"/>
      <w:r>
        <w:rPr>
          <w:rFonts w:ascii="Times New Roman" w:hAnsi="Times New Roman" w:cs="Times New Roman"/>
          <w:color w:val="111111"/>
        </w:rPr>
        <w:t xml:space="preserve">, </w:t>
      </w:r>
      <w:r>
        <w:rPr>
          <w:rFonts w:ascii="Times New Roman" w:hAnsi="Times New Roman" w:cs="Times New Roman"/>
          <w:color w:val="382C14"/>
        </w:rPr>
        <w:t xml:space="preserve">archives and records technician for the Muscogee (Creek) Nation Oklahoma, “the idea behind [the grave houses] is that even if the spirit wanders, they’ll always have somewhere to come home to” (Fourkiller). Autumn Fourkiller (Cherokee) describes how the practice of building grave houses developed sometime in the mid-nineteenth century as a way to translate ancient tribal practices to the new realities of removal: “Before, tribe members were buried beneath the home so that the spirit remained in residence with loved ones. Sources differ on when the shift to separate houses for the dead began, but it’s thought to be associated with that forced relocation—perhaps during the removal, on the trail, or when the traumatized tribes resettled in what was then called Indian Territory, now Arkansas and Oklahoma.” Fourkiller further notes how this development was influenced by many Muscogees’ adoption of Christianity. She quotes an interview with </w:t>
      </w:r>
      <w:proofErr w:type="spellStart"/>
      <w:r>
        <w:rPr>
          <w:rFonts w:ascii="Times New Roman" w:hAnsi="Times New Roman" w:cs="Times New Roman"/>
          <w:color w:val="382C14"/>
        </w:rPr>
        <w:t>RaeLynn</w:t>
      </w:r>
      <w:proofErr w:type="spellEnd"/>
      <w:r>
        <w:rPr>
          <w:rFonts w:ascii="Times New Roman" w:hAnsi="Times New Roman" w:cs="Times New Roman"/>
          <w:color w:val="382C14"/>
        </w:rPr>
        <w:t xml:space="preserve"> Butler, Manager of the Historical and Cultural Preservation Department of the Muscogee (Creek) Nation and a member of the Raccoon Clan, in which Butler explains: “The thing about spirit </w:t>
      </w:r>
      <w:r>
        <w:rPr>
          <w:rFonts w:ascii="Times New Roman" w:hAnsi="Times New Roman" w:cs="Times New Roman"/>
          <w:color w:val="382C14"/>
        </w:rPr>
        <w:lastRenderedPageBreak/>
        <w:t xml:space="preserve">houses…is they are a mix of modernity and the past. They exist on a spectrum between Christianity and our traditional religion” (Fourkiller). According to Butler, the erection of Muscogee grave houses is the shared responsibility of the family and community. “Only men can build the house, and it must be completed within four days of death. Women can aid in painting and decorating the house, and the design is up to the family” (Fourkiller). The same protocols guided the building of Cindy’s grave houses: “I made this place myself…with a man’s help” (Posey, </w:t>
      </w:r>
      <w:r>
        <w:rPr>
          <w:rFonts w:ascii="Times New Roman" w:hAnsi="Times New Roman" w:cs="Times New Roman"/>
          <w:i/>
          <w:color w:val="382C14"/>
        </w:rPr>
        <w:t>Lost Creeks</w:t>
      </w:r>
      <w:r>
        <w:rPr>
          <w:rFonts w:ascii="Times New Roman" w:hAnsi="Times New Roman" w:cs="Times New Roman"/>
          <w:color w:val="382C14"/>
        </w:rPr>
        <w:t xml:space="preserve"> 133).</w:t>
      </w:r>
      <w:r>
        <w:rPr>
          <w:rFonts w:ascii="Times New Roman" w:hAnsi="Times New Roman" w:cs="Times New Roman"/>
          <w:color w:val="382C14"/>
          <w:vertAlign w:val="superscript"/>
        </w:rPr>
        <w:footnoteReference w:id="85"/>
      </w:r>
      <w:r>
        <w:rPr>
          <w:rFonts w:ascii="Times New Roman" w:hAnsi="Times New Roman" w:cs="Times New Roman"/>
          <w:color w:val="382C14"/>
        </w:rPr>
        <w:t xml:space="preserve">   </w:t>
      </w:r>
    </w:p>
    <w:p w14:paraId="0BBB1E99" w14:textId="77777777" w:rsidR="00287C65" w:rsidRDefault="00287C65" w:rsidP="00287C65">
      <w:pPr>
        <w:spacing w:line="480" w:lineRule="auto"/>
        <w:ind w:firstLine="720"/>
        <w:rPr>
          <w:rFonts w:ascii="Times New Roman" w:hAnsi="Times New Roman" w:cs="Times New Roman"/>
          <w:color w:val="111111"/>
        </w:rPr>
      </w:pPr>
      <w:r>
        <w:rPr>
          <w:rFonts w:ascii="Times New Roman" w:hAnsi="Times New Roman" w:cs="Times New Roman"/>
          <w:color w:val="111111"/>
        </w:rPr>
        <w:t>The journey of the Creek enrollment field party certainly inspired Letter No. 61, perhaps the most moving evocation of kinship in the Fus Fixico Letters. In it, Hotgun announces that his “</w:t>
      </w:r>
      <w:proofErr w:type="spellStart"/>
      <w:r>
        <w:rPr>
          <w:rFonts w:ascii="Times New Roman" w:hAnsi="Times New Roman" w:cs="Times New Roman"/>
          <w:color w:val="111111"/>
        </w:rPr>
        <w:t>ol</w:t>
      </w:r>
      <w:proofErr w:type="spellEnd"/>
      <w:r>
        <w:rPr>
          <w:rFonts w:ascii="Times New Roman" w:hAnsi="Times New Roman" w:cs="Times New Roman"/>
          <w:color w:val="111111"/>
        </w:rPr>
        <w:t xml:space="preserve">’ time </w:t>
      </w:r>
      <w:proofErr w:type="spellStart"/>
      <w:r>
        <w:rPr>
          <w:rFonts w:ascii="Times New Roman" w:hAnsi="Times New Roman" w:cs="Times New Roman"/>
          <w:color w:val="111111"/>
        </w:rPr>
        <w:t>frien</w:t>
      </w:r>
      <w:proofErr w:type="spellEnd"/>
      <w:r>
        <w:rPr>
          <w:rFonts w:ascii="Times New Roman" w:hAnsi="Times New Roman" w:cs="Times New Roman"/>
          <w:color w:val="111111"/>
        </w:rPr>
        <w:t xml:space="preserve">’, </w:t>
      </w:r>
      <w:proofErr w:type="spellStart"/>
      <w:r>
        <w:rPr>
          <w:rFonts w:ascii="Times New Roman" w:hAnsi="Times New Roman" w:cs="Times New Roman"/>
          <w:color w:val="111111"/>
        </w:rPr>
        <w:t>Yadeka</w:t>
      </w:r>
      <w:proofErr w:type="spellEnd"/>
      <w:r>
        <w:rPr>
          <w:rFonts w:ascii="Times New Roman" w:hAnsi="Times New Roman" w:cs="Times New Roman"/>
          <w:color w:val="111111"/>
        </w:rPr>
        <w:t xml:space="preserve"> Harjo, </w:t>
      </w:r>
      <w:proofErr w:type="gramStart"/>
      <w:r>
        <w:rPr>
          <w:rFonts w:ascii="Times New Roman" w:hAnsi="Times New Roman" w:cs="Times New Roman"/>
          <w:color w:val="111111"/>
        </w:rPr>
        <w:t>was</w:t>
      </w:r>
      <w:proofErr w:type="gramEnd"/>
      <w:r>
        <w:rPr>
          <w:rFonts w:ascii="Times New Roman" w:hAnsi="Times New Roman" w:cs="Times New Roman"/>
          <w:color w:val="111111"/>
        </w:rPr>
        <w:t xml:space="preserve"> finished ‘is days an’ go to be a good </w:t>
      </w:r>
      <w:proofErr w:type="spellStart"/>
      <w:r>
        <w:rPr>
          <w:rFonts w:ascii="Times New Roman" w:hAnsi="Times New Roman" w:cs="Times New Roman"/>
          <w:color w:val="111111"/>
        </w:rPr>
        <w:t>Injin</w:t>
      </w:r>
      <w:proofErr w:type="spellEnd"/>
      <w:r>
        <w:rPr>
          <w:rFonts w:ascii="Times New Roman" w:hAnsi="Times New Roman" w:cs="Times New Roman"/>
          <w:color w:val="111111"/>
        </w:rPr>
        <w:t xml:space="preserve">” (Posey, </w:t>
      </w:r>
      <w:r>
        <w:rPr>
          <w:rFonts w:ascii="Times New Roman" w:hAnsi="Times New Roman" w:cs="Times New Roman"/>
          <w:i/>
          <w:color w:val="111111"/>
        </w:rPr>
        <w:t xml:space="preserve">Fus Fixico </w:t>
      </w:r>
      <w:r>
        <w:rPr>
          <w:rFonts w:ascii="Times New Roman" w:hAnsi="Times New Roman" w:cs="Times New Roman"/>
          <w:color w:val="111111"/>
        </w:rPr>
        <w:t xml:space="preserve">235). “Go to be a good </w:t>
      </w:r>
      <w:proofErr w:type="spellStart"/>
      <w:r>
        <w:rPr>
          <w:rFonts w:ascii="Times New Roman" w:hAnsi="Times New Roman" w:cs="Times New Roman"/>
          <w:color w:val="111111"/>
        </w:rPr>
        <w:t>Injin</w:t>
      </w:r>
      <w:proofErr w:type="spellEnd"/>
      <w:r>
        <w:rPr>
          <w:rFonts w:ascii="Times New Roman" w:hAnsi="Times New Roman" w:cs="Times New Roman"/>
          <w:color w:val="111111"/>
        </w:rPr>
        <w:t>” is Hotgun’s ironic way of saying that someone died, playing on the inhuman nineteenth-century axiom, commonly attributed to General Philip Sheridan.</w:t>
      </w:r>
      <w:r>
        <w:rPr>
          <w:rFonts w:ascii="Times New Roman" w:hAnsi="Times New Roman" w:cs="Times New Roman"/>
          <w:color w:val="111111"/>
          <w:vertAlign w:val="superscript"/>
        </w:rPr>
        <w:footnoteReference w:id="86"/>
      </w:r>
      <w:r>
        <w:rPr>
          <w:rFonts w:ascii="Times New Roman" w:hAnsi="Times New Roman" w:cs="Times New Roman"/>
          <w:color w:val="111111"/>
        </w:rPr>
        <w:t xml:space="preserve"> </w:t>
      </w:r>
      <w:proofErr w:type="spellStart"/>
      <w:r>
        <w:rPr>
          <w:rFonts w:ascii="Times New Roman" w:hAnsi="Times New Roman" w:cs="Times New Roman"/>
          <w:color w:val="111111"/>
        </w:rPr>
        <w:t>Yadeka</w:t>
      </w:r>
      <w:proofErr w:type="spellEnd"/>
      <w:r>
        <w:rPr>
          <w:rFonts w:ascii="Times New Roman" w:hAnsi="Times New Roman" w:cs="Times New Roman"/>
          <w:color w:val="111111"/>
        </w:rPr>
        <w:t xml:space="preserve"> Harjo was a real Muscogee man whom </w:t>
      </w:r>
      <w:r>
        <w:rPr>
          <w:rFonts w:ascii="Times New Roman" w:hAnsi="Times New Roman" w:cs="Times New Roman"/>
          <w:color w:val="111111"/>
        </w:rPr>
        <w:lastRenderedPageBreak/>
        <w:t xml:space="preserve">Posey and </w:t>
      </w:r>
      <w:proofErr w:type="spellStart"/>
      <w:r>
        <w:rPr>
          <w:rFonts w:ascii="Times New Roman" w:hAnsi="Times New Roman" w:cs="Times New Roman"/>
          <w:color w:val="111111"/>
        </w:rPr>
        <w:t>Skraggs</w:t>
      </w:r>
      <w:proofErr w:type="spellEnd"/>
      <w:r>
        <w:rPr>
          <w:rFonts w:ascii="Times New Roman" w:hAnsi="Times New Roman" w:cs="Times New Roman"/>
          <w:color w:val="111111"/>
        </w:rPr>
        <w:t xml:space="preserve"> interviewed in 1905. In his journal, Posey describes him as “blind and very old—thinks he may be a hundred years old—came here from the “Old country”—an advocate of the simple life—doesn’t care for U.S. citizenship” (Posey, </w:t>
      </w:r>
      <w:r>
        <w:rPr>
          <w:rFonts w:ascii="Times New Roman" w:hAnsi="Times New Roman" w:cs="Times New Roman"/>
          <w:i/>
          <w:color w:val="111111"/>
        </w:rPr>
        <w:t xml:space="preserve">Lost Creeks </w:t>
      </w:r>
      <w:r>
        <w:rPr>
          <w:rFonts w:ascii="Times New Roman" w:hAnsi="Times New Roman" w:cs="Times New Roman"/>
          <w:color w:val="111111"/>
        </w:rPr>
        <w:t xml:space="preserve">130). Letter No. 61 (March 1906) is Hotgun’s eulogy to </w:t>
      </w:r>
      <w:proofErr w:type="spellStart"/>
      <w:r>
        <w:rPr>
          <w:rFonts w:ascii="Times New Roman" w:hAnsi="Times New Roman" w:cs="Times New Roman"/>
          <w:color w:val="111111"/>
        </w:rPr>
        <w:t>Yadeka</w:t>
      </w:r>
      <w:proofErr w:type="spellEnd"/>
      <w:r>
        <w:rPr>
          <w:rFonts w:ascii="Times New Roman" w:hAnsi="Times New Roman" w:cs="Times New Roman"/>
          <w:color w:val="111111"/>
        </w:rPr>
        <w:t xml:space="preserve"> Harjo. As he remembers </w:t>
      </w:r>
      <w:proofErr w:type="spellStart"/>
      <w:r>
        <w:rPr>
          <w:rFonts w:ascii="Times New Roman" w:hAnsi="Times New Roman" w:cs="Times New Roman"/>
          <w:color w:val="111111"/>
        </w:rPr>
        <w:t>Yadeka</w:t>
      </w:r>
      <w:proofErr w:type="spellEnd"/>
      <w:r>
        <w:rPr>
          <w:rFonts w:ascii="Times New Roman" w:hAnsi="Times New Roman" w:cs="Times New Roman"/>
          <w:color w:val="111111"/>
        </w:rPr>
        <w:t xml:space="preserve"> Harjo to his friends, Hotgun recalls how their friendship was based on reciprocity of “good will” and not the transactional expectations of politics or business: </w:t>
      </w:r>
    </w:p>
    <w:p w14:paraId="2491818D" w14:textId="77777777" w:rsidR="00287C65" w:rsidRDefault="00287C65" w:rsidP="00287C65">
      <w:pPr>
        <w:spacing w:line="480" w:lineRule="auto"/>
        <w:ind w:left="720"/>
        <w:rPr>
          <w:rFonts w:ascii="Times New Roman" w:hAnsi="Times New Roman" w:cs="Times New Roman"/>
          <w:color w:val="111111"/>
        </w:rPr>
      </w:pPr>
      <w:r>
        <w:rPr>
          <w:rFonts w:ascii="Times New Roman" w:hAnsi="Times New Roman" w:cs="Times New Roman"/>
          <w:color w:val="111111"/>
        </w:rPr>
        <w:t xml:space="preserve">We come together from the </w:t>
      </w:r>
      <w:proofErr w:type="spellStart"/>
      <w:r>
        <w:rPr>
          <w:rFonts w:ascii="Times New Roman" w:hAnsi="Times New Roman" w:cs="Times New Roman"/>
          <w:color w:val="111111"/>
        </w:rPr>
        <w:t>Ol</w:t>
      </w:r>
      <w:proofErr w:type="spellEnd"/>
      <w:r>
        <w:rPr>
          <w:rFonts w:ascii="Times New Roman" w:hAnsi="Times New Roman" w:cs="Times New Roman"/>
          <w:color w:val="111111"/>
        </w:rPr>
        <w:t>’ Country, an’ live close neighbor to one ‘</w:t>
      </w:r>
      <w:proofErr w:type="spellStart"/>
      <w:r>
        <w:rPr>
          <w:rFonts w:ascii="Times New Roman" w:hAnsi="Times New Roman" w:cs="Times New Roman"/>
          <w:color w:val="111111"/>
        </w:rPr>
        <w:t>nuther</w:t>
      </w:r>
      <w:proofErr w:type="spellEnd"/>
      <w:r>
        <w:rPr>
          <w:rFonts w:ascii="Times New Roman" w:hAnsi="Times New Roman" w:cs="Times New Roman"/>
          <w:color w:val="111111"/>
        </w:rPr>
        <w:t xml:space="preserve">. He </w:t>
      </w:r>
      <w:proofErr w:type="gramStart"/>
      <w:r>
        <w:rPr>
          <w:rFonts w:ascii="Times New Roman" w:hAnsi="Times New Roman" w:cs="Times New Roman"/>
          <w:color w:val="111111"/>
        </w:rPr>
        <w:t>come</w:t>
      </w:r>
      <w:proofErr w:type="gramEnd"/>
      <w:r>
        <w:rPr>
          <w:rFonts w:ascii="Times New Roman" w:hAnsi="Times New Roman" w:cs="Times New Roman"/>
          <w:color w:val="111111"/>
        </w:rPr>
        <w:t xml:space="preserve"> to my house an’ I go to ‘is house, an’ we set down an’ talk till dinner time an’, maybe so, stay all night. All time we cultivate big friendship an’ small sofky patch. We didn’t visit one ‘</w:t>
      </w:r>
      <w:proofErr w:type="spellStart"/>
      <w:r>
        <w:rPr>
          <w:rFonts w:ascii="Times New Roman" w:hAnsi="Times New Roman" w:cs="Times New Roman"/>
          <w:color w:val="111111"/>
        </w:rPr>
        <w:t>nuther</w:t>
      </w:r>
      <w:proofErr w:type="spellEnd"/>
      <w:r>
        <w:rPr>
          <w:rFonts w:ascii="Times New Roman" w:hAnsi="Times New Roman" w:cs="Times New Roman"/>
          <w:color w:val="111111"/>
        </w:rPr>
        <w:t xml:space="preserve"> </w:t>
      </w:r>
      <w:proofErr w:type="spellStart"/>
      <w:r>
        <w:rPr>
          <w:rFonts w:ascii="Times New Roman" w:hAnsi="Times New Roman" w:cs="Times New Roman"/>
          <w:color w:val="111111"/>
        </w:rPr>
        <w:t>‘</w:t>
      </w:r>
      <w:proofErr w:type="gramStart"/>
      <w:r>
        <w:rPr>
          <w:rFonts w:ascii="Times New Roman" w:hAnsi="Times New Roman" w:cs="Times New Roman"/>
          <w:color w:val="111111"/>
        </w:rPr>
        <w:t>cause</w:t>
      </w:r>
      <w:proofErr w:type="spellEnd"/>
      <w:proofErr w:type="gramEnd"/>
      <w:r>
        <w:rPr>
          <w:rFonts w:ascii="Times New Roman" w:hAnsi="Times New Roman" w:cs="Times New Roman"/>
          <w:color w:val="111111"/>
        </w:rPr>
        <w:t xml:space="preserve"> we had business. He didn’t </w:t>
      </w:r>
      <w:proofErr w:type="gramStart"/>
      <w:r>
        <w:rPr>
          <w:rFonts w:ascii="Times New Roman" w:hAnsi="Times New Roman" w:cs="Times New Roman"/>
          <w:color w:val="111111"/>
        </w:rPr>
        <w:t>had</w:t>
      </w:r>
      <w:proofErr w:type="gramEnd"/>
      <w:r>
        <w:rPr>
          <w:rFonts w:ascii="Times New Roman" w:hAnsi="Times New Roman" w:cs="Times New Roman"/>
          <w:color w:val="111111"/>
        </w:rPr>
        <w:t xml:space="preserve"> </w:t>
      </w:r>
      <w:proofErr w:type="spellStart"/>
      <w:r>
        <w:rPr>
          <w:rFonts w:ascii="Times New Roman" w:hAnsi="Times New Roman" w:cs="Times New Roman"/>
          <w:color w:val="111111"/>
        </w:rPr>
        <w:t>nuthin</w:t>
      </w:r>
      <w:proofErr w:type="spellEnd"/>
      <w:r>
        <w:rPr>
          <w:rFonts w:ascii="Times New Roman" w:hAnsi="Times New Roman" w:cs="Times New Roman"/>
          <w:color w:val="111111"/>
        </w:rPr>
        <w:t xml:space="preserve">’ I want to get </w:t>
      </w:r>
      <w:proofErr w:type="gramStart"/>
      <w:r>
        <w:rPr>
          <w:rFonts w:ascii="Times New Roman" w:hAnsi="Times New Roman" w:cs="Times New Roman"/>
          <w:color w:val="111111"/>
        </w:rPr>
        <w:t>holt</w:t>
      </w:r>
      <w:proofErr w:type="gramEnd"/>
      <w:r>
        <w:rPr>
          <w:rFonts w:ascii="Times New Roman" w:hAnsi="Times New Roman" w:cs="Times New Roman"/>
          <w:color w:val="111111"/>
        </w:rPr>
        <w:t xml:space="preserve"> of ‘</w:t>
      </w:r>
      <w:proofErr w:type="spellStart"/>
      <w:r>
        <w:rPr>
          <w:rFonts w:ascii="Times New Roman" w:hAnsi="Times New Roman" w:cs="Times New Roman"/>
          <w:color w:val="111111"/>
        </w:rPr>
        <w:t>cept</w:t>
      </w:r>
      <w:proofErr w:type="spellEnd"/>
      <w:r>
        <w:rPr>
          <w:rFonts w:ascii="Times New Roman" w:hAnsi="Times New Roman" w:cs="Times New Roman"/>
          <w:color w:val="111111"/>
        </w:rPr>
        <w:t xml:space="preserve"> good will, an’ I didn’t had </w:t>
      </w:r>
      <w:proofErr w:type="spellStart"/>
      <w:r>
        <w:rPr>
          <w:rFonts w:ascii="Times New Roman" w:hAnsi="Times New Roman" w:cs="Times New Roman"/>
          <w:color w:val="111111"/>
        </w:rPr>
        <w:t>nuthin</w:t>
      </w:r>
      <w:proofErr w:type="spellEnd"/>
      <w:r>
        <w:rPr>
          <w:rFonts w:ascii="Times New Roman" w:hAnsi="Times New Roman" w:cs="Times New Roman"/>
          <w:color w:val="111111"/>
        </w:rPr>
        <w:t>’ he like to have ‘</w:t>
      </w:r>
      <w:proofErr w:type="spellStart"/>
      <w:r>
        <w:rPr>
          <w:rFonts w:ascii="Times New Roman" w:hAnsi="Times New Roman" w:cs="Times New Roman"/>
          <w:color w:val="111111"/>
        </w:rPr>
        <w:t>cept</w:t>
      </w:r>
      <w:proofErr w:type="spellEnd"/>
      <w:r>
        <w:rPr>
          <w:rFonts w:ascii="Times New Roman" w:hAnsi="Times New Roman" w:cs="Times New Roman"/>
          <w:color w:val="111111"/>
        </w:rPr>
        <w:t xml:space="preserve"> the same thing. </w:t>
      </w:r>
      <w:proofErr w:type="gramStart"/>
      <w:r>
        <w:rPr>
          <w:rFonts w:ascii="Times New Roman" w:hAnsi="Times New Roman" w:cs="Times New Roman"/>
          <w:color w:val="111111"/>
        </w:rPr>
        <w:t>So</w:t>
      </w:r>
      <w:proofErr w:type="gramEnd"/>
      <w:r>
        <w:rPr>
          <w:rFonts w:ascii="Times New Roman" w:hAnsi="Times New Roman" w:cs="Times New Roman"/>
          <w:color w:val="111111"/>
        </w:rPr>
        <w:t xml:space="preserve"> when he see me </w:t>
      </w:r>
      <w:proofErr w:type="spellStart"/>
      <w:r>
        <w:rPr>
          <w:rFonts w:ascii="Times New Roman" w:hAnsi="Times New Roman" w:cs="Times New Roman"/>
          <w:color w:val="111111"/>
        </w:rPr>
        <w:t>ridin</w:t>
      </w:r>
      <w:proofErr w:type="spellEnd"/>
      <w:r>
        <w:rPr>
          <w:rFonts w:ascii="Times New Roman" w:hAnsi="Times New Roman" w:cs="Times New Roman"/>
          <w:color w:val="111111"/>
        </w:rPr>
        <w:t>’ up to ‘is front gate, he wasn’t ‘</w:t>
      </w:r>
      <w:proofErr w:type="spellStart"/>
      <w:r>
        <w:rPr>
          <w:rFonts w:ascii="Times New Roman" w:hAnsi="Times New Roman" w:cs="Times New Roman"/>
          <w:color w:val="111111"/>
        </w:rPr>
        <w:t>fraid</w:t>
      </w:r>
      <w:proofErr w:type="spellEnd"/>
      <w:r>
        <w:rPr>
          <w:rFonts w:ascii="Times New Roman" w:hAnsi="Times New Roman" w:cs="Times New Roman"/>
          <w:color w:val="111111"/>
        </w:rPr>
        <w:t xml:space="preserve"> he had to go on my note or vote me for office. Same way, when I see ‘</w:t>
      </w:r>
      <w:proofErr w:type="spellStart"/>
      <w:r>
        <w:rPr>
          <w:rFonts w:ascii="Times New Roman" w:hAnsi="Times New Roman" w:cs="Times New Roman"/>
          <w:color w:val="111111"/>
        </w:rPr>
        <w:t>im</w:t>
      </w:r>
      <w:proofErr w:type="spellEnd"/>
      <w:r>
        <w:rPr>
          <w:rFonts w:ascii="Times New Roman" w:hAnsi="Times New Roman" w:cs="Times New Roman"/>
          <w:color w:val="111111"/>
        </w:rPr>
        <w:t xml:space="preserve"> </w:t>
      </w:r>
      <w:proofErr w:type="spellStart"/>
      <w:r>
        <w:rPr>
          <w:rFonts w:ascii="Times New Roman" w:hAnsi="Times New Roman" w:cs="Times New Roman"/>
          <w:color w:val="111111"/>
        </w:rPr>
        <w:t>comin</w:t>
      </w:r>
      <w:proofErr w:type="spellEnd"/>
      <w:r>
        <w:rPr>
          <w:rFonts w:ascii="Times New Roman" w:hAnsi="Times New Roman" w:cs="Times New Roman"/>
          <w:color w:val="111111"/>
        </w:rPr>
        <w:t xml:space="preserve">’, I wasn’t uneasy. (Posey, </w:t>
      </w:r>
      <w:r>
        <w:rPr>
          <w:rFonts w:ascii="Times New Roman" w:hAnsi="Times New Roman" w:cs="Times New Roman"/>
          <w:i/>
          <w:color w:val="111111"/>
        </w:rPr>
        <w:t xml:space="preserve">Fus Fixico </w:t>
      </w:r>
      <w:r>
        <w:rPr>
          <w:rFonts w:ascii="Times New Roman" w:hAnsi="Times New Roman" w:cs="Times New Roman"/>
          <w:color w:val="111111"/>
        </w:rPr>
        <w:t>235)</w:t>
      </w:r>
    </w:p>
    <w:p w14:paraId="7D23D5A0" w14:textId="77777777" w:rsidR="00287C65" w:rsidRDefault="00287C65" w:rsidP="00287C65">
      <w:pPr>
        <w:spacing w:line="480" w:lineRule="auto"/>
        <w:rPr>
          <w:rFonts w:ascii="Times New Roman" w:hAnsi="Times New Roman" w:cs="Times New Roman"/>
          <w:color w:val="111111"/>
        </w:rPr>
      </w:pPr>
      <w:r>
        <w:rPr>
          <w:rFonts w:ascii="Times New Roman" w:hAnsi="Times New Roman" w:cs="Times New Roman"/>
          <w:color w:val="111111"/>
        </w:rPr>
        <w:t xml:space="preserve">It is possible to read Letter No. 61 as another regretful contemplation of the vanishing Muscogee full bloods and their “simple life.” In Hotgun’s eulogy, </w:t>
      </w:r>
      <w:proofErr w:type="spellStart"/>
      <w:r>
        <w:rPr>
          <w:rFonts w:ascii="Times New Roman" w:hAnsi="Times New Roman" w:cs="Times New Roman"/>
          <w:color w:val="111111"/>
        </w:rPr>
        <w:t>Yadeka</w:t>
      </w:r>
      <w:proofErr w:type="spellEnd"/>
      <w:r>
        <w:rPr>
          <w:rFonts w:ascii="Times New Roman" w:hAnsi="Times New Roman" w:cs="Times New Roman"/>
          <w:color w:val="111111"/>
        </w:rPr>
        <w:t xml:space="preserve"> Harjo’s passing suggests the passing of the days of the “big friendship an’ small sofky patch.” Furthermore, Letter No. 61 was written and published in early spring of 1906, when it began to become clear to Posey that the U.S. Congress would not accept the ratified Sequoyah constitution or the Native governments’ separate-state solution (Littlefield </w:t>
      </w:r>
      <w:r>
        <w:rPr>
          <w:rFonts w:ascii="Times New Roman" w:hAnsi="Times New Roman" w:cs="Times New Roman"/>
          <w:color w:val="111111"/>
        </w:rPr>
        <w:lastRenderedPageBreak/>
        <w:t>237). Perhaps this realization turned Posey maudlin and nostalgic for the full blood communities he had recently toured through.</w:t>
      </w:r>
    </w:p>
    <w:p w14:paraId="62C743B0" w14:textId="77777777" w:rsidR="00287C65" w:rsidRDefault="00287C65" w:rsidP="00287C65">
      <w:pPr>
        <w:spacing w:line="480" w:lineRule="auto"/>
        <w:ind w:firstLine="720"/>
        <w:rPr>
          <w:rFonts w:ascii="Times New Roman" w:hAnsi="Times New Roman" w:cs="Times New Roman"/>
          <w:color w:val="111111"/>
        </w:rPr>
      </w:pPr>
      <w:r>
        <w:rPr>
          <w:rFonts w:ascii="Times New Roman" w:hAnsi="Times New Roman" w:cs="Times New Roman"/>
          <w:color w:val="111111"/>
        </w:rPr>
        <w:t xml:space="preserve"> A close reading shows that Letter No. 61 ultimately avoids reiterating the vanishing Native trope and discloses a triumphant vision of Muscogee sovereignty and perseverance in the land more in line with Hotgun’s and </w:t>
      </w:r>
      <w:proofErr w:type="spellStart"/>
      <w:r>
        <w:rPr>
          <w:rFonts w:ascii="Times New Roman" w:hAnsi="Times New Roman" w:cs="Times New Roman"/>
          <w:color w:val="111111"/>
        </w:rPr>
        <w:t>Yadeka</w:t>
      </w:r>
      <w:proofErr w:type="spellEnd"/>
      <w:r>
        <w:rPr>
          <w:rFonts w:ascii="Times New Roman" w:hAnsi="Times New Roman" w:cs="Times New Roman"/>
          <w:color w:val="111111"/>
        </w:rPr>
        <w:t xml:space="preserve"> Harjo’s Snake politics than the progressives’ doom-and-gloom. Following the passage above, Hotgun remembers the last time he spoke to </w:t>
      </w:r>
      <w:proofErr w:type="spellStart"/>
      <w:r>
        <w:rPr>
          <w:rFonts w:ascii="Times New Roman" w:hAnsi="Times New Roman" w:cs="Times New Roman"/>
          <w:color w:val="111111"/>
        </w:rPr>
        <w:t>Yadeka</w:t>
      </w:r>
      <w:proofErr w:type="spellEnd"/>
      <w:r>
        <w:rPr>
          <w:rFonts w:ascii="Times New Roman" w:hAnsi="Times New Roman" w:cs="Times New Roman"/>
          <w:color w:val="111111"/>
        </w:rPr>
        <w:t xml:space="preserve"> Harjo. He quotes </w:t>
      </w:r>
      <w:proofErr w:type="spellStart"/>
      <w:r>
        <w:rPr>
          <w:rFonts w:ascii="Times New Roman" w:hAnsi="Times New Roman" w:cs="Times New Roman"/>
          <w:color w:val="111111"/>
        </w:rPr>
        <w:t>Yadeka</w:t>
      </w:r>
      <w:proofErr w:type="spellEnd"/>
      <w:r>
        <w:rPr>
          <w:rFonts w:ascii="Times New Roman" w:hAnsi="Times New Roman" w:cs="Times New Roman"/>
          <w:color w:val="111111"/>
        </w:rPr>
        <w:t xml:space="preserve"> Harjo’s message in order to pass on his wisdom to his friends:</w:t>
      </w:r>
    </w:p>
    <w:p w14:paraId="117C9008" w14:textId="77777777" w:rsidR="00287C65" w:rsidRDefault="00287C65" w:rsidP="00287C65">
      <w:pPr>
        <w:spacing w:line="480" w:lineRule="auto"/>
        <w:ind w:left="720"/>
        <w:rPr>
          <w:rFonts w:ascii="Times New Roman" w:hAnsi="Times New Roman" w:cs="Times New Roman"/>
          <w:color w:val="111111"/>
        </w:rPr>
      </w:pPr>
      <w:r>
        <w:rPr>
          <w:rFonts w:ascii="Times New Roman" w:hAnsi="Times New Roman" w:cs="Times New Roman"/>
          <w:color w:val="111111"/>
        </w:rPr>
        <w:t>“I play close ‘</w:t>
      </w:r>
      <w:proofErr w:type="spellStart"/>
      <w:r>
        <w:rPr>
          <w:rFonts w:ascii="Times New Roman" w:hAnsi="Times New Roman" w:cs="Times New Roman"/>
          <w:color w:val="111111"/>
        </w:rPr>
        <w:t>tention</w:t>
      </w:r>
      <w:proofErr w:type="spellEnd"/>
      <w:r>
        <w:rPr>
          <w:rFonts w:ascii="Times New Roman" w:hAnsi="Times New Roman" w:cs="Times New Roman"/>
          <w:color w:val="111111"/>
        </w:rPr>
        <w:t xml:space="preserve"> an’ my </w:t>
      </w:r>
      <w:proofErr w:type="spellStart"/>
      <w:r>
        <w:rPr>
          <w:rFonts w:ascii="Times New Roman" w:hAnsi="Times New Roman" w:cs="Times New Roman"/>
          <w:color w:val="111111"/>
        </w:rPr>
        <w:t>ol</w:t>
      </w:r>
      <w:proofErr w:type="spellEnd"/>
      <w:r>
        <w:rPr>
          <w:rFonts w:ascii="Times New Roman" w:hAnsi="Times New Roman" w:cs="Times New Roman"/>
          <w:color w:val="111111"/>
        </w:rPr>
        <w:t xml:space="preserve">’ time </w:t>
      </w:r>
      <w:proofErr w:type="spellStart"/>
      <w:r>
        <w:rPr>
          <w:rFonts w:ascii="Times New Roman" w:hAnsi="Times New Roman" w:cs="Times New Roman"/>
          <w:color w:val="111111"/>
        </w:rPr>
        <w:t>frien</w:t>
      </w:r>
      <w:proofErr w:type="spellEnd"/>
      <w:r>
        <w:rPr>
          <w:rFonts w:ascii="Times New Roman" w:hAnsi="Times New Roman" w:cs="Times New Roman"/>
          <w:color w:val="111111"/>
        </w:rPr>
        <w:t xml:space="preserve">’, </w:t>
      </w:r>
      <w:proofErr w:type="spellStart"/>
      <w:r>
        <w:rPr>
          <w:rFonts w:ascii="Times New Roman" w:hAnsi="Times New Roman" w:cs="Times New Roman"/>
          <w:color w:val="111111"/>
        </w:rPr>
        <w:t>Yadeka</w:t>
      </w:r>
      <w:proofErr w:type="spellEnd"/>
      <w:r>
        <w:rPr>
          <w:rFonts w:ascii="Times New Roman" w:hAnsi="Times New Roman" w:cs="Times New Roman"/>
          <w:color w:val="111111"/>
        </w:rPr>
        <w:t xml:space="preserve"> Harjo, he </w:t>
      </w:r>
      <w:proofErr w:type="gramStart"/>
      <w:r>
        <w:rPr>
          <w:rFonts w:ascii="Times New Roman" w:hAnsi="Times New Roman" w:cs="Times New Roman"/>
          <w:color w:val="111111"/>
        </w:rPr>
        <w:t>go</w:t>
      </w:r>
      <w:proofErr w:type="gramEnd"/>
      <w:r>
        <w:rPr>
          <w:rFonts w:ascii="Times New Roman" w:hAnsi="Times New Roman" w:cs="Times New Roman"/>
          <w:color w:val="111111"/>
        </w:rPr>
        <w:t xml:space="preserve"> on an’ say, ‘Well, so I pass through many days; maybe so I was put near hundred years </w:t>
      </w:r>
      <w:proofErr w:type="spellStart"/>
      <w:r>
        <w:rPr>
          <w:rFonts w:ascii="Times New Roman" w:hAnsi="Times New Roman" w:cs="Times New Roman"/>
          <w:color w:val="111111"/>
        </w:rPr>
        <w:t>ol</w:t>
      </w:r>
      <w:proofErr w:type="spellEnd"/>
      <w:r>
        <w:rPr>
          <w:rFonts w:ascii="Times New Roman" w:hAnsi="Times New Roman" w:cs="Times New Roman"/>
          <w:color w:val="111111"/>
        </w:rPr>
        <w:t xml:space="preserve">’; I couldn’t tell. </w:t>
      </w:r>
      <w:proofErr w:type="gramStart"/>
      <w:r>
        <w:rPr>
          <w:rFonts w:ascii="Times New Roman" w:hAnsi="Times New Roman" w:cs="Times New Roman"/>
          <w:color w:val="111111"/>
        </w:rPr>
        <w:t>So</w:t>
      </w:r>
      <w:proofErr w:type="gramEnd"/>
      <w:r>
        <w:rPr>
          <w:rFonts w:ascii="Times New Roman" w:hAnsi="Times New Roman" w:cs="Times New Roman"/>
          <w:color w:val="111111"/>
        </w:rPr>
        <w:t xml:space="preserve"> what I say it </w:t>
      </w:r>
      <w:proofErr w:type="spellStart"/>
      <w:r>
        <w:rPr>
          <w:rFonts w:ascii="Times New Roman" w:hAnsi="Times New Roman" w:cs="Times New Roman"/>
          <w:color w:val="111111"/>
        </w:rPr>
        <w:t>ol</w:t>
      </w:r>
      <w:proofErr w:type="spellEnd"/>
      <w:r>
        <w:rPr>
          <w:rFonts w:ascii="Times New Roman" w:hAnsi="Times New Roman" w:cs="Times New Roman"/>
          <w:color w:val="111111"/>
        </w:rPr>
        <w:t xml:space="preserve">’ man talk. </w:t>
      </w:r>
      <w:proofErr w:type="gramStart"/>
      <w:r>
        <w:rPr>
          <w:rFonts w:ascii="Times New Roman" w:hAnsi="Times New Roman" w:cs="Times New Roman"/>
          <w:color w:val="111111"/>
        </w:rPr>
        <w:t>Long</w:t>
      </w:r>
      <w:proofErr w:type="gramEnd"/>
      <w:r>
        <w:rPr>
          <w:rFonts w:ascii="Times New Roman" w:hAnsi="Times New Roman" w:cs="Times New Roman"/>
          <w:color w:val="111111"/>
        </w:rPr>
        <w:t xml:space="preserve"> time ago He That Looks Over Us give the </w:t>
      </w:r>
      <w:proofErr w:type="spellStart"/>
      <w:r>
        <w:rPr>
          <w:rFonts w:ascii="Times New Roman" w:hAnsi="Times New Roman" w:cs="Times New Roman"/>
          <w:color w:val="111111"/>
        </w:rPr>
        <w:t>Injins</w:t>
      </w:r>
      <w:proofErr w:type="spellEnd"/>
      <w:r>
        <w:rPr>
          <w:rFonts w:ascii="Times New Roman" w:hAnsi="Times New Roman" w:cs="Times New Roman"/>
          <w:color w:val="111111"/>
        </w:rPr>
        <w:t xml:space="preserve"> more </w:t>
      </w:r>
      <w:proofErr w:type="spellStart"/>
      <w:r>
        <w:rPr>
          <w:rFonts w:ascii="Times New Roman" w:hAnsi="Times New Roman" w:cs="Times New Roman"/>
          <w:color w:val="111111"/>
        </w:rPr>
        <w:t>lan</w:t>
      </w:r>
      <w:proofErr w:type="spellEnd"/>
      <w:r>
        <w:rPr>
          <w:rFonts w:ascii="Times New Roman" w:hAnsi="Times New Roman" w:cs="Times New Roman"/>
          <w:color w:val="111111"/>
        </w:rPr>
        <w:t xml:space="preserve">’ than any other people. He put a big ocean on the east side of it </w:t>
      </w:r>
      <w:proofErr w:type="gramStart"/>
      <w:r>
        <w:rPr>
          <w:rFonts w:ascii="Times New Roman" w:hAnsi="Times New Roman" w:cs="Times New Roman"/>
          <w:color w:val="111111"/>
        </w:rPr>
        <w:t>an’</w:t>
      </w:r>
      <w:proofErr w:type="gramEnd"/>
      <w:r>
        <w:rPr>
          <w:rFonts w:ascii="Times New Roman" w:hAnsi="Times New Roman" w:cs="Times New Roman"/>
          <w:color w:val="111111"/>
        </w:rPr>
        <w:t xml:space="preserve"> a big ocean on the west side of it. Then he put summer on the south side </w:t>
      </w:r>
      <w:proofErr w:type="gramStart"/>
      <w:r>
        <w:rPr>
          <w:rFonts w:ascii="Times New Roman" w:hAnsi="Times New Roman" w:cs="Times New Roman"/>
          <w:color w:val="111111"/>
        </w:rPr>
        <w:t>an’</w:t>
      </w:r>
      <w:proofErr w:type="gramEnd"/>
      <w:r>
        <w:rPr>
          <w:rFonts w:ascii="Times New Roman" w:hAnsi="Times New Roman" w:cs="Times New Roman"/>
          <w:color w:val="111111"/>
        </w:rPr>
        <w:t xml:space="preserve"> winter on the north side. He put gold </w:t>
      </w:r>
      <w:proofErr w:type="gramStart"/>
      <w:r>
        <w:rPr>
          <w:rFonts w:ascii="Times New Roman" w:hAnsi="Times New Roman" w:cs="Times New Roman"/>
          <w:color w:val="111111"/>
        </w:rPr>
        <w:t>an’</w:t>
      </w:r>
      <w:proofErr w:type="gramEnd"/>
      <w:r>
        <w:rPr>
          <w:rFonts w:ascii="Times New Roman" w:hAnsi="Times New Roman" w:cs="Times New Roman"/>
          <w:color w:val="111111"/>
        </w:rPr>
        <w:t xml:space="preserve"> silver in the hills an’ fishes in the streams an’ game in the woods an’ on the prairies. He </w:t>
      </w:r>
      <w:proofErr w:type="gramStart"/>
      <w:r>
        <w:rPr>
          <w:rFonts w:ascii="Times New Roman" w:hAnsi="Times New Roman" w:cs="Times New Roman"/>
          <w:color w:val="111111"/>
        </w:rPr>
        <w:t>give</w:t>
      </w:r>
      <w:proofErr w:type="gramEnd"/>
      <w:r>
        <w:rPr>
          <w:rFonts w:ascii="Times New Roman" w:hAnsi="Times New Roman" w:cs="Times New Roman"/>
          <w:color w:val="111111"/>
        </w:rPr>
        <w:t xml:space="preserve"> the </w:t>
      </w:r>
      <w:proofErr w:type="spellStart"/>
      <w:r>
        <w:rPr>
          <w:rFonts w:ascii="Times New Roman" w:hAnsi="Times New Roman" w:cs="Times New Roman"/>
          <w:color w:val="111111"/>
        </w:rPr>
        <w:t>Injin</w:t>
      </w:r>
      <w:proofErr w:type="spellEnd"/>
      <w:r>
        <w:rPr>
          <w:rFonts w:ascii="Times New Roman" w:hAnsi="Times New Roman" w:cs="Times New Roman"/>
          <w:color w:val="111111"/>
        </w:rPr>
        <w:t xml:space="preserve"> the bow an’ arrow an’ </w:t>
      </w:r>
      <w:proofErr w:type="spellStart"/>
      <w:r>
        <w:rPr>
          <w:rFonts w:ascii="Times New Roman" w:hAnsi="Times New Roman" w:cs="Times New Roman"/>
          <w:color w:val="111111"/>
        </w:rPr>
        <w:t>tol</w:t>
      </w:r>
      <w:proofErr w:type="spellEnd"/>
      <w:r>
        <w:rPr>
          <w:rFonts w:ascii="Times New Roman" w:hAnsi="Times New Roman" w:cs="Times New Roman"/>
          <w:color w:val="111111"/>
        </w:rPr>
        <w:t>’ ‘</w:t>
      </w:r>
      <w:proofErr w:type="spellStart"/>
      <w:r>
        <w:rPr>
          <w:rFonts w:ascii="Times New Roman" w:hAnsi="Times New Roman" w:cs="Times New Roman"/>
          <w:color w:val="111111"/>
        </w:rPr>
        <w:t>im</w:t>
      </w:r>
      <w:proofErr w:type="spellEnd"/>
      <w:r>
        <w:rPr>
          <w:rFonts w:ascii="Times New Roman" w:hAnsi="Times New Roman" w:cs="Times New Roman"/>
          <w:color w:val="111111"/>
        </w:rPr>
        <w:t xml:space="preserve"> to be happy.’” (Posey, </w:t>
      </w:r>
      <w:r>
        <w:rPr>
          <w:rFonts w:ascii="Times New Roman" w:hAnsi="Times New Roman" w:cs="Times New Roman"/>
          <w:i/>
          <w:color w:val="111111"/>
        </w:rPr>
        <w:t xml:space="preserve">Fus Fixico </w:t>
      </w:r>
      <w:r>
        <w:rPr>
          <w:rFonts w:ascii="Times New Roman" w:hAnsi="Times New Roman" w:cs="Times New Roman"/>
          <w:color w:val="111111"/>
        </w:rPr>
        <w:t>236)</w:t>
      </w:r>
    </w:p>
    <w:p w14:paraId="72AE3541" w14:textId="77777777" w:rsidR="00287C65" w:rsidRDefault="00287C65" w:rsidP="00287C65">
      <w:pPr>
        <w:spacing w:line="480" w:lineRule="auto"/>
        <w:rPr>
          <w:rFonts w:ascii="Times New Roman" w:hAnsi="Times New Roman" w:cs="Times New Roman"/>
          <w:color w:val="111111"/>
        </w:rPr>
      </w:pPr>
      <w:r>
        <w:rPr>
          <w:rFonts w:ascii="Times New Roman" w:hAnsi="Times New Roman" w:cs="Times New Roman"/>
          <w:color w:val="111111"/>
        </w:rPr>
        <w:t xml:space="preserve">Letter No. 61 ends rather abruptly there. Littlefield suggests that the letter is unfinished, a “sentimental and awkward” fragment (234), but I argue that its ending instead evades foreclosure. The final image of the Muscogee Creator filling the land with ample resources and bidding the people to be happy combines the </w:t>
      </w:r>
      <w:proofErr w:type="gramStart"/>
      <w:r>
        <w:rPr>
          <w:rFonts w:ascii="Times New Roman" w:hAnsi="Times New Roman" w:cs="Times New Roman"/>
          <w:color w:val="111111"/>
        </w:rPr>
        <w:t>deep-time</w:t>
      </w:r>
      <w:proofErr w:type="gramEnd"/>
      <w:r>
        <w:rPr>
          <w:rFonts w:ascii="Times New Roman" w:hAnsi="Times New Roman" w:cs="Times New Roman"/>
          <w:color w:val="111111"/>
        </w:rPr>
        <w:t xml:space="preserve"> of Muscogee oral history with an equally infinite vision of the future. It points to the teaching, common to </w:t>
      </w:r>
      <w:r>
        <w:rPr>
          <w:rFonts w:ascii="Times New Roman" w:hAnsi="Times New Roman" w:cs="Times New Roman"/>
          <w:color w:val="111111"/>
        </w:rPr>
        <w:lastRenderedPageBreak/>
        <w:t xml:space="preserve">many Native nations, including the Muscogee, that reckons time on a scale of seven generations back into the past and seven generations forward into the future. The Creator’s gift of the bows and arrows to the people so that they may hunt the animals of the land underscores the basic tenets underlying the Muscogee values of reciprocity and social obligation: the idea of mutual responsibility and happiness within the shared space of the land. </w:t>
      </w:r>
    </w:p>
    <w:p w14:paraId="203E0137" w14:textId="77777777" w:rsidR="00287C65" w:rsidRDefault="00287C65" w:rsidP="00287C65">
      <w:pPr>
        <w:spacing w:line="480" w:lineRule="auto"/>
        <w:rPr>
          <w:rFonts w:ascii="Times New Roman" w:hAnsi="Times New Roman" w:cs="Times New Roman"/>
          <w:color w:val="111111"/>
        </w:rPr>
      </w:pPr>
      <w:r>
        <w:rPr>
          <w:rFonts w:ascii="Times New Roman" w:hAnsi="Times New Roman" w:cs="Times New Roman"/>
          <w:color w:val="111111"/>
        </w:rPr>
        <w:tab/>
        <w:t xml:space="preserve">Furthermore, the ending to Letter No. 61 allows to see how the project of the Fus Fixico Letters as a whole </w:t>
      </w:r>
      <w:proofErr w:type="gramStart"/>
      <w:r>
        <w:rPr>
          <w:rFonts w:ascii="Times New Roman" w:hAnsi="Times New Roman" w:cs="Times New Roman"/>
          <w:color w:val="111111"/>
        </w:rPr>
        <w:t>carry</w:t>
      </w:r>
      <w:proofErr w:type="gramEnd"/>
      <w:r>
        <w:rPr>
          <w:rFonts w:ascii="Times New Roman" w:hAnsi="Times New Roman" w:cs="Times New Roman"/>
          <w:color w:val="111111"/>
        </w:rPr>
        <w:t xml:space="preserve"> on the kinship practices </w:t>
      </w:r>
      <w:proofErr w:type="spellStart"/>
      <w:r>
        <w:rPr>
          <w:rFonts w:ascii="Times New Roman" w:hAnsi="Times New Roman" w:cs="Times New Roman"/>
          <w:color w:val="111111"/>
        </w:rPr>
        <w:t>Yadeka</w:t>
      </w:r>
      <w:proofErr w:type="spellEnd"/>
      <w:r>
        <w:rPr>
          <w:rFonts w:ascii="Times New Roman" w:hAnsi="Times New Roman" w:cs="Times New Roman"/>
          <w:color w:val="111111"/>
        </w:rPr>
        <w:t xml:space="preserve"> Harjo describes. </w:t>
      </w:r>
      <w:proofErr w:type="spellStart"/>
      <w:r>
        <w:rPr>
          <w:rFonts w:ascii="Times New Roman" w:hAnsi="Times New Roman" w:cs="Times New Roman"/>
          <w:color w:val="111111"/>
        </w:rPr>
        <w:t>Yadeka</w:t>
      </w:r>
      <w:proofErr w:type="spellEnd"/>
      <w:r>
        <w:rPr>
          <w:rFonts w:ascii="Times New Roman" w:hAnsi="Times New Roman" w:cs="Times New Roman"/>
          <w:color w:val="111111"/>
        </w:rPr>
        <w:t xml:space="preserve"> Harjo’s final message is a call to happiness and happiness, Hotgun suggests, lies in the balance of his and </w:t>
      </w:r>
      <w:proofErr w:type="spellStart"/>
      <w:r>
        <w:rPr>
          <w:rFonts w:ascii="Times New Roman" w:hAnsi="Times New Roman" w:cs="Times New Roman"/>
          <w:color w:val="111111"/>
        </w:rPr>
        <w:t>Yadeka</w:t>
      </w:r>
      <w:proofErr w:type="spellEnd"/>
      <w:r>
        <w:rPr>
          <w:rFonts w:ascii="Times New Roman" w:hAnsi="Times New Roman" w:cs="Times New Roman"/>
          <w:color w:val="111111"/>
        </w:rPr>
        <w:t xml:space="preserve"> Harjo’s unassuming friendship. Neither man sought to take anything from the other, but only to give good will and receive it in turn. Such a balance also characterizes the relationship between Fus, Hotgun, </w:t>
      </w:r>
      <w:proofErr w:type="spellStart"/>
      <w:r>
        <w:rPr>
          <w:rFonts w:ascii="Times New Roman" w:hAnsi="Times New Roman" w:cs="Times New Roman"/>
          <w:color w:val="111111"/>
        </w:rPr>
        <w:t>Toofpafka</w:t>
      </w:r>
      <w:proofErr w:type="spellEnd"/>
      <w:r>
        <w:rPr>
          <w:rFonts w:ascii="Times New Roman" w:hAnsi="Times New Roman" w:cs="Times New Roman"/>
          <w:color w:val="111111"/>
        </w:rPr>
        <w:t xml:space="preserve"> Micco, Kono Harjo, and Wolf Warrior as they meet to smoke, talk, and eat at least once a month in the newspaper columns. Hotgun’s and </w:t>
      </w:r>
      <w:proofErr w:type="spellStart"/>
      <w:r>
        <w:rPr>
          <w:rFonts w:ascii="Times New Roman" w:hAnsi="Times New Roman" w:cs="Times New Roman"/>
          <w:color w:val="111111"/>
        </w:rPr>
        <w:t>Yadeka</w:t>
      </w:r>
      <w:proofErr w:type="spellEnd"/>
      <w:r>
        <w:rPr>
          <w:rFonts w:ascii="Times New Roman" w:hAnsi="Times New Roman" w:cs="Times New Roman"/>
          <w:color w:val="111111"/>
        </w:rPr>
        <w:t xml:space="preserve"> Harjo’s friendship is structured by the free flow of conversation: “He come to my house an’ I go to ‘is house, an’ we set down an’ talk till dinner time an’, maybe so, stay all night.” Many of the Fus Fixico Letters quoted in this chapter begin and end in this same way. The parallels suggest that the Fus Fixico Letters are not only a public forum for a redefinition of politics from a Muscogee perspective, but also an active attempt to capture in language the creative, constructive social energy of the sofky pot.</w:t>
      </w:r>
    </w:p>
    <w:p w14:paraId="15F26915" w14:textId="77777777" w:rsidR="009C0F29" w:rsidRDefault="009C0F29" w:rsidP="00287C65">
      <w:pPr>
        <w:spacing w:line="480" w:lineRule="auto"/>
        <w:rPr>
          <w:rFonts w:ascii="Times New Roman" w:hAnsi="Times New Roman" w:cs="Times New Roman"/>
          <w:color w:val="111111"/>
        </w:rPr>
      </w:pPr>
    </w:p>
    <w:p w14:paraId="05C1658A" w14:textId="77777777" w:rsidR="00287C65" w:rsidRPr="00100F41" w:rsidRDefault="00287C65" w:rsidP="009C0F29">
      <w:pPr>
        <w:pStyle w:val="Heading2"/>
        <w:spacing w:before="0" w:after="0"/>
        <w:jc w:val="center"/>
        <w:rPr>
          <w:rFonts w:ascii="Times New Roman" w:hAnsi="Times New Roman" w:cs="Times New Roman"/>
          <w:b/>
          <w:bCs/>
          <w:sz w:val="24"/>
          <w:szCs w:val="24"/>
        </w:rPr>
      </w:pPr>
      <w:bookmarkStart w:id="77" w:name="_Toc169279179"/>
      <w:r w:rsidRPr="009C0F29">
        <w:rPr>
          <w:rFonts w:ascii="Times New Roman" w:hAnsi="Times New Roman" w:cs="Times New Roman"/>
          <w:b/>
          <w:bCs/>
          <w:color w:val="auto"/>
          <w:sz w:val="24"/>
          <w:szCs w:val="24"/>
        </w:rPr>
        <w:lastRenderedPageBreak/>
        <w:t>“</w:t>
      </w:r>
      <w:proofErr w:type="gramStart"/>
      <w:r w:rsidRPr="009C0F29">
        <w:rPr>
          <w:rFonts w:ascii="Times New Roman" w:hAnsi="Times New Roman" w:cs="Times New Roman"/>
          <w:b/>
          <w:bCs/>
          <w:color w:val="auto"/>
          <w:sz w:val="24"/>
          <w:szCs w:val="24"/>
        </w:rPr>
        <w:t>one</w:t>
      </w:r>
      <w:proofErr w:type="gramEnd"/>
      <w:r w:rsidRPr="009C0F29">
        <w:rPr>
          <w:rFonts w:ascii="Times New Roman" w:hAnsi="Times New Roman" w:cs="Times New Roman"/>
          <w:b/>
          <w:bCs/>
          <w:color w:val="auto"/>
          <w:sz w:val="24"/>
          <w:szCs w:val="24"/>
        </w:rPr>
        <w:t xml:space="preserve"> scrumptious time!”: Black Joy in Dunbar’s Dialect Poems</w:t>
      </w:r>
      <w:bookmarkEnd w:id="77"/>
    </w:p>
    <w:p w14:paraId="67610857" w14:textId="77777777" w:rsidR="00287C65" w:rsidRDefault="00287C65" w:rsidP="009C0F29">
      <w:pPr>
        <w:spacing w:line="480" w:lineRule="auto"/>
        <w:ind w:firstLine="720"/>
        <w:rPr>
          <w:rFonts w:ascii="Times New Roman" w:hAnsi="Times New Roman" w:cs="Times New Roman"/>
        </w:rPr>
      </w:pPr>
    </w:p>
    <w:p w14:paraId="1089EE11" w14:textId="77777777" w:rsidR="00287C65" w:rsidRDefault="00287C65" w:rsidP="009C0F29">
      <w:pPr>
        <w:spacing w:line="480" w:lineRule="auto"/>
        <w:ind w:firstLine="720"/>
        <w:rPr>
          <w:rFonts w:ascii="Times New Roman" w:hAnsi="Times New Roman" w:cs="Times New Roman"/>
        </w:rPr>
      </w:pPr>
      <w:r>
        <w:rPr>
          <w:rFonts w:ascii="Times New Roman" w:hAnsi="Times New Roman" w:cs="Times New Roman"/>
        </w:rPr>
        <w:t>While critics like Daniel Littlefield readily identify Posey as a humorist, few acknowledge the humor of Dunbar’s poetry.</w:t>
      </w:r>
      <w:r>
        <w:rPr>
          <w:rStyle w:val="FootnoteReference"/>
          <w:rFonts w:ascii="Times New Roman" w:hAnsi="Times New Roman" w:cs="Times New Roman"/>
        </w:rPr>
        <w:footnoteReference w:id="87"/>
      </w:r>
      <w:r>
        <w:rPr>
          <w:rFonts w:ascii="Times New Roman" w:hAnsi="Times New Roman" w:cs="Times New Roman"/>
        </w:rPr>
        <w:t xml:space="preserve"> That Dunbar intended his dialect poems to be funny is clear; he entitled the second section of </w:t>
      </w:r>
      <w:r>
        <w:rPr>
          <w:rFonts w:ascii="Times New Roman" w:hAnsi="Times New Roman" w:cs="Times New Roman"/>
          <w:i/>
        </w:rPr>
        <w:t xml:space="preserve">Majors and Minors </w:t>
      </w:r>
      <w:r>
        <w:rPr>
          <w:rFonts w:ascii="Times New Roman" w:hAnsi="Times New Roman" w:cs="Times New Roman"/>
        </w:rPr>
        <w:t>containing that volume’s twenty-four dialect poems “Humor and Dialect.” However, the ugly history of minstrelsy, which cloaked racial degradation and violence as comedy, has caused many to approach Dunbar’s humor with caution. Twentieth-century African American literary critics, eager to identify the field of African American literary studies with the modernist techniques and progressive racial politics of the Harlem Renaissance, cast a wary eye on Dunbar’s dialect performances, accusing him of perpetuating harmful Black stereotypes (Jones 183-4). Although fellow poet James Weldon Johnson praised Dunbar as “the first to use [dialect] as a medium for the true interpretation of Negro character and psychology,” including “its humor, its superstitions, [and] its shortcomings,” he also derided the Black dialect aesthetic as “an instrument with but two full stops, humor and pathos” and blamed the limitations of dialect for the popularity of the “happy-go-lucky, singing, shuffling, banjo-picking” “Sambo” type that artists of the Harlem Renaissance were then working to overcome (xxxiii, xl). Gayl Jones, Houston Baker, and Henry Louis Gates, Jr. more or less follow Johnson’s critique, reiterating Dunbar’s failure “to register his authentic black voice in the tradition of Western poetry” (Gates 115).</w:t>
      </w:r>
      <w:r>
        <w:rPr>
          <w:rFonts w:ascii="Times New Roman" w:hAnsi="Times New Roman" w:cs="Times New Roman"/>
          <w:vertAlign w:val="superscript"/>
        </w:rPr>
        <w:footnoteReference w:id="88"/>
      </w:r>
      <w:r>
        <w:rPr>
          <w:rFonts w:ascii="Times New Roman" w:hAnsi="Times New Roman" w:cs="Times New Roman"/>
        </w:rPr>
        <w:t xml:space="preserve"> Kevin G. </w:t>
      </w:r>
      <w:r>
        <w:rPr>
          <w:rFonts w:ascii="Times New Roman" w:hAnsi="Times New Roman" w:cs="Times New Roman"/>
        </w:rPr>
        <w:lastRenderedPageBreak/>
        <w:t xml:space="preserve">Gaines implies that the humor of Dunbar’s poetry derives from “the mass culture of Progressive Era journalism” and “the minstrel trappings, and working-class settings” of popular culture (184). Though Dunbar’s work attempts to “exploit and flout” such racial conventions, Gaines writes that Dunbar was “seldom free from the constraints of white audiences” who interpreted his dialect verse within the schema of plantation fiction and minstrelsy (184). These critics are apt to view Dunbar’s humor as, at best, an aesthetic failure or, at worst, regurgitated minstrel tropes. </w:t>
      </w:r>
    </w:p>
    <w:p w14:paraId="167EAA57" w14:textId="77777777" w:rsidR="00287C65" w:rsidRDefault="00287C65" w:rsidP="00287C65">
      <w:pPr>
        <w:spacing w:line="480" w:lineRule="auto"/>
        <w:ind w:firstLine="720"/>
        <w:rPr>
          <w:rFonts w:ascii="Times New Roman" w:hAnsi="Times New Roman" w:cs="Times New Roman"/>
          <w:i/>
        </w:rPr>
      </w:pPr>
      <w:r>
        <w:rPr>
          <w:rFonts w:ascii="Times New Roman" w:hAnsi="Times New Roman" w:cs="Times New Roman"/>
        </w:rPr>
        <w:t xml:space="preserve">Recent criticism has largely abandoned this older view of Dunbar as imprisoned by white literary forms in favor of </w:t>
      </w:r>
      <w:proofErr w:type="gramStart"/>
      <w:r>
        <w:rPr>
          <w:rFonts w:ascii="Times New Roman" w:hAnsi="Times New Roman" w:cs="Times New Roman"/>
        </w:rPr>
        <w:t>a Dunbar</w:t>
      </w:r>
      <w:proofErr w:type="gramEnd"/>
      <w:r>
        <w:rPr>
          <w:rFonts w:ascii="Times New Roman" w:hAnsi="Times New Roman" w:cs="Times New Roman"/>
        </w:rPr>
        <w:t xml:space="preserve"> who used popular forms to encode trenchant social and political critique. However, as scholarly attention has shifted away from Dunbar’s relationality with minstrel types, so too, it seems, has attention to humor. Gavin Jones is one of the last critics to write about the humorous techniques of Dunbar’s poetry. In </w:t>
      </w:r>
      <w:r>
        <w:rPr>
          <w:rFonts w:ascii="Times New Roman" w:hAnsi="Times New Roman" w:cs="Times New Roman"/>
          <w:i/>
        </w:rPr>
        <w:t xml:space="preserve">Strange Talk </w:t>
      </w:r>
      <w:r>
        <w:rPr>
          <w:rFonts w:ascii="Times New Roman" w:hAnsi="Times New Roman" w:cs="Times New Roman"/>
        </w:rPr>
        <w:t xml:space="preserve">(1999) Jones employs the language of humor to describe Dunbar’s subversive technique of </w:t>
      </w:r>
      <w:proofErr w:type="gramStart"/>
      <w:r>
        <w:rPr>
          <w:rFonts w:ascii="Times New Roman" w:hAnsi="Times New Roman" w:cs="Times New Roman"/>
        </w:rPr>
        <w:t>signifying on</w:t>
      </w:r>
      <w:proofErr w:type="gramEnd"/>
      <w:r>
        <w:rPr>
          <w:rFonts w:ascii="Times New Roman" w:hAnsi="Times New Roman" w:cs="Times New Roman"/>
        </w:rPr>
        <w:t xml:space="preserve"> white literary forms. For example, Jones explains that in Dunbar’s oral performance of his dialect poem “The Colored Band,” in which he performs a cakewalk, “Dunbar was underscoring for his friends…his knowledge of </w:t>
      </w:r>
      <w:proofErr w:type="gramStart"/>
      <w:r>
        <w:rPr>
          <w:rFonts w:ascii="Times New Roman" w:hAnsi="Times New Roman" w:cs="Times New Roman"/>
        </w:rPr>
        <w:t>African-American</w:t>
      </w:r>
      <w:proofErr w:type="gramEnd"/>
      <w:r>
        <w:rPr>
          <w:rFonts w:ascii="Times New Roman" w:hAnsi="Times New Roman" w:cs="Times New Roman"/>
        </w:rPr>
        <w:t xml:space="preserve"> parodic rituals that reappropriate white culture by infusing it with a satirical black difference” (191).  Jones makes clear that in such dialect poems as “An Ante-bellum Sermon” Dunbar does not “[conform] to the “humorous” stereotypes” of the plantation </w:t>
      </w:r>
      <w:proofErr w:type="gramStart"/>
      <w:r>
        <w:rPr>
          <w:rFonts w:ascii="Times New Roman" w:hAnsi="Times New Roman" w:cs="Times New Roman"/>
        </w:rPr>
        <w:t>tradition, but</w:t>
      </w:r>
      <w:proofErr w:type="gramEnd"/>
      <w:r>
        <w:rPr>
          <w:rFonts w:ascii="Times New Roman" w:hAnsi="Times New Roman" w:cs="Times New Roman"/>
        </w:rPr>
        <w:t xml:space="preserve"> employs parody and satire as the modes of his “counterdiscourse” (192). Jones’s reassessment follows other reassessments of Black </w:t>
      </w:r>
      <w:r>
        <w:rPr>
          <w:rFonts w:ascii="Times New Roman" w:hAnsi="Times New Roman" w:cs="Times New Roman"/>
        </w:rPr>
        <w:lastRenderedPageBreak/>
        <w:t>humor’s political meaning and social utility, such as comedy historian Mel Watkins’s contention that “surreptitiousness and trickery were the principal defenses against repression” for Black folks during the Jim Crow era (35). While such views of Black humor have informed a few critics’ interpretations of Dunbar, the older caution still prevails, and no full study of Dunbar as a humorist has yet appeared.</w:t>
      </w:r>
    </w:p>
    <w:p w14:paraId="14598CDF" w14:textId="77777777" w:rsidR="00287C65" w:rsidRDefault="00287C65" w:rsidP="00287C65">
      <w:pPr>
        <w:spacing w:line="480" w:lineRule="auto"/>
        <w:rPr>
          <w:rFonts w:ascii="Times New Roman" w:hAnsi="Times New Roman" w:cs="Times New Roman"/>
          <w:shd w:val="clear" w:color="auto" w:fill="FFD966"/>
        </w:rPr>
      </w:pPr>
      <w:r>
        <w:rPr>
          <w:rFonts w:ascii="Times New Roman" w:hAnsi="Times New Roman" w:cs="Times New Roman"/>
        </w:rPr>
        <w:tab/>
        <w:t xml:space="preserve">In this section, I focus on the humor of a few of Dunbar’s most iconic dialect poems and argue that his humor articulates what Lindsey Stewart calls a “politics of Black joy.” My thesis assumes two things: one, that Dunbar is a humorist and, two, that his humor is strategic and political, rather than merely popular or “naive.” Put differently, I assume that Dunbar was funny </w:t>
      </w:r>
      <w:r>
        <w:rPr>
          <w:rFonts w:ascii="Times New Roman" w:hAnsi="Times New Roman" w:cs="Times New Roman"/>
          <w:i/>
        </w:rPr>
        <w:t xml:space="preserve">on purpose </w:t>
      </w:r>
      <w:r>
        <w:rPr>
          <w:rFonts w:ascii="Times New Roman" w:hAnsi="Times New Roman" w:cs="Times New Roman"/>
        </w:rPr>
        <w:t xml:space="preserve">and that he knew what he was doing. My position differs from that of early critics such as Howells and Johnson who view humor as an essential racial trait or as a basic truth of Black people’s psychology. Humor, like dialect, is a performance, an aesthetic choice Dunbar makes and the medium through which he depicts Black joy. As Stewart explains it, the artistic depiction of Black joy articulates Black humanity in a way that escapes the totalizing oppression and pathological suffering that, according to neo-abolitionism (the forms that Black liberation takes post-Emancipation), defines the Black American experience (Stewart 15-21). Black joy, then, is not a stance of resistance to oppression, but an expression of Black humanity that is deeply political even as it appears to eschew traditionally political themes. I argue that in many of his dialect poems, but especially in “When de </w:t>
      </w:r>
      <w:proofErr w:type="spellStart"/>
      <w:r>
        <w:rPr>
          <w:rFonts w:ascii="Times New Roman" w:hAnsi="Times New Roman" w:cs="Times New Roman"/>
        </w:rPr>
        <w:t>Co’n</w:t>
      </w:r>
      <w:proofErr w:type="spellEnd"/>
      <w:r>
        <w:rPr>
          <w:rFonts w:ascii="Times New Roman" w:hAnsi="Times New Roman" w:cs="Times New Roman"/>
        </w:rPr>
        <w:t xml:space="preserve"> Pone’s Hot” and “The Party,” Dunbar uses humor to articulate a politics of Black joy that posit a third position </w:t>
      </w:r>
      <w:r>
        <w:rPr>
          <w:rFonts w:ascii="Times New Roman" w:hAnsi="Times New Roman" w:cs="Times New Roman"/>
        </w:rPr>
        <w:lastRenderedPageBreak/>
        <w:t xml:space="preserve">for Black liberation outside of what Stewart calls the “dialectic of Black enchantment and Black tragedy,” which partially subtended the late-nineteenth-century ideology of racial uplift and its attendant respectability politics. In what follows, I describe the relation I see between uplift, respectability, and Black enchantment/tragedy in order to situate my reading of Dunbar’s poetry as escaping these delimiting frames. </w:t>
      </w:r>
    </w:p>
    <w:p w14:paraId="4A7E0281"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 xml:space="preserve">At the turn of the twentieth century, the </w:t>
      </w:r>
      <w:proofErr w:type="spellStart"/>
      <w:r>
        <w:rPr>
          <w:rFonts w:ascii="Times New Roman" w:hAnsi="Times New Roman" w:cs="Times New Roman"/>
        </w:rPr>
        <w:t>intraracial</w:t>
      </w:r>
      <w:proofErr w:type="spellEnd"/>
      <w:r>
        <w:rPr>
          <w:rFonts w:ascii="Times New Roman" w:hAnsi="Times New Roman" w:cs="Times New Roman"/>
        </w:rPr>
        <w:t xml:space="preserve"> discourse of racial uplift attempted to </w:t>
      </w:r>
      <w:proofErr w:type="spellStart"/>
      <w:r>
        <w:rPr>
          <w:rFonts w:ascii="Times New Roman" w:hAnsi="Times New Roman" w:cs="Times New Roman"/>
        </w:rPr>
        <w:t>prescrib</w:t>
      </w:r>
      <w:proofErr w:type="spellEnd"/>
      <w:r>
        <w:rPr>
          <w:rFonts w:ascii="Times New Roman" w:hAnsi="Times New Roman" w:cs="Times New Roman"/>
        </w:rPr>
        <w:t xml:space="preserve"> what viable Black political expression looked like. After the “failure” of Radical Reconstruction and the withdrawal of Federal troops from the South in 1877, Southern legislatures passed a slew of anti-Black aimed at severely bracketing emancipated peoples’ civil rights in the Southern states. These “Jim Crow” laws segregated public facilities, including bathrooms, train cars, and lunch counters, and kept African Americans from fully participating in national life as citizens of the United States. The Supreme Court’s decision in </w:t>
      </w:r>
      <w:r>
        <w:rPr>
          <w:rFonts w:ascii="Times New Roman" w:hAnsi="Times New Roman" w:cs="Times New Roman"/>
          <w:i/>
        </w:rPr>
        <w:t xml:space="preserve">Plessy v. Ferguson </w:t>
      </w:r>
      <w:r>
        <w:rPr>
          <w:rFonts w:ascii="Times New Roman" w:hAnsi="Times New Roman" w:cs="Times New Roman"/>
        </w:rPr>
        <w:t xml:space="preserve">(1896) determined these oppressive laws did not violate African Americans’ protections under the Fourteenth Amendment. In response to such legal repression, Black intellectuals and political leaders developed an ideology they referred to as racial uplift. Uplift describes a constellation of moral, economic, and political strategies which aimed to “improve African Americans’ political, social, and economic conditions in the United States” (Lee 233). Many leading voices of uplift preached the doctrine of respectability, which problematically linked “race progress” to Black individuals’ performance of white, bourgeois values like “industriousness, righteousness, and self-reliance” (233). Men like W.E.B. Du Bois and </w:t>
      </w:r>
      <w:r>
        <w:rPr>
          <w:rFonts w:ascii="Times New Roman" w:hAnsi="Times New Roman" w:cs="Times New Roman"/>
        </w:rPr>
        <w:lastRenderedPageBreak/>
        <w:t xml:space="preserve">Booker T. Washington stressed the importance of education to personal and racial advancement, though their approaches and emphases differed. Washington promoted a program of Black economic advancement through education in the trades and manual training and espoused a gradualist approach to African Americans’ participation in politics. Conversely, Du Bois championed higher education for African Americans and pressed more assertively than Washington for Black political engagement. Both positions had their adherents and detractors, and during his lifetime, Dunbar oscillated between the Washingtonian and Du </w:t>
      </w:r>
      <w:proofErr w:type="spellStart"/>
      <w:r>
        <w:rPr>
          <w:rFonts w:ascii="Times New Roman" w:hAnsi="Times New Roman" w:cs="Times New Roman"/>
        </w:rPr>
        <w:t>Boisian</w:t>
      </w:r>
      <w:proofErr w:type="spellEnd"/>
      <w:r>
        <w:rPr>
          <w:rFonts w:ascii="Times New Roman" w:hAnsi="Times New Roman" w:cs="Times New Roman"/>
        </w:rPr>
        <w:t xml:space="preserve"> schools of thought. </w:t>
      </w:r>
    </w:p>
    <w:p w14:paraId="5F32F13E" w14:textId="77777777" w:rsidR="00287C65" w:rsidRDefault="00287C65" w:rsidP="00287C65">
      <w:pPr>
        <w:spacing w:line="480" w:lineRule="auto"/>
        <w:rPr>
          <w:rFonts w:ascii="Times New Roman" w:hAnsi="Times New Roman" w:cs="Times New Roman"/>
        </w:rPr>
      </w:pPr>
      <w:r>
        <w:rPr>
          <w:rFonts w:ascii="Times New Roman" w:hAnsi="Times New Roman" w:cs="Times New Roman"/>
        </w:rPr>
        <w:tab/>
        <w:t xml:space="preserve">As they sought to define the best way forward for racial and civil advancement, Black activists also had to contend with the demeaning, racist cultural stereotypes promulgated by blackface minstrelsy. As mentioned above, minstrelsy as a tradition began in the antebellum era. However, it reached new heights during Jim Crow as a discourse to mock and discredit emancipated Black people’s efforts to achieve social equality with whites. As Kevin G. Gaines explains, racial uplift’s imposition of a bourgeois moral economy was partly a response to minstrelsy’s identification of Blackness with immorality, laziness, and lasciviousness (67). A common technique of minstrelsy was to depict the Old South as an idyllic time marked by harmonious race relations. Within such fictions, Black people were content in their enslavement. Some even claimed that Black people had benefited from enslavement. Critics of Booker T. Washington’s Tuskegee Institute accused Washington of perpetuating minstrel stereotypes when he claimed that enslavement had given Southern Blacks opportunities </w:t>
      </w:r>
      <w:r>
        <w:rPr>
          <w:rFonts w:ascii="Times New Roman" w:hAnsi="Times New Roman" w:cs="Times New Roman"/>
        </w:rPr>
        <w:lastRenderedPageBreak/>
        <w:t>to learn trades and manual skills. Other elite proponents of uplift risked pathologizing or demonizing Black poverty when they stressed the “self-help” politics of uplift. Du Bois is one such intellectual who differentiated between less affluent, less well-educated lower classes of African Americans and the “better class” of Black Americans, whose burden it was to exemplify and embody racial progress (14).</w:t>
      </w:r>
    </w:p>
    <w:p w14:paraId="405DC452" w14:textId="77777777" w:rsidR="00287C65" w:rsidRDefault="00287C65" w:rsidP="00287C65">
      <w:pPr>
        <w:spacing w:line="480" w:lineRule="auto"/>
        <w:ind w:firstLine="720"/>
        <w:rPr>
          <w:rFonts w:ascii="Times New Roman" w:hAnsi="Times New Roman" w:cs="Times New Roman"/>
          <w:color w:val="231F20"/>
        </w:rPr>
      </w:pPr>
      <w:r>
        <w:rPr>
          <w:rFonts w:ascii="Times New Roman" w:hAnsi="Times New Roman" w:cs="Times New Roman"/>
        </w:rPr>
        <w:t xml:space="preserve">I argue that what Lindsey Stewart calls “the dialectic of Black enchantment and Black tragedy” can be seen in the </w:t>
      </w:r>
      <w:proofErr w:type="spellStart"/>
      <w:r>
        <w:rPr>
          <w:rFonts w:ascii="Times New Roman" w:hAnsi="Times New Roman" w:cs="Times New Roman"/>
        </w:rPr>
        <w:t>intraracial</w:t>
      </w:r>
      <w:proofErr w:type="spellEnd"/>
      <w:r>
        <w:rPr>
          <w:rFonts w:ascii="Times New Roman" w:hAnsi="Times New Roman" w:cs="Times New Roman"/>
        </w:rPr>
        <w:t xml:space="preserve"> class politics of racial uplift. Stewart’s term explains the tendency in the United States to see Black life only within the binary terms of humorous minstrel stereotypes (enchantment) or abjection (tragedy). Stewart develops her idea from her readings of Zora Neale Hurston, but it is not anachronistic to contextualize the dialectic she describes in the political milieu of the Gilded Age. Stewart’s dialectic is made up of “</w:t>
      </w:r>
      <w:r>
        <w:rPr>
          <w:rFonts w:ascii="Times New Roman" w:hAnsi="Times New Roman" w:cs="Times New Roman"/>
          <w:color w:val="231F20"/>
        </w:rPr>
        <w:t xml:space="preserve">the abolitionist’s staging of Black sorrow and the minstrel’s show of Black joy” (7). Blackface minstrels’ caricatures continued well into the twentieth century, but after Emancipation the abolitionists’ exhibition of Black misery is replaced by the uplift advocates’ moral crusade. Like the abolitionists, for whom “Black life is seen to be tragic without northern, white political intervention,” proponents of uplift regarded Black life as tragic without the civilizing forces of education, labor, family, or any other of the values enshrined by uplift’s moral advocates. In his famous essay “The Talented Tenth” (1903) W.E.B. Du Bois invokes tragedy as “the rule” of Black life, to be alleviated only by the “thrift, ability, and character” of “a saving remnant”: </w:t>
      </w:r>
    </w:p>
    <w:p w14:paraId="68414DBC" w14:textId="77777777" w:rsidR="00287C65" w:rsidRDefault="00287C65" w:rsidP="00287C65">
      <w:pPr>
        <w:spacing w:line="480" w:lineRule="auto"/>
        <w:ind w:left="720"/>
        <w:rPr>
          <w:rFonts w:ascii="Times New Roman" w:hAnsi="Times New Roman" w:cs="Times New Roman"/>
          <w:color w:val="282828"/>
          <w:shd w:val="clear" w:color="auto" w:fill="FFD966"/>
        </w:rPr>
      </w:pPr>
      <w:r>
        <w:rPr>
          <w:rFonts w:ascii="Times New Roman" w:hAnsi="Times New Roman" w:cs="Times New Roman"/>
          <w:color w:val="282828"/>
        </w:rPr>
        <w:lastRenderedPageBreak/>
        <w:t xml:space="preserve">And yet so sure as this Talented Tenth is pointed out, the blind worshippers of the Average cry out in alarm: "These are exceptions, look here at death, disease and crime—these are the happy rule." Of course they are the rule, because a silly nation made them the rule: Because for three long centuries this people [white Americans] lynched Negroes who dared to be brave, raped black women who dared to be virtuous, crushed dark-hued youth who dared to be ambitious, and encouraged and made to flourish servility and lewdness and apathy. But not even this was able to crush all manhood and chastity and aspiration from black folk. A saving remnant continually survives and persists, continually aspires, continually shows itself in thrift and ability and character. Exceptional it is to be sure, but this is its </w:t>
      </w:r>
      <w:proofErr w:type="spellStart"/>
      <w:r>
        <w:rPr>
          <w:rFonts w:ascii="Times New Roman" w:hAnsi="Times New Roman" w:cs="Times New Roman"/>
          <w:color w:val="282828"/>
        </w:rPr>
        <w:t>chiefest</w:t>
      </w:r>
      <w:proofErr w:type="spellEnd"/>
      <w:r>
        <w:rPr>
          <w:rFonts w:ascii="Times New Roman" w:hAnsi="Times New Roman" w:cs="Times New Roman"/>
          <w:color w:val="282828"/>
        </w:rPr>
        <w:t xml:space="preserve"> promise; it shows the capability of Negro blood, the promise of black men. (43)</w:t>
      </w:r>
    </w:p>
    <w:p w14:paraId="2C501E3C" w14:textId="77777777" w:rsidR="00287C65" w:rsidRDefault="00287C65" w:rsidP="00287C65">
      <w:pPr>
        <w:spacing w:line="480" w:lineRule="auto"/>
        <w:rPr>
          <w:rFonts w:ascii="Times New Roman" w:hAnsi="Times New Roman" w:cs="Times New Roman"/>
          <w:color w:val="231F20"/>
        </w:rPr>
      </w:pPr>
      <w:r>
        <w:rPr>
          <w:rFonts w:ascii="Times New Roman" w:hAnsi="Times New Roman" w:cs="Times New Roman"/>
          <w:color w:val="282828"/>
        </w:rPr>
        <w:t xml:space="preserve">Stewart also notes Du Bois’s characterization of Black spirituals as “sorrow songs” in </w:t>
      </w:r>
      <w:r>
        <w:rPr>
          <w:rFonts w:ascii="Times New Roman" w:hAnsi="Times New Roman" w:cs="Times New Roman"/>
          <w:i/>
          <w:color w:val="282828"/>
        </w:rPr>
        <w:t xml:space="preserve">The Souls of Black Folk </w:t>
      </w:r>
      <w:r>
        <w:rPr>
          <w:rFonts w:ascii="Times New Roman" w:hAnsi="Times New Roman" w:cs="Times New Roman"/>
          <w:color w:val="282828"/>
        </w:rPr>
        <w:t>(1903) as another example of “</w:t>
      </w:r>
      <w:r>
        <w:rPr>
          <w:rFonts w:ascii="Times New Roman" w:hAnsi="Times New Roman" w:cs="Times New Roman"/>
          <w:color w:val="231F20"/>
        </w:rPr>
        <w:t xml:space="preserve">a “Race attitude” that mandates that we emphasize sorrow in our representations of Black life” (19). </w:t>
      </w:r>
    </w:p>
    <w:p w14:paraId="18A49DB8" w14:textId="77777777" w:rsidR="00287C65" w:rsidRDefault="00287C65" w:rsidP="00287C65">
      <w:pPr>
        <w:spacing w:line="480" w:lineRule="auto"/>
        <w:rPr>
          <w:rFonts w:ascii="Times New Roman" w:hAnsi="Times New Roman" w:cs="Times New Roman"/>
        </w:rPr>
      </w:pPr>
      <w:r>
        <w:rPr>
          <w:rFonts w:ascii="Times New Roman" w:hAnsi="Times New Roman" w:cs="Times New Roman"/>
          <w:color w:val="282828"/>
        </w:rPr>
        <w:tab/>
        <w:t xml:space="preserve">Another place we might locate Stewart’s dialectic in the late nineteenth century is in what Gene Andrew Jarrett calls “minstrel realism.” Minstrel realism describes the different aesthetical standards to which white cultural commentators like William Dean Howells held African American realist writers. Focusing on Howells’s review of Dunbar’s </w:t>
      </w:r>
      <w:r>
        <w:rPr>
          <w:rFonts w:ascii="Times New Roman" w:hAnsi="Times New Roman" w:cs="Times New Roman"/>
          <w:i/>
          <w:color w:val="282828"/>
        </w:rPr>
        <w:t>Majors and Minors</w:t>
      </w:r>
      <w:r>
        <w:rPr>
          <w:rFonts w:ascii="Times New Roman" w:hAnsi="Times New Roman" w:cs="Times New Roman"/>
          <w:color w:val="282828"/>
        </w:rPr>
        <w:t xml:space="preserve">, Jarrett shows that Howells’s appreciation for Dunbar lay primarily in what he perceived to be the poet’s racial authenticity, accessible to Howells </w:t>
      </w:r>
      <w:r>
        <w:rPr>
          <w:rFonts w:ascii="Times New Roman" w:hAnsi="Times New Roman" w:cs="Times New Roman"/>
          <w:color w:val="282828"/>
        </w:rPr>
        <w:lastRenderedPageBreak/>
        <w:t xml:space="preserve">via Dunbar’s use of dialect as well as his photograph in the frontispiece of </w:t>
      </w:r>
      <w:r>
        <w:rPr>
          <w:rFonts w:ascii="Times New Roman" w:hAnsi="Times New Roman" w:cs="Times New Roman"/>
          <w:i/>
          <w:color w:val="282828"/>
        </w:rPr>
        <w:t>Majors and Minors</w:t>
      </w:r>
      <w:r>
        <w:rPr>
          <w:rFonts w:ascii="Times New Roman" w:hAnsi="Times New Roman" w:cs="Times New Roman"/>
          <w:color w:val="282828"/>
        </w:rPr>
        <w:t>. Stewart writes that “</w:t>
      </w:r>
      <w:r>
        <w:rPr>
          <w:rFonts w:ascii="Times New Roman" w:hAnsi="Times New Roman" w:cs="Times New Roman"/>
          <w:color w:val="231F20"/>
        </w:rPr>
        <w:t xml:space="preserve">the South is often portrayed as a land of Black enchantment, as the hub and home of much-celebrated Black cultural products, such as our food, music, and dance traditions” (2). Similarly, Howells romanticized Dunbar’s poetry by “playing up the dialect’s racial authenticity” and linking it with a </w:t>
      </w:r>
      <w:proofErr w:type="spellStart"/>
      <w:r>
        <w:rPr>
          <w:rFonts w:ascii="Times New Roman" w:hAnsi="Times New Roman" w:cs="Times New Roman"/>
          <w:color w:val="231F20"/>
        </w:rPr>
        <w:t>minstrelized</w:t>
      </w:r>
      <w:proofErr w:type="spellEnd"/>
      <w:r>
        <w:rPr>
          <w:rFonts w:ascii="Times New Roman" w:hAnsi="Times New Roman" w:cs="Times New Roman"/>
          <w:color w:val="231F20"/>
        </w:rPr>
        <w:t xml:space="preserve"> notion of Black psychology that essentialized humor and joy as racial traits.</w:t>
      </w:r>
      <w:r>
        <w:rPr>
          <w:rFonts w:ascii="Times New Roman" w:hAnsi="Times New Roman" w:cs="Times New Roman"/>
          <w:color w:val="231F20"/>
          <w:vertAlign w:val="superscript"/>
        </w:rPr>
        <w:footnoteReference w:id="89"/>
      </w:r>
      <w:r>
        <w:rPr>
          <w:rFonts w:ascii="Times New Roman" w:hAnsi="Times New Roman" w:cs="Times New Roman"/>
          <w:color w:val="231F20"/>
        </w:rPr>
        <w:t xml:space="preserve">  </w:t>
      </w:r>
    </w:p>
    <w:p w14:paraId="7E435EFA" w14:textId="77777777" w:rsidR="00287C65" w:rsidRDefault="00287C65" w:rsidP="00287C65">
      <w:pPr>
        <w:spacing w:line="480" w:lineRule="auto"/>
        <w:ind w:firstLine="720"/>
        <w:rPr>
          <w:rFonts w:ascii="Times New Roman" w:hAnsi="Times New Roman" w:cs="Times New Roman"/>
        </w:rPr>
      </w:pPr>
      <w:r>
        <w:rPr>
          <w:rFonts w:ascii="Times New Roman" w:hAnsi="Times New Roman" w:cs="Times New Roman"/>
        </w:rPr>
        <w:t xml:space="preserve">Uplift’s emphasis on bourgeois respectability as the best path forward for Black liberation and the minstrel tradition’s hijacking of humor as a weapon of racist attack discountenanced humor as language of political activism. Both Black and white critics wrote about the humor of Dunbar’s poetry in ways that inscribed him within the terms of the dialectic of enchantment and tragedy. James Weldon Johnson, whose remarks from the Preface of </w:t>
      </w:r>
      <w:r>
        <w:rPr>
          <w:rFonts w:ascii="Times New Roman" w:hAnsi="Times New Roman" w:cs="Times New Roman"/>
          <w:i/>
        </w:rPr>
        <w:t>The</w:t>
      </w:r>
      <w:r>
        <w:rPr>
          <w:rFonts w:ascii="Times New Roman" w:hAnsi="Times New Roman" w:cs="Times New Roman"/>
        </w:rPr>
        <w:t xml:space="preserve"> </w:t>
      </w:r>
      <w:r>
        <w:rPr>
          <w:rFonts w:ascii="Times New Roman" w:hAnsi="Times New Roman" w:cs="Times New Roman"/>
          <w:i/>
        </w:rPr>
        <w:t xml:space="preserve">Book of American Negro Poetry </w:t>
      </w:r>
      <w:r>
        <w:rPr>
          <w:rFonts w:ascii="Times New Roman" w:hAnsi="Times New Roman" w:cs="Times New Roman"/>
        </w:rPr>
        <w:t xml:space="preserve">(1922) I quote in the introduction to this chapter, dismisses dialect writing such as Dunbar’s as “an instrument with but two full stops, humor and pathos” (xl). Humor, for Johnson, was indelibly linked with white nostalgia and was inadequate to describe Black life in urban centers like Harlem or Chicago (xl). The white press praised </w:t>
      </w:r>
      <w:proofErr w:type="gramStart"/>
      <w:r>
        <w:rPr>
          <w:rFonts w:ascii="Times New Roman" w:hAnsi="Times New Roman" w:cs="Times New Roman"/>
        </w:rPr>
        <w:t>Dunbar</w:t>
      </w:r>
      <w:proofErr w:type="gramEnd"/>
      <w:r>
        <w:rPr>
          <w:rFonts w:ascii="Times New Roman" w:hAnsi="Times New Roman" w:cs="Times New Roman"/>
        </w:rPr>
        <w:t xml:space="preserve"> using the same language. In 1900, </w:t>
      </w:r>
      <w:r>
        <w:rPr>
          <w:rFonts w:ascii="Times New Roman" w:hAnsi="Times New Roman" w:cs="Times New Roman"/>
          <w:i/>
        </w:rPr>
        <w:t>The Washington Post</w:t>
      </w:r>
      <w:r>
        <w:rPr>
          <w:rFonts w:ascii="Times New Roman" w:hAnsi="Times New Roman" w:cs="Times New Roman"/>
        </w:rPr>
        <w:t xml:space="preserve"> praised </w:t>
      </w:r>
      <w:r>
        <w:rPr>
          <w:rFonts w:ascii="Times New Roman" w:hAnsi="Times New Roman" w:cs="Times New Roman"/>
          <w:i/>
        </w:rPr>
        <w:t>The Strength of Gideon and Other Stories</w:t>
      </w:r>
      <w:r>
        <w:rPr>
          <w:rFonts w:ascii="Times New Roman" w:hAnsi="Times New Roman" w:cs="Times New Roman"/>
        </w:rPr>
        <w:t>,</w:t>
      </w:r>
      <w:r>
        <w:rPr>
          <w:rFonts w:ascii="Times New Roman" w:hAnsi="Times New Roman" w:cs="Times New Roman"/>
          <w:i/>
        </w:rPr>
        <w:t xml:space="preserve"> </w:t>
      </w:r>
      <w:r>
        <w:rPr>
          <w:rFonts w:ascii="Times New Roman" w:hAnsi="Times New Roman" w:cs="Times New Roman"/>
        </w:rPr>
        <w:t xml:space="preserve">Dunbar’s 1899 </w:t>
      </w:r>
      <w:r>
        <w:rPr>
          <w:rFonts w:ascii="Times New Roman" w:hAnsi="Times New Roman" w:cs="Times New Roman"/>
        </w:rPr>
        <w:lastRenderedPageBreak/>
        <w:t xml:space="preserve">collection of short fiction, for the way Dunbar portrayed the “humor and pathos...of African American life” (qtd. In Jarrett, </w:t>
      </w:r>
      <w:r>
        <w:rPr>
          <w:rFonts w:ascii="Times New Roman" w:hAnsi="Times New Roman" w:cs="Times New Roman"/>
          <w:i/>
        </w:rPr>
        <w:t>Dunbar</w:t>
      </w:r>
      <w:r>
        <w:rPr>
          <w:rFonts w:ascii="Times New Roman" w:hAnsi="Times New Roman" w:cs="Times New Roman"/>
        </w:rPr>
        <w:t xml:space="preserve"> 371). Similarly, in a review of the same work, the </w:t>
      </w:r>
      <w:r>
        <w:rPr>
          <w:rFonts w:ascii="Times New Roman" w:hAnsi="Times New Roman" w:cs="Times New Roman"/>
          <w:i/>
        </w:rPr>
        <w:t xml:space="preserve">New York Journal </w:t>
      </w:r>
      <w:r>
        <w:rPr>
          <w:rFonts w:ascii="Times New Roman" w:hAnsi="Times New Roman" w:cs="Times New Roman"/>
        </w:rPr>
        <w:t>noted “the fidelity and unrestrained humor of which this exponent of the characteristics of his race is capable” (371). These white reviews illustrate the way that, Stewart says, Black joy has historically been “</w:t>
      </w:r>
      <w:r>
        <w:rPr>
          <w:rFonts w:ascii="Times New Roman" w:hAnsi="Times New Roman" w:cs="Times New Roman"/>
          <w:color w:val="231F20"/>
        </w:rPr>
        <w:t>reduced to enchantment, stripped of its critical power, and fashioned as the romance of Black life in the South” (3). Thus, while many early w</w:t>
      </w:r>
      <w:r>
        <w:rPr>
          <w:rFonts w:ascii="Times New Roman" w:hAnsi="Times New Roman" w:cs="Times New Roman"/>
        </w:rPr>
        <w:t xml:space="preserve">hite critics tended to read Dunbar’s humor as a mark of his racial authenticity and many early Black critics read in it his complicity with harmful and nostalgic white literary forms, the humor of Dunbar’s dialect poetry ultimately escapes both these frames in its portrayal of Black joy. </w:t>
      </w:r>
    </w:p>
    <w:p w14:paraId="799F936E" w14:textId="77777777" w:rsidR="00287C65" w:rsidRDefault="00287C65" w:rsidP="00287C65">
      <w:pPr>
        <w:spacing w:line="480" w:lineRule="auto"/>
        <w:ind w:firstLine="720"/>
        <w:rPr>
          <w:rFonts w:ascii="Times New Roman" w:hAnsi="Times New Roman" w:cs="Times New Roman"/>
          <w:color w:val="231F20"/>
        </w:rPr>
      </w:pPr>
      <w:r>
        <w:rPr>
          <w:rFonts w:ascii="Times New Roman" w:hAnsi="Times New Roman" w:cs="Times New Roman"/>
        </w:rPr>
        <w:t>As Stewart argues, the critical power of Black joy lies in its refusal to engage in the politics of recognition. Following the Mohawk scholar Audra Simpson, Stewart defines (a)political act of refusals against acts of resistance. “</w:t>
      </w:r>
      <w:r>
        <w:rPr>
          <w:rFonts w:ascii="Times New Roman" w:hAnsi="Times New Roman" w:cs="Times New Roman"/>
          <w:color w:val="231F20"/>
        </w:rPr>
        <w:t xml:space="preserve">Resistance,” she writes, “locks us into a life and death struggle with our oppressor for recognition. In contrast, refusal withholds recognition of the oppressor’s power or authority to define our lives” (33). Since the 1990’s, critics have reclaimed Dunbar’s legacy by focusing on the subtle ways his poems subvert and resist racist codes and tropes. His famous poem “We Wear the Mask,” first published in </w:t>
      </w:r>
      <w:r>
        <w:rPr>
          <w:rFonts w:ascii="Times New Roman" w:hAnsi="Times New Roman" w:cs="Times New Roman"/>
          <w:i/>
          <w:color w:val="231F20"/>
        </w:rPr>
        <w:t>Majors and Minors</w:t>
      </w:r>
      <w:r>
        <w:rPr>
          <w:rFonts w:ascii="Times New Roman" w:hAnsi="Times New Roman" w:cs="Times New Roman"/>
          <w:color w:val="231F20"/>
        </w:rPr>
        <w:t xml:space="preserve">, has rightly come to be seen as Dunbar’s mission statement in this respect: </w:t>
      </w:r>
    </w:p>
    <w:p w14:paraId="79E7D17A" w14:textId="77777777" w:rsidR="00287C65" w:rsidRDefault="00287C65" w:rsidP="00287C65">
      <w:pPr>
        <w:spacing w:line="480" w:lineRule="auto"/>
        <w:ind w:firstLine="720"/>
        <w:rPr>
          <w:rFonts w:ascii="Times New Roman" w:hAnsi="Times New Roman" w:cs="Times New Roman"/>
          <w:color w:val="231F20"/>
        </w:rPr>
      </w:pPr>
      <w:r>
        <w:rPr>
          <w:rFonts w:ascii="Times New Roman" w:hAnsi="Times New Roman" w:cs="Times New Roman"/>
          <w:color w:val="231F20"/>
        </w:rPr>
        <w:t>We wear the mask that grins and lies,</w:t>
      </w:r>
    </w:p>
    <w:p w14:paraId="4D5C3286" w14:textId="77777777" w:rsidR="00287C65" w:rsidRDefault="00287C65" w:rsidP="00287C65">
      <w:pPr>
        <w:spacing w:line="480" w:lineRule="auto"/>
        <w:ind w:firstLine="720"/>
        <w:rPr>
          <w:rFonts w:ascii="Times New Roman" w:hAnsi="Times New Roman" w:cs="Times New Roman"/>
          <w:color w:val="231F20"/>
        </w:rPr>
      </w:pPr>
      <w:r>
        <w:rPr>
          <w:rFonts w:ascii="Times New Roman" w:hAnsi="Times New Roman" w:cs="Times New Roman"/>
          <w:color w:val="231F20"/>
        </w:rPr>
        <w:t>It hides our cheeks and shades our eyes,—</w:t>
      </w:r>
    </w:p>
    <w:p w14:paraId="650B2C99" w14:textId="77777777" w:rsidR="00287C65" w:rsidRDefault="00287C65" w:rsidP="00287C65">
      <w:pPr>
        <w:spacing w:line="480" w:lineRule="auto"/>
        <w:ind w:firstLine="720"/>
        <w:rPr>
          <w:rFonts w:ascii="Times New Roman" w:hAnsi="Times New Roman" w:cs="Times New Roman"/>
          <w:color w:val="231F20"/>
        </w:rPr>
      </w:pPr>
      <w:r>
        <w:rPr>
          <w:rFonts w:ascii="Times New Roman" w:hAnsi="Times New Roman" w:cs="Times New Roman"/>
          <w:color w:val="231F20"/>
        </w:rPr>
        <w:lastRenderedPageBreak/>
        <w:t xml:space="preserve">This debt we pay to human </w:t>
      </w:r>
      <w:proofErr w:type="gramStart"/>
      <w:r>
        <w:rPr>
          <w:rFonts w:ascii="Times New Roman" w:hAnsi="Times New Roman" w:cs="Times New Roman"/>
          <w:color w:val="231F20"/>
        </w:rPr>
        <w:t>guile;</w:t>
      </w:r>
      <w:proofErr w:type="gramEnd"/>
    </w:p>
    <w:p w14:paraId="78BAD553" w14:textId="77777777" w:rsidR="00287C65" w:rsidRDefault="00287C65" w:rsidP="00287C65">
      <w:pPr>
        <w:spacing w:line="480" w:lineRule="auto"/>
        <w:ind w:firstLine="720"/>
        <w:rPr>
          <w:rFonts w:ascii="Times New Roman" w:hAnsi="Times New Roman" w:cs="Times New Roman"/>
          <w:color w:val="231F20"/>
        </w:rPr>
      </w:pPr>
      <w:r>
        <w:rPr>
          <w:rFonts w:ascii="Times New Roman" w:hAnsi="Times New Roman" w:cs="Times New Roman"/>
          <w:color w:val="231F20"/>
        </w:rPr>
        <w:t>With torn and bleeding hearts we smile</w:t>
      </w:r>
    </w:p>
    <w:p w14:paraId="3296D900" w14:textId="77777777" w:rsidR="00287C65" w:rsidRPr="00D51C8B" w:rsidRDefault="00287C65" w:rsidP="00287C65">
      <w:pPr>
        <w:spacing w:line="480" w:lineRule="auto"/>
        <w:ind w:firstLine="720"/>
        <w:rPr>
          <w:rFonts w:ascii="Times New Roman" w:hAnsi="Times New Roman" w:cs="Times New Roman"/>
          <w:color w:val="231F20"/>
        </w:rPr>
      </w:pPr>
      <w:r>
        <w:rPr>
          <w:rFonts w:ascii="Times New Roman" w:hAnsi="Times New Roman" w:cs="Times New Roman"/>
          <w:color w:val="231F20"/>
        </w:rPr>
        <w:t xml:space="preserve">And mouth with myriad subtleties. (Dunbar, </w:t>
      </w:r>
      <w:r>
        <w:rPr>
          <w:rFonts w:ascii="Times New Roman" w:hAnsi="Times New Roman" w:cs="Times New Roman"/>
          <w:i/>
          <w:iCs/>
          <w:color w:val="231F20"/>
        </w:rPr>
        <w:t xml:space="preserve">Poetry </w:t>
      </w:r>
      <w:r>
        <w:rPr>
          <w:rFonts w:ascii="Times New Roman" w:hAnsi="Times New Roman" w:cs="Times New Roman"/>
          <w:color w:val="231F20"/>
        </w:rPr>
        <w:t>71)</w:t>
      </w:r>
    </w:p>
    <w:p w14:paraId="600F949D" w14:textId="77777777" w:rsidR="00287C65" w:rsidRDefault="00287C65" w:rsidP="00287C65">
      <w:pPr>
        <w:spacing w:line="480" w:lineRule="auto"/>
        <w:rPr>
          <w:rFonts w:ascii="Times New Roman" w:hAnsi="Times New Roman" w:cs="Times New Roman"/>
          <w:color w:val="231F20"/>
        </w:rPr>
      </w:pPr>
      <w:r>
        <w:rPr>
          <w:rFonts w:ascii="Times New Roman" w:hAnsi="Times New Roman" w:cs="Times New Roman"/>
          <w:color w:val="231F20"/>
        </w:rPr>
        <w:t xml:space="preserve"> Without question, these lines describe the way Dunbar approached his poetry, especially his poems in dialect, which he felt white audiences deeply misunderstood. However, we should be wary about reading “We Wear the Mask” as a poem </w:t>
      </w:r>
      <w:r>
        <w:rPr>
          <w:rFonts w:ascii="Times New Roman" w:hAnsi="Times New Roman" w:cs="Times New Roman"/>
          <w:i/>
          <w:color w:val="231F20"/>
        </w:rPr>
        <w:t xml:space="preserve">only </w:t>
      </w:r>
      <w:r>
        <w:rPr>
          <w:rFonts w:ascii="Times New Roman" w:hAnsi="Times New Roman" w:cs="Times New Roman"/>
          <w:color w:val="231F20"/>
        </w:rPr>
        <w:t>about resistance. It is also about refusal, as the second stanza indicates:</w:t>
      </w:r>
    </w:p>
    <w:p w14:paraId="50C52D0A" w14:textId="77777777" w:rsidR="00287C65" w:rsidRDefault="00287C65" w:rsidP="00287C65">
      <w:pPr>
        <w:spacing w:line="480" w:lineRule="auto"/>
        <w:rPr>
          <w:rFonts w:ascii="Times New Roman" w:hAnsi="Times New Roman" w:cs="Times New Roman"/>
          <w:color w:val="231F20"/>
        </w:rPr>
      </w:pPr>
      <w:r>
        <w:rPr>
          <w:rFonts w:ascii="Times New Roman" w:hAnsi="Times New Roman" w:cs="Times New Roman"/>
          <w:color w:val="231F20"/>
        </w:rPr>
        <w:tab/>
        <w:t>Why should the world be over-wise</w:t>
      </w:r>
    </w:p>
    <w:p w14:paraId="375DC8F4" w14:textId="77777777" w:rsidR="00287C65" w:rsidRDefault="00287C65" w:rsidP="00287C65">
      <w:pPr>
        <w:spacing w:line="480" w:lineRule="auto"/>
        <w:rPr>
          <w:rFonts w:ascii="Times New Roman" w:hAnsi="Times New Roman" w:cs="Times New Roman"/>
          <w:color w:val="231F20"/>
        </w:rPr>
      </w:pPr>
      <w:r>
        <w:rPr>
          <w:rFonts w:ascii="Times New Roman" w:hAnsi="Times New Roman" w:cs="Times New Roman"/>
          <w:color w:val="231F20"/>
        </w:rPr>
        <w:tab/>
        <w:t>In counting all our tears and sighs?</w:t>
      </w:r>
    </w:p>
    <w:p w14:paraId="23F2F6D5" w14:textId="77777777" w:rsidR="00287C65" w:rsidRDefault="00287C65" w:rsidP="00287C65">
      <w:pPr>
        <w:spacing w:line="480" w:lineRule="auto"/>
        <w:rPr>
          <w:rFonts w:ascii="Times New Roman" w:hAnsi="Times New Roman" w:cs="Times New Roman"/>
          <w:color w:val="231F20"/>
        </w:rPr>
      </w:pPr>
      <w:r>
        <w:rPr>
          <w:rFonts w:ascii="Times New Roman" w:hAnsi="Times New Roman" w:cs="Times New Roman"/>
          <w:color w:val="231F20"/>
        </w:rPr>
        <w:tab/>
        <w:t>Nay, let them only see us, while</w:t>
      </w:r>
    </w:p>
    <w:p w14:paraId="3AF41A14" w14:textId="77777777" w:rsidR="00287C65" w:rsidRDefault="00287C65" w:rsidP="00287C65">
      <w:pPr>
        <w:spacing w:line="480" w:lineRule="auto"/>
        <w:rPr>
          <w:rFonts w:ascii="Times New Roman" w:hAnsi="Times New Roman" w:cs="Times New Roman"/>
          <w:color w:val="231F20"/>
        </w:rPr>
      </w:pPr>
      <w:r>
        <w:rPr>
          <w:rFonts w:ascii="Times New Roman" w:hAnsi="Times New Roman" w:cs="Times New Roman"/>
          <w:color w:val="231F20"/>
        </w:rPr>
        <w:tab/>
        <w:t xml:space="preserve">     We </w:t>
      </w:r>
      <w:proofErr w:type="gramStart"/>
      <w:r>
        <w:rPr>
          <w:rFonts w:ascii="Times New Roman" w:hAnsi="Times New Roman" w:cs="Times New Roman"/>
          <w:color w:val="231F20"/>
        </w:rPr>
        <w:t>wear the mask</w:t>
      </w:r>
      <w:proofErr w:type="gramEnd"/>
      <w:r>
        <w:rPr>
          <w:rFonts w:ascii="Times New Roman" w:hAnsi="Times New Roman" w:cs="Times New Roman"/>
          <w:color w:val="231F20"/>
        </w:rPr>
        <w:t>. (71)</w:t>
      </w:r>
    </w:p>
    <w:p w14:paraId="41993CCB" w14:textId="77777777" w:rsidR="00287C65" w:rsidRDefault="00287C65" w:rsidP="00287C65">
      <w:pPr>
        <w:spacing w:line="480" w:lineRule="auto"/>
        <w:rPr>
          <w:rFonts w:ascii="Times New Roman" w:hAnsi="Times New Roman" w:cs="Times New Roman"/>
          <w:color w:val="231F20"/>
        </w:rPr>
      </w:pPr>
      <w:r>
        <w:rPr>
          <w:rFonts w:ascii="Times New Roman" w:hAnsi="Times New Roman" w:cs="Times New Roman"/>
          <w:color w:val="231F20"/>
        </w:rPr>
        <w:tab/>
        <w:t>The speaker’s refusal is an act of self-definition. They present a mask of “grins and lies” to the world that thinks it knows them, and so they control the terms of recognition. The speaker does not evade or deny the realities of racism, as indicated in the lines “We smile, but oh great Christ, our cries / To thee from tortured souls arise.”</w:t>
      </w:r>
      <w:r>
        <w:rPr>
          <w:rFonts w:ascii="Times New Roman" w:hAnsi="Times New Roman" w:cs="Times New Roman"/>
          <w:color w:val="231F20"/>
          <w:vertAlign w:val="superscript"/>
        </w:rPr>
        <w:footnoteReference w:id="90"/>
      </w:r>
      <w:r>
        <w:rPr>
          <w:rFonts w:ascii="Times New Roman" w:hAnsi="Times New Roman" w:cs="Times New Roman"/>
          <w:color w:val="231F20"/>
        </w:rPr>
        <w:t xml:space="preserve"> However, rather than confront the oppressor with the truth, the speaker finds power in denying the world’s view of abject Blackness. Dunbar achieves something similar here to </w:t>
      </w:r>
      <w:r>
        <w:rPr>
          <w:rFonts w:ascii="Times New Roman" w:hAnsi="Times New Roman" w:cs="Times New Roman"/>
          <w:color w:val="231F20"/>
        </w:rPr>
        <w:lastRenderedPageBreak/>
        <w:t>the “</w:t>
      </w:r>
      <w:r>
        <w:rPr>
          <w:rFonts w:ascii="Times New Roman" w:hAnsi="Times New Roman" w:cs="Times New Roman"/>
          <w:i/>
          <w:color w:val="231F20"/>
        </w:rPr>
        <w:t>enactment</w:t>
      </w:r>
      <w:r>
        <w:rPr>
          <w:rFonts w:ascii="Times New Roman" w:hAnsi="Times New Roman" w:cs="Times New Roman"/>
          <w:color w:val="231F20"/>
        </w:rPr>
        <w:t xml:space="preserve"> of refusal through a performance of indifference” toward racism that Stewart sees in Zora Neale Hurston’s writings (Stewart 39). According to Stewart, the performance of indifference is essential to the politics of Black joy because it “decenter[s] racism in representations of southern Black life” (42). The speaker of “We Wear the Mask” enacts indifference toward racism in their blase attitude toward what the world “dreams” about African Americans. Attention is then </w:t>
      </w:r>
      <w:proofErr w:type="gramStart"/>
      <w:r>
        <w:rPr>
          <w:rFonts w:ascii="Times New Roman" w:hAnsi="Times New Roman" w:cs="Times New Roman"/>
          <w:color w:val="231F20"/>
        </w:rPr>
        <w:t>recentered</w:t>
      </w:r>
      <w:proofErr w:type="gramEnd"/>
      <w:r>
        <w:rPr>
          <w:rFonts w:ascii="Times New Roman" w:hAnsi="Times New Roman" w:cs="Times New Roman"/>
          <w:color w:val="231F20"/>
        </w:rPr>
        <w:t xml:space="preserve"> in the final line, which becomes a triumphant assertion of power: </w:t>
      </w:r>
      <w:r>
        <w:rPr>
          <w:rFonts w:ascii="Times New Roman" w:hAnsi="Times New Roman" w:cs="Times New Roman"/>
          <w:i/>
          <w:color w:val="231F20"/>
        </w:rPr>
        <w:t xml:space="preserve">We </w:t>
      </w:r>
      <w:r>
        <w:rPr>
          <w:rFonts w:ascii="Times New Roman" w:hAnsi="Times New Roman" w:cs="Times New Roman"/>
          <w:color w:val="231F20"/>
        </w:rPr>
        <w:t xml:space="preserve">wear the mask! I do not argue that “We Wear the Mask” is a poem about Black joy, only that it can be read as a statement of refusal. </w:t>
      </w:r>
    </w:p>
    <w:p w14:paraId="2EBE152F" w14:textId="77777777" w:rsidR="00287C65" w:rsidRDefault="00287C65" w:rsidP="00287C65">
      <w:pPr>
        <w:spacing w:line="480" w:lineRule="auto"/>
        <w:ind w:firstLine="720"/>
        <w:rPr>
          <w:rFonts w:ascii="Times New Roman" w:hAnsi="Times New Roman" w:cs="Times New Roman"/>
          <w:color w:val="231F20"/>
        </w:rPr>
      </w:pPr>
      <w:r>
        <w:rPr>
          <w:rFonts w:ascii="Times New Roman" w:hAnsi="Times New Roman" w:cs="Times New Roman"/>
          <w:color w:val="231F20"/>
        </w:rPr>
        <w:t xml:space="preserve">Dunbar’s poem “When de </w:t>
      </w:r>
      <w:proofErr w:type="spellStart"/>
      <w:r>
        <w:rPr>
          <w:rFonts w:ascii="Times New Roman" w:hAnsi="Times New Roman" w:cs="Times New Roman"/>
          <w:color w:val="231F20"/>
        </w:rPr>
        <w:t>Co’n</w:t>
      </w:r>
      <w:proofErr w:type="spellEnd"/>
      <w:r>
        <w:rPr>
          <w:rFonts w:ascii="Times New Roman" w:hAnsi="Times New Roman" w:cs="Times New Roman"/>
          <w:color w:val="231F20"/>
        </w:rPr>
        <w:t xml:space="preserve"> Pone’s Hot” enacts </w:t>
      </w:r>
      <w:proofErr w:type="gramStart"/>
      <w:r>
        <w:rPr>
          <w:rFonts w:ascii="Times New Roman" w:hAnsi="Times New Roman" w:cs="Times New Roman"/>
          <w:color w:val="231F20"/>
        </w:rPr>
        <w:t>a politics</w:t>
      </w:r>
      <w:proofErr w:type="gramEnd"/>
      <w:r>
        <w:rPr>
          <w:rFonts w:ascii="Times New Roman" w:hAnsi="Times New Roman" w:cs="Times New Roman"/>
          <w:color w:val="231F20"/>
        </w:rPr>
        <w:t xml:space="preserve"> of Black joy through its strategic refusals. “When de </w:t>
      </w:r>
      <w:proofErr w:type="spellStart"/>
      <w:r>
        <w:rPr>
          <w:rFonts w:ascii="Times New Roman" w:hAnsi="Times New Roman" w:cs="Times New Roman"/>
          <w:color w:val="231F20"/>
        </w:rPr>
        <w:t>Co’n</w:t>
      </w:r>
      <w:proofErr w:type="spellEnd"/>
      <w:r>
        <w:rPr>
          <w:rFonts w:ascii="Times New Roman" w:hAnsi="Times New Roman" w:cs="Times New Roman"/>
          <w:color w:val="231F20"/>
        </w:rPr>
        <w:t xml:space="preserve"> Pone’s Hot” clearly traffics in minstrel tropes, with its references to “picaninny,” the minstrel caricature of Black childhood, and “mammy,” the ubiquitous embodiment of Black maternity for the white gaze. Approaching the poem as a minstrel performance influences an understanding of the poem’s humor. One might laugh at what appears</w:t>
      </w:r>
      <w:r>
        <w:rPr>
          <w:rFonts w:ascii="Times New Roman" w:hAnsi="Times New Roman" w:cs="Times New Roman"/>
        </w:rPr>
        <w:t xml:space="preserve"> to be the speaker’s hyperbolic and ridiculous enthusiasm for hot corn pone, a Southern dish associated with Blackness and poverty (Engelhardt 52). The poem becomes a “coon song,” a minstrel production </w:t>
      </w:r>
      <w:r>
        <w:rPr>
          <w:rFonts w:ascii="Times New Roman" w:hAnsi="Times New Roman" w:cs="Times New Roman"/>
          <w:highlight w:val="white"/>
        </w:rPr>
        <w:t xml:space="preserve">that burlesqued the “gastronomical delights of chicken, pork chops and watermelon” and associated them with Blackness on the stage (Johnson, qtd. in Williams-Forson 59). In such a reading, the speaker’s joy becomes suspect, an instance of the “happy darky” motif that was a hallmark of the plantation tradition (59). Indeed, the </w:t>
      </w:r>
      <w:r>
        <w:rPr>
          <w:rFonts w:ascii="Times New Roman" w:hAnsi="Times New Roman" w:cs="Times New Roman"/>
          <w:color w:val="231F20"/>
        </w:rPr>
        <w:t xml:space="preserve">speaker’s ironic </w:t>
      </w:r>
      <w:r>
        <w:rPr>
          <w:rFonts w:ascii="Times New Roman" w:hAnsi="Times New Roman" w:cs="Times New Roman"/>
          <w:color w:val="231F20"/>
        </w:rPr>
        <w:lastRenderedPageBreak/>
        <w:t xml:space="preserve">reference to the throne of God as “de </w:t>
      </w:r>
      <w:proofErr w:type="spellStart"/>
      <w:r>
        <w:rPr>
          <w:rFonts w:ascii="Times New Roman" w:hAnsi="Times New Roman" w:cs="Times New Roman"/>
          <w:color w:val="231F20"/>
        </w:rPr>
        <w:t>Mastah’s</w:t>
      </w:r>
      <w:proofErr w:type="spellEnd"/>
      <w:r>
        <w:rPr>
          <w:rFonts w:ascii="Times New Roman" w:hAnsi="Times New Roman" w:cs="Times New Roman"/>
          <w:color w:val="231F20"/>
        </w:rPr>
        <w:t xml:space="preserve"> </w:t>
      </w:r>
      <w:proofErr w:type="spellStart"/>
      <w:r>
        <w:rPr>
          <w:rFonts w:ascii="Times New Roman" w:hAnsi="Times New Roman" w:cs="Times New Roman"/>
          <w:color w:val="231F20"/>
        </w:rPr>
        <w:t>th’one</w:t>
      </w:r>
      <w:proofErr w:type="spellEnd"/>
      <w:r>
        <w:rPr>
          <w:rFonts w:ascii="Times New Roman" w:hAnsi="Times New Roman" w:cs="Times New Roman"/>
          <w:color w:val="231F20"/>
        </w:rPr>
        <w:t>” in line 42 hints at the poem’s antebellum setting and the figures’ status as enslaved people (Dunbar,</w:t>
      </w:r>
      <w:r>
        <w:rPr>
          <w:rFonts w:ascii="Times New Roman" w:hAnsi="Times New Roman" w:cs="Times New Roman"/>
          <w:i/>
          <w:color w:val="231F20"/>
        </w:rPr>
        <w:t xml:space="preserve"> Poetry </w:t>
      </w:r>
      <w:r>
        <w:rPr>
          <w:rFonts w:ascii="Times New Roman" w:hAnsi="Times New Roman" w:cs="Times New Roman"/>
          <w:color w:val="231F20"/>
        </w:rPr>
        <w:t xml:space="preserve">57). </w:t>
      </w:r>
    </w:p>
    <w:p w14:paraId="4D3F72F5" w14:textId="77777777" w:rsidR="00287C65" w:rsidRDefault="00287C65" w:rsidP="00287C65">
      <w:pPr>
        <w:spacing w:line="480" w:lineRule="auto"/>
        <w:ind w:firstLine="720"/>
        <w:rPr>
          <w:rFonts w:ascii="Times New Roman" w:hAnsi="Times New Roman" w:cs="Times New Roman"/>
          <w:color w:val="231F20"/>
        </w:rPr>
      </w:pPr>
      <w:r>
        <w:rPr>
          <w:rFonts w:ascii="Times New Roman" w:hAnsi="Times New Roman" w:cs="Times New Roman"/>
          <w:color w:val="231F20"/>
        </w:rPr>
        <w:t>While white reviewers like Howells were apt to see in Dunbar’s use of such tropes a realistic representation of the Southern Black emotional experience,</w:t>
      </w:r>
      <w:r>
        <w:rPr>
          <w:rFonts w:ascii="Times New Roman" w:hAnsi="Times New Roman" w:cs="Times New Roman"/>
          <w:color w:val="231F20"/>
          <w:vertAlign w:val="superscript"/>
        </w:rPr>
        <w:footnoteReference w:id="91"/>
      </w:r>
      <w:r>
        <w:rPr>
          <w:rFonts w:ascii="Times New Roman" w:hAnsi="Times New Roman" w:cs="Times New Roman"/>
          <w:color w:val="231F20"/>
        </w:rPr>
        <w:t xml:space="preserve"> the poem’s minstrel motifs are part of its strategic refusal of the white gaze. In two moments of refusal, at lines 13-20 in the second stanza and lines 33-34 in the third, the speaker demonstrates a range of emotional experience that escapes the narrow bands of the “happy darky” type. Lines 13-20 read:</w:t>
      </w:r>
    </w:p>
    <w:p w14:paraId="1629F467"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When you set down at de table,</w:t>
      </w:r>
    </w:p>
    <w:p w14:paraId="6291CD43"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Kin’ o’ weary </w:t>
      </w:r>
      <w:proofErr w:type="spellStart"/>
      <w:r>
        <w:rPr>
          <w:rFonts w:ascii="Times New Roman" w:hAnsi="Times New Roman" w:cs="Times New Roman"/>
          <w:color w:val="333333"/>
        </w:rPr>
        <w:t>lak</w:t>
      </w:r>
      <w:proofErr w:type="spellEnd"/>
      <w:r>
        <w:rPr>
          <w:rFonts w:ascii="Times New Roman" w:hAnsi="Times New Roman" w:cs="Times New Roman"/>
          <w:color w:val="333333"/>
        </w:rPr>
        <w:t xml:space="preserve"> an’ sad,</w:t>
      </w:r>
    </w:p>
    <w:p w14:paraId="0E7C65E0"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An’ you ‘se </w:t>
      </w:r>
      <w:proofErr w:type="spellStart"/>
      <w:r>
        <w:rPr>
          <w:rFonts w:ascii="Times New Roman" w:hAnsi="Times New Roman" w:cs="Times New Roman"/>
          <w:color w:val="333333"/>
        </w:rPr>
        <w:t>jes</w:t>
      </w:r>
      <w:proofErr w:type="spellEnd"/>
      <w:r>
        <w:rPr>
          <w:rFonts w:ascii="Times New Roman" w:hAnsi="Times New Roman" w:cs="Times New Roman"/>
          <w:color w:val="333333"/>
        </w:rPr>
        <w:t xml:space="preserve">’ a little </w:t>
      </w:r>
      <w:proofErr w:type="spellStart"/>
      <w:r>
        <w:rPr>
          <w:rFonts w:ascii="Times New Roman" w:hAnsi="Times New Roman" w:cs="Times New Roman"/>
          <w:color w:val="333333"/>
        </w:rPr>
        <w:t>tiahed</w:t>
      </w:r>
      <w:proofErr w:type="spellEnd"/>
    </w:p>
    <w:p w14:paraId="555CF061"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An’ </w:t>
      </w:r>
      <w:proofErr w:type="spellStart"/>
      <w:r>
        <w:rPr>
          <w:rFonts w:ascii="Times New Roman" w:hAnsi="Times New Roman" w:cs="Times New Roman"/>
          <w:color w:val="333333"/>
        </w:rPr>
        <w:t>purhaps</w:t>
      </w:r>
      <w:proofErr w:type="spellEnd"/>
      <w:r>
        <w:rPr>
          <w:rFonts w:ascii="Times New Roman" w:hAnsi="Times New Roman" w:cs="Times New Roman"/>
          <w:color w:val="333333"/>
        </w:rPr>
        <w:t xml:space="preserve"> a little </w:t>
      </w:r>
      <w:proofErr w:type="gramStart"/>
      <w:r>
        <w:rPr>
          <w:rFonts w:ascii="Times New Roman" w:hAnsi="Times New Roman" w:cs="Times New Roman"/>
          <w:color w:val="333333"/>
        </w:rPr>
        <w:t>mad;</w:t>
      </w:r>
      <w:proofErr w:type="gramEnd"/>
    </w:p>
    <w:p w14:paraId="697EA74E"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How </w:t>
      </w:r>
      <w:proofErr w:type="spellStart"/>
      <w:r>
        <w:rPr>
          <w:rFonts w:ascii="Times New Roman" w:hAnsi="Times New Roman" w:cs="Times New Roman"/>
          <w:color w:val="333333"/>
        </w:rPr>
        <w:t>yo</w:t>
      </w:r>
      <w:proofErr w:type="spellEnd"/>
      <w:r>
        <w:rPr>
          <w:rFonts w:ascii="Times New Roman" w:hAnsi="Times New Roman" w:cs="Times New Roman"/>
          <w:color w:val="333333"/>
        </w:rPr>
        <w:t xml:space="preserve">’ gloom </w:t>
      </w:r>
      <w:proofErr w:type="spellStart"/>
      <w:r>
        <w:rPr>
          <w:rFonts w:ascii="Times New Roman" w:hAnsi="Times New Roman" w:cs="Times New Roman"/>
          <w:color w:val="333333"/>
        </w:rPr>
        <w:t>tu’ns</w:t>
      </w:r>
      <w:proofErr w:type="spellEnd"/>
      <w:r>
        <w:rPr>
          <w:rFonts w:ascii="Times New Roman" w:hAnsi="Times New Roman" w:cs="Times New Roman"/>
          <w:color w:val="333333"/>
        </w:rPr>
        <w:t xml:space="preserve"> into gladness,</w:t>
      </w:r>
    </w:p>
    <w:p w14:paraId="3AE55505"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How </w:t>
      </w:r>
      <w:proofErr w:type="spellStart"/>
      <w:r>
        <w:rPr>
          <w:rFonts w:ascii="Times New Roman" w:hAnsi="Times New Roman" w:cs="Times New Roman"/>
          <w:color w:val="333333"/>
        </w:rPr>
        <w:t>yo</w:t>
      </w:r>
      <w:proofErr w:type="spellEnd"/>
      <w:r>
        <w:rPr>
          <w:rFonts w:ascii="Times New Roman" w:hAnsi="Times New Roman" w:cs="Times New Roman"/>
          <w:color w:val="333333"/>
        </w:rPr>
        <w:t>’ joy drives out de doubt</w:t>
      </w:r>
    </w:p>
    <w:p w14:paraId="0AFB7A0F"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When de oven </w:t>
      </w:r>
      <w:proofErr w:type="gramStart"/>
      <w:r>
        <w:rPr>
          <w:rFonts w:ascii="Times New Roman" w:hAnsi="Times New Roman" w:cs="Times New Roman"/>
          <w:color w:val="333333"/>
        </w:rPr>
        <w:t>do</w:t>
      </w:r>
      <w:proofErr w:type="gramEnd"/>
      <w:r>
        <w:rPr>
          <w:rFonts w:ascii="Times New Roman" w:hAnsi="Times New Roman" w:cs="Times New Roman"/>
          <w:color w:val="333333"/>
        </w:rPr>
        <w:t>’ is opened,</w:t>
      </w:r>
    </w:p>
    <w:p w14:paraId="6C8651BC"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An’ de smell comes </w:t>
      </w:r>
      <w:proofErr w:type="spellStart"/>
      <w:r>
        <w:rPr>
          <w:rFonts w:ascii="Times New Roman" w:hAnsi="Times New Roman" w:cs="Times New Roman"/>
          <w:color w:val="333333"/>
        </w:rPr>
        <w:t>po’in</w:t>
      </w:r>
      <w:proofErr w:type="spellEnd"/>
      <w:r>
        <w:rPr>
          <w:rFonts w:ascii="Times New Roman" w:hAnsi="Times New Roman" w:cs="Times New Roman"/>
          <w:color w:val="333333"/>
        </w:rPr>
        <w:t xml:space="preserve">’ </w:t>
      </w:r>
      <w:proofErr w:type="gramStart"/>
      <w:r>
        <w:rPr>
          <w:rFonts w:ascii="Times New Roman" w:hAnsi="Times New Roman" w:cs="Times New Roman"/>
          <w:color w:val="333333"/>
        </w:rPr>
        <w:t>out;</w:t>
      </w:r>
      <w:proofErr w:type="gramEnd"/>
      <w:r>
        <w:rPr>
          <w:rFonts w:ascii="Times New Roman" w:hAnsi="Times New Roman" w:cs="Times New Roman"/>
          <w:color w:val="333333"/>
        </w:rPr>
        <w:t xml:space="preserve">  </w:t>
      </w:r>
    </w:p>
    <w:p w14:paraId="77FA93A7" w14:textId="77777777" w:rsidR="00287C65" w:rsidRDefault="00287C65" w:rsidP="00287C65">
      <w:pPr>
        <w:spacing w:line="480" w:lineRule="auto"/>
        <w:ind w:left="1440"/>
        <w:rPr>
          <w:rFonts w:ascii="Times New Roman" w:hAnsi="Times New Roman" w:cs="Times New Roman"/>
          <w:color w:val="231F20"/>
        </w:rPr>
      </w:pPr>
      <w:r>
        <w:rPr>
          <w:rFonts w:ascii="Times New Roman" w:hAnsi="Times New Roman" w:cs="Times New Roman"/>
          <w:color w:val="231F20"/>
        </w:rPr>
        <w:t xml:space="preserve">(Dunbar, </w:t>
      </w:r>
      <w:r>
        <w:rPr>
          <w:rFonts w:ascii="Times New Roman" w:hAnsi="Times New Roman" w:cs="Times New Roman"/>
          <w:i/>
          <w:color w:val="231F20"/>
        </w:rPr>
        <w:t xml:space="preserve">Poetry </w:t>
      </w:r>
      <w:r>
        <w:rPr>
          <w:rFonts w:ascii="Times New Roman" w:hAnsi="Times New Roman" w:cs="Times New Roman"/>
          <w:color w:val="231F20"/>
        </w:rPr>
        <w:t>57)</w:t>
      </w:r>
    </w:p>
    <w:p w14:paraId="62FF5F55" w14:textId="77777777" w:rsidR="00287C65" w:rsidRDefault="00287C65" w:rsidP="00287C65">
      <w:pPr>
        <w:spacing w:line="480" w:lineRule="auto"/>
        <w:rPr>
          <w:rFonts w:ascii="Times New Roman" w:hAnsi="Times New Roman" w:cs="Times New Roman"/>
          <w:color w:val="231F20"/>
        </w:rPr>
      </w:pPr>
      <w:r>
        <w:rPr>
          <w:rFonts w:ascii="Times New Roman" w:hAnsi="Times New Roman" w:cs="Times New Roman"/>
          <w:color w:val="231F20"/>
        </w:rPr>
        <w:t xml:space="preserve">The range of emotions the speaker describes—weariness, sadness, depression, anger, doubt—greatly exceed the emotional register of the “happy darky.” Though the speaker jovially describes the way that the smell of corn pone dispels these bad feelings, the very </w:t>
      </w:r>
      <w:r>
        <w:rPr>
          <w:rFonts w:ascii="Times New Roman" w:hAnsi="Times New Roman" w:cs="Times New Roman"/>
          <w:color w:val="231F20"/>
        </w:rPr>
        <w:lastRenderedPageBreak/>
        <w:t xml:space="preserve">existence of the bad feelings in the first place belies the “fact” of the type. Similarly, in lines 33-34, the speaker anticipates the hot corn pone and reflects “An’ you want to jump an’ </w:t>
      </w:r>
      <w:proofErr w:type="spellStart"/>
      <w:r>
        <w:rPr>
          <w:rFonts w:ascii="Times New Roman" w:hAnsi="Times New Roman" w:cs="Times New Roman"/>
          <w:color w:val="231F20"/>
        </w:rPr>
        <w:t>hollah</w:t>
      </w:r>
      <w:proofErr w:type="spellEnd"/>
      <w:r>
        <w:rPr>
          <w:rFonts w:ascii="Times New Roman" w:hAnsi="Times New Roman" w:cs="Times New Roman"/>
          <w:color w:val="231F20"/>
        </w:rPr>
        <w:t xml:space="preserve">, / Dough you know you’d </w:t>
      </w:r>
      <w:proofErr w:type="spellStart"/>
      <w:r>
        <w:rPr>
          <w:rFonts w:ascii="Times New Roman" w:hAnsi="Times New Roman" w:cs="Times New Roman"/>
          <w:color w:val="231F20"/>
        </w:rPr>
        <w:t>bettah</w:t>
      </w:r>
      <w:proofErr w:type="spellEnd"/>
      <w:r>
        <w:rPr>
          <w:rFonts w:ascii="Times New Roman" w:hAnsi="Times New Roman" w:cs="Times New Roman"/>
          <w:color w:val="231F20"/>
        </w:rPr>
        <w:t xml:space="preserve"> not” (57). Well, why not? The exaggerated show of appreciation and anticipation fit right in with minstrel performance, do they not? The speaker practices a conscious moment of self-control that once again plays against type. In such small moments, the speaker of the poem exercises an emotional agency that escapes the definitions imposed on them by whites.</w:t>
      </w:r>
    </w:p>
    <w:p w14:paraId="79F92ED8" w14:textId="77777777" w:rsidR="00287C65" w:rsidRDefault="00287C65" w:rsidP="00287C65">
      <w:pPr>
        <w:spacing w:line="480" w:lineRule="auto"/>
        <w:rPr>
          <w:rFonts w:ascii="Times New Roman" w:hAnsi="Times New Roman" w:cs="Times New Roman"/>
          <w:color w:val="231F20"/>
        </w:rPr>
      </w:pPr>
      <w:r>
        <w:rPr>
          <w:rFonts w:ascii="Times New Roman" w:hAnsi="Times New Roman" w:cs="Times New Roman"/>
          <w:color w:val="231F20"/>
        </w:rPr>
        <w:tab/>
        <w:t>The poem’s focus on food enacts another refusal of white knowledge of Black life. The speaker celebrates certain kinds of food while refusing others:</w:t>
      </w:r>
    </w:p>
    <w:p w14:paraId="443F3B82"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When de cabbage pot is </w:t>
      </w:r>
      <w:proofErr w:type="spellStart"/>
      <w:r>
        <w:rPr>
          <w:rFonts w:ascii="Times New Roman" w:hAnsi="Times New Roman" w:cs="Times New Roman"/>
          <w:color w:val="333333"/>
        </w:rPr>
        <w:t>steamin</w:t>
      </w:r>
      <w:proofErr w:type="spellEnd"/>
      <w:r>
        <w:rPr>
          <w:rFonts w:ascii="Times New Roman" w:hAnsi="Times New Roman" w:cs="Times New Roman"/>
          <w:color w:val="333333"/>
        </w:rPr>
        <w:t>’</w:t>
      </w:r>
    </w:p>
    <w:p w14:paraId="48DAD560"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An’ de bacon good an’ fat,</w:t>
      </w:r>
    </w:p>
    <w:p w14:paraId="0E3893FA"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When de </w:t>
      </w:r>
      <w:proofErr w:type="spellStart"/>
      <w:r>
        <w:rPr>
          <w:rFonts w:ascii="Times New Roman" w:hAnsi="Times New Roman" w:cs="Times New Roman"/>
          <w:color w:val="333333"/>
        </w:rPr>
        <w:t>chittlins</w:t>
      </w:r>
      <w:proofErr w:type="spellEnd"/>
      <w:r>
        <w:rPr>
          <w:rFonts w:ascii="Times New Roman" w:hAnsi="Times New Roman" w:cs="Times New Roman"/>
          <w:color w:val="333333"/>
        </w:rPr>
        <w:t xml:space="preserve"> is a–</w:t>
      </w:r>
      <w:proofErr w:type="spellStart"/>
      <w:r>
        <w:rPr>
          <w:rFonts w:ascii="Times New Roman" w:hAnsi="Times New Roman" w:cs="Times New Roman"/>
          <w:color w:val="333333"/>
        </w:rPr>
        <w:t>sputter’n</w:t>
      </w:r>
      <w:proofErr w:type="spellEnd"/>
      <w:r>
        <w:rPr>
          <w:rFonts w:ascii="Times New Roman" w:hAnsi="Times New Roman" w:cs="Times New Roman"/>
          <w:color w:val="333333"/>
        </w:rPr>
        <w:t>’</w:t>
      </w:r>
    </w:p>
    <w:p w14:paraId="2B9197F7"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So ’s to show you </w:t>
      </w:r>
      <w:proofErr w:type="spellStart"/>
      <w:r>
        <w:rPr>
          <w:rFonts w:ascii="Times New Roman" w:hAnsi="Times New Roman" w:cs="Times New Roman"/>
          <w:color w:val="333333"/>
        </w:rPr>
        <w:t>whah</w:t>
      </w:r>
      <w:proofErr w:type="spellEnd"/>
      <w:r>
        <w:rPr>
          <w:rFonts w:ascii="Times New Roman" w:hAnsi="Times New Roman" w:cs="Times New Roman"/>
          <w:color w:val="333333"/>
        </w:rPr>
        <w:t xml:space="preserve"> </w:t>
      </w:r>
      <w:proofErr w:type="spellStart"/>
      <w:r>
        <w:rPr>
          <w:rFonts w:ascii="Times New Roman" w:hAnsi="Times New Roman" w:cs="Times New Roman"/>
          <w:color w:val="333333"/>
        </w:rPr>
        <w:t>dey’s</w:t>
      </w:r>
      <w:proofErr w:type="spellEnd"/>
      <w:r>
        <w:rPr>
          <w:rFonts w:ascii="Times New Roman" w:hAnsi="Times New Roman" w:cs="Times New Roman"/>
          <w:color w:val="333333"/>
        </w:rPr>
        <w:t xml:space="preserve"> </w:t>
      </w:r>
      <w:proofErr w:type="gramStart"/>
      <w:r>
        <w:rPr>
          <w:rFonts w:ascii="Times New Roman" w:hAnsi="Times New Roman" w:cs="Times New Roman"/>
          <w:color w:val="333333"/>
        </w:rPr>
        <w:t>at;</w:t>
      </w:r>
      <w:proofErr w:type="gramEnd"/>
    </w:p>
    <w:p w14:paraId="0B7FB6C6"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Tek away </w:t>
      </w:r>
      <w:proofErr w:type="spellStart"/>
      <w:r>
        <w:rPr>
          <w:rFonts w:ascii="Times New Roman" w:hAnsi="Times New Roman" w:cs="Times New Roman"/>
          <w:color w:val="333333"/>
        </w:rPr>
        <w:t>yo</w:t>
      </w:r>
      <w:proofErr w:type="spellEnd"/>
      <w:r>
        <w:rPr>
          <w:rFonts w:ascii="Times New Roman" w:hAnsi="Times New Roman" w:cs="Times New Roman"/>
          <w:color w:val="333333"/>
        </w:rPr>
        <w:t xml:space="preserve">’ </w:t>
      </w:r>
      <w:proofErr w:type="spellStart"/>
      <w:r>
        <w:rPr>
          <w:rFonts w:ascii="Times New Roman" w:hAnsi="Times New Roman" w:cs="Times New Roman"/>
          <w:color w:val="333333"/>
        </w:rPr>
        <w:t>sody</w:t>
      </w:r>
      <w:proofErr w:type="spellEnd"/>
      <w:r>
        <w:rPr>
          <w:rFonts w:ascii="Times New Roman" w:hAnsi="Times New Roman" w:cs="Times New Roman"/>
          <w:color w:val="333333"/>
        </w:rPr>
        <w:t xml:space="preserve"> biscuit,</w:t>
      </w:r>
    </w:p>
    <w:p w14:paraId="3D938DD1"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Tek away </w:t>
      </w:r>
      <w:proofErr w:type="spellStart"/>
      <w:r>
        <w:rPr>
          <w:rFonts w:ascii="Times New Roman" w:hAnsi="Times New Roman" w:cs="Times New Roman"/>
          <w:color w:val="333333"/>
        </w:rPr>
        <w:t>yo</w:t>
      </w:r>
      <w:proofErr w:type="spellEnd"/>
      <w:r>
        <w:rPr>
          <w:rFonts w:ascii="Times New Roman" w:hAnsi="Times New Roman" w:cs="Times New Roman"/>
          <w:color w:val="333333"/>
        </w:rPr>
        <w:t>’ cake an’ pie,</w:t>
      </w:r>
    </w:p>
    <w:p w14:paraId="60B45421"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Fu’ de glory time is </w:t>
      </w:r>
      <w:proofErr w:type="spellStart"/>
      <w:r>
        <w:rPr>
          <w:rFonts w:ascii="Times New Roman" w:hAnsi="Times New Roman" w:cs="Times New Roman"/>
          <w:color w:val="333333"/>
        </w:rPr>
        <w:t>comin</w:t>
      </w:r>
      <w:proofErr w:type="spellEnd"/>
      <w:r>
        <w:rPr>
          <w:rFonts w:ascii="Times New Roman" w:hAnsi="Times New Roman" w:cs="Times New Roman"/>
          <w:color w:val="333333"/>
        </w:rPr>
        <w:t>’,</w:t>
      </w:r>
    </w:p>
    <w:p w14:paraId="010C6197"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An’ it’s ‘</w:t>
      </w:r>
      <w:proofErr w:type="spellStart"/>
      <w:r>
        <w:rPr>
          <w:rFonts w:ascii="Times New Roman" w:hAnsi="Times New Roman" w:cs="Times New Roman"/>
          <w:color w:val="333333"/>
        </w:rPr>
        <w:t>proachin</w:t>
      </w:r>
      <w:proofErr w:type="spellEnd"/>
      <w:r>
        <w:rPr>
          <w:rFonts w:ascii="Times New Roman" w:hAnsi="Times New Roman" w:cs="Times New Roman"/>
          <w:color w:val="333333"/>
        </w:rPr>
        <w:t>’ mighty nigh,</w:t>
      </w:r>
    </w:p>
    <w:p w14:paraId="53088B09" w14:textId="77777777" w:rsidR="00287C65" w:rsidRDefault="00287C65" w:rsidP="00287C65">
      <w:pPr>
        <w:spacing w:line="480" w:lineRule="auto"/>
        <w:ind w:left="1440"/>
        <w:rPr>
          <w:rFonts w:ascii="Times New Roman" w:hAnsi="Times New Roman" w:cs="Times New Roman"/>
          <w:color w:val="231F20"/>
        </w:rPr>
      </w:pPr>
      <w:r>
        <w:rPr>
          <w:rFonts w:ascii="Times New Roman" w:hAnsi="Times New Roman" w:cs="Times New Roman"/>
          <w:color w:val="231F20"/>
        </w:rPr>
        <w:t xml:space="preserve">(Dunbar, </w:t>
      </w:r>
      <w:r>
        <w:rPr>
          <w:rFonts w:ascii="Times New Roman" w:hAnsi="Times New Roman" w:cs="Times New Roman"/>
          <w:i/>
          <w:color w:val="231F20"/>
        </w:rPr>
        <w:t xml:space="preserve">Poetry </w:t>
      </w:r>
      <w:r>
        <w:rPr>
          <w:rFonts w:ascii="Times New Roman" w:hAnsi="Times New Roman" w:cs="Times New Roman"/>
          <w:color w:val="231F20"/>
        </w:rPr>
        <w:t>57)</w:t>
      </w:r>
    </w:p>
    <w:p w14:paraId="09CAC66B" w14:textId="77777777" w:rsidR="00287C65" w:rsidRDefault="00287C65" w:rsidP="00287C65">
      <w:pPr>
        <w:spacing w:line="480" w:lineRule="auto"/>
        <w:rPr>
          <w:rFonts w:ascii="Times New Roman" w:hAnsi="Times New Roman" w:cs="Times New Roman"/>
          <w:color w:val="231F20"/>
        </w:rPr>
      </w:pPr>
      <w:r>
        <w:rPr>
          <w:rFonts w:ascii="Times New Roman" w:hAnsi="Times New Roman" w:cs="Times New Roman"/>
          <w:color w:val="231F20"/>
        </w:rPr>
        <w:t xml:space="preserve">Minstrel shows fetishized Black appetites by associating them with certain kinds of food such as watermelons, chicken, pork, and cornbread. Often, minstrel shows demonized Blackness by criminalizing their consumption: the “chicken-stealing Black man” is </w:t>
      </w:r>
      <w:r>
        <w:rPr>
          <w:rFonts w:ascii="Times New Roman" w:hAnsi="Times New Roman" w:cs="Times New Roman"/>
          <w:color w:val="231F20"/>
        </w:rPr>
        <w:lastRenderedPageBreak/>
        <w:t xml:space="preserve">another common minstrel type. However, many of these popular food associations have their roots in Black Americans’ experiences in enslavement. For instance, many enslavers “paid” their field workers in rations of pork and corn, making </w:t>
      </w:r>
      <w:proofErr w:type="spellStart"/>
      <w:r>
        <w:rPr>
          <w:rFonts w:ascii="Times New Roman" w:hAnsi="Times New Roman" w:cs="Times New Roman"/>
          <w:color w:val="231F20"/>
        </w:rPr>
        <w:t>chittlings</w:t>
      </w:r>
      <w:proofErr w:type="spellEnd"/>
      <w:r>
        <w:rPr>
          <w:rFonts w:ascii="Times New Roman" w:hAnsi="Times New Roman" w:cs="Times New Roman"/>
          <w:color w:val="231F20"/>
        </w:rPr>
        <w:t xml:space="preserve"> and cornbread prepared with lard staples of enslaved people’s diets. In the late-nineteenth and early-twentieth centuries, the low price and general availability of pork and corn versus other kinds of meat and grain caused many rural African American families to continue to prepare these meals. Minstrel tropes targeting specific foods often aimed to discredit them, making them “symbol[s] of black people’s unfitness for citizenship,” as William Black has observed about the watermelon (65). </w:t>
      </w:r>
    </w:p>
    <w:p w14:paraId="432AB643" w14:textId="77777777" w:rsidR="00287C65" w:rsidRDefault="00287C65" w:rsidP="00287C65">
      <w:pPr>
        <w:spacing w:line="480" w:lineRule="auto"/>
        <w:ind w:firstLine="720"/>
        <w:rPr>
          <w:rFonts w:ascii="Times New Roman" w:hAnsi="Times New Roman" w:cs="Times New Roman"/>
          <w:color w:val="231F20"/>
        </w:rPr>
      </w:pPr>
      <w:r>
        <w:rPr>
          <w:rFonts w:ascii="Times New Roman" w:hAnsi="Times New Roman" w:cs="Times New Roman"/>
          <w:color w:val="231F20"/>
        </w:rPr>
        <w:t>The speaker’s conspicuous refusal of specific foods—soda biscuit and cakes and pies—associated with bourgeois respectability in favor of symbolically-freighted foods like cabbage, pork, and corn, calls our attention to the intersections of class and race that inform those choices for African Americans. Both white and Black social reformers emphasized the moral dimension of Black families’ culinary choices. Reformers in settlement houses aimed at the rural and urban white poor pathologized pork, grease, and corn, traditional staples of the rural diet, as “unwholesome” (Engelhardt 62). Flour biscuits, more expensive and more labor-intensive than corn bread, were considered physically healthier and thought to reflect the bourgeois values of “cleanliness and thrift” (62). Likewise, the politics of respectability for Black families entailed a more refined diet that reflected the northeastern sensibilities of white bourgeois kitchens and consciously rejected traditional Southern foodways’ minstrel associations (Wallach 42-</w:t>
      </w:r>
      <w:r>
        <w:rPr>
          <w:rFonts w:ascii="Times New Roman" w:hAnsi="Times New Roman" w:cs="Times New Roman"/>
          <w:color w:val="231F20"/>
        </w:rPr>
        <w:lastRenderedPageBreak/>
        <w:t xml:space="preserve">3). Such prescriptive food politics made claims about Black identity based on the food Black people consumed. The speaker’s refusal of biscuits and cake, those markers of middle-class status and refined taste, denaturalizes the association between corn bread, pork, and Black identity, by revealing the cultural and historical forces structuring these foodways. That is, the speaker’s refusal draws our attention to the choices they </w:t>
      </w:r>
      <w:r>
        <w:rPr>
          <w:rFonts w:ascii="Times New Roman" w:hAnsi="Times New Roman" w:cs="Times New Roman"/>
          <w:i/>
          <w:color w:val="231F20"/>
        </w:rPr>
        <w:t xml:space="preserve">do </w:t>
      </w:r>
      <w:r>
        <w:rPr>
          <w:rFonts w:ascii="Times New Roman" w:hAnsi="Times New Roman" w:cs="Times New Roman"/>
          <w:color w:val="231F20"/>
        </w:rPr>
        <w:t xml:space="preserve">make and </w:t>
      </w:r>
      <w:proofErr w:type="gramStart"/>
      <w:r>
        <w:rPr>
          <w:rFonts w:ascii="Times New Roman" w:hAnsi="Times New Roman" w:cs="Times New Roman"/>
          <w:color w:val="231F20"/>
        </w:rPr>
        <w:t>cause</w:t>
      </w:r>
      <w:proofErr w:type="gramEnd"/>
      <w:r>
        <w:rPr>
          <w:rFonts w:ascii="Times New Roman" w:hAnsi="Times New Roman" w:cs="Times New Roman"/>
          <w:color w:val="231F20"/>
        </w:rPr>
        <w:t xml:space="preserve"> us to ask why. </w:t>
      </w:r>
    </w:p>
    <w:p w14:paraId="589EF571" w14:textId="77777777" w:rsidR="00287C65" w:rsidRDefault="00287C65" w:rsidP="00287C65">
      <w:pPr>
        <w:spacing w:line="480" w:lineRule="auto"/>
        <w:ind w:firstLine="720"/>
        <w:rPr>
          <w:rFonts w:ascii="Times New Roman" w:hAnsi="Times New Roman" w:cs="Times New Roman"/>
          <w:color w:val="231F20"/>
        </w:rPr>
      </w:pPr>
      <w:r>
        <w:rPr>
          <w:rFonts w:ascii="Times New Roman" w:hAnsi="Times New Roman" w:cs="Times New Roman"/>
          <w:color w:val="231F20"/>
        </w:rPr>
        <w:t xml:space="preserve">Importantly, the poem’s refusals do not divulge these deeply personal foodways to the reader. They function as what Audra Simpson calls an “ethnographic limit,” a discursive point where disclosure of cultural knowledge meets the representational sovereignty of a people (“On Ethnographic Refusal,” 78). Nevertheless, the speaker’s playful dissemblance—the tantalizing emphasis they place on the specificity of their refusals—invite us to investigate the deep relationship between African American foodways, liberation, and Black joy. In the chapter on hoecakes in her book </w:t>
      </w:r>
      <w:r>
        <w:rPr>
          <w:rFonts w:ascii="Times New Roman" w:hAnsi="Times New Roman" w:cs="Times New Roman"/>
          <w:i/>
          <w:color w:val="231F20"/>
        </w:rPr>
        <w:t xml:space="preserve">Grain and Fire: A History of Baking in the American South </w:t>
      </w:r>
      <w:r>
        <w:rPr>
          <w:rFonts w:ascii="Times New Roman" w:hAnsi="Times New Roman" w:cs="Times New Roman"/>
          <w:color w:val="231F20"/>
        </w:rPr>
        <w:t xml:space="preserve">(2022) food historian Rebecca Sharpless shares the testimonies of many emancipated African Americans interviewed by the Federal Writers Project (FWP) in the 1930’s. Unlike the writers of the plantation tradition who used Black foodways to romanticize the antebellum South, or abolitionists who overrepresented enslaved people’s hunger and privation, these oral histories represent Black people’s actual memories of watching their family members, often women, prepare the food they ate. These speakers remember not only the details of the recipes and methods of food preparation, but also frequently the joy that such meals </w:t>
      </w:r>
      <w:proofErr w:type="gramStart"/>
      <w:r>
        <w:rPr>
          <w:rFonts w:ascii="Times New Roman" w:hAnsi="Times New Roman" w:cs="Times New Roman"/>
          <w:color w:val="231F20"/>
        </w:rPr>
        <w:t>occasioned</w:t>
      </w:r>
      <w:proofErr w:type="gramEnd"/>
      <w:r>
        <w:rPr>
          <w:rFonts w:ascii="Times New Roman" w:hAnsi="Times New Roman" w:cs="Times New Roman"/>
          <w:color w:val="231F20"/>
        </w:rPr>
        <w:t xml:space="preserve">. </w:t>
      </w:r>
      <w:r>
        <w:rPr>
          <w:rFonts w:ascii="Times New Roman" w:hAnsi="Times New Roman" w:cs="Times New Roman"/>
          <w:color w:val="231F20"/>
        </w:rPr>
        <w:lastRenderedPageBreak/>
        <w:t xml:space="preserve">Austin Penn Parnell recounts the painstaking way her grandmother baked corn “ash cakes”: “She could put [the cake] together and take it in her hand and pat it out flat and lay it on the hearth. It would be just as round! That was the art of it!” Once it was finished baking, he continues, “We’d get that hoecake out of the ashes and wash it off until it looked like it was as clean as bread cooked in a skillet…The bread would have a good firm crust on it. But it didn’t get too hard for us to eat and enjoy” (119). Another interviewee, Alex Montgomery, remembers the rare occasion of combining bread and molasses: “We had thick black lasses an’ </w:t>
      </w:r>
      <w:proofErr w:type="gramStart"/>
      <w:r>
        <w:rPr>
          <w:rFonts w:ascii="Times New Roman" w:hAnsi="Times New Roman" w:cs="Times New Roman"/>
          <w:color w:val="231F20"/>
        </w:rPr>
        <w:t>sometime</w:t>
      </w:r>
      <w:proofErr w:type="gramEnd"/>
      <w:r>
        <w:rPr>
          <w:rFonts w:ascii="Times New Roman" w:hAnsi="Times New Roman" w:cs="Times New Roman"/>
          <w:color w:val="231F20"/>
        </w:rPr>
        <w:t xml:space="preserve"> we got a piece </w:t>
      </w:r>
      <w:proofErr w:type="spellStart"/>
      <w:r>
        <w:rPr>
          <w:rFonts w:ascii="Times New Roman" w:hAnsi="Times New Roman" w:cs="Times New Roman"/>
          <w:color w:val="231F20"/>
        </w:rPr>
        <w:t>uf</w:t>
      </w:r>
      <w:proofErr w:type="spellEnd"/>
      <w:r>
        <w:rPr>
          <w:rFonts w:ascii="Times New Roman" w:hAnsi="Times New Roman" w:cs="Times New Roman"/>
          <w:color w:val="231F20"/>
        </w:rPr>
        <w:t xml:space="preserve"> bread an’ dug a hole inside </w:t>
      </w:r>
      <w:proofErr w:type="spellStart"/>
      <w:r>
        <w:rPr>
          <w:rFonts w:ascii="Times New Roman" w:hAnsi="Times New Roman" w:cs="Times New Roman"/>
          <w:color w:val="231F20"/>
        </w:rPr>
        <w:t>uf</w:t>
      </w:r>
      <w:proofErr w:type="spellEnd"/>
      <w:r>
        <w:rPr>
          <w:rFonts w:ascii="Times New Roman" w:hAnsi="Times New Roman" w:cs="Times New Roman"/>
          <w:color w:val="231F20"/>
        </w:rPr>
        <w:t xml:space="preserve"> it an’ den filled </w:t>
      </w:r>
      <w:proofErr w:type="spellStart"/>
      <w:r>
        <w:rPr>
          <w:rFonts w:ascii="Times New Roman" w:hAnsi="Times New Roman" w:cs="Times New Roman"/>
          <w:color w:val="231F20"/>
        </w:rPr>
        <w:t>dat</w:t>
      </w:r>
      <w:proofErr w:type="spellEnd"/>
      <w:r>
        <w:rPr>
          <w:rFonts w:ascii="Times New Roman" w:hAnsi="Times New Roman" w:cs="Times New Roman"/>
          <w:color w:val="231F20"/>
        </w:rPr>
        <w:t xml:space="preserve"> hole </w:t>
      </w:r>
      <w:proofErr w:type="spellStart"/>
      <w:r>
        <w:rPr>
          <w:rFonts w:ascii="Times New Roman" w:hAnsi="Times New Roman" w:cs="Times New Roman"/>
          <w:color w:val="231F20"/>
        </w:rPr>
        <w:t>wid</w:t>
      </w:r>
      <w:proofErr w:type="spellEnd"/>
      <w:r>
        <w:rPr>
          <w:rFonts w:ascii="Times New Roman" w:hAnsi="Times New Roman" w:cs="Times New Roman"/>
          <w:color w:val="231F20"/>
        </w:rPr>
        <w:t xml:space="preserve"> lasses, an’ </w:t>
      </w:r>
      <w:proofErr w:type="spellStart"/>
      <w:r>
        <w:rPr>
          <w:rFonts w:ascii="Times New Roman" w:hAnsi="Times New Roman" w:cs="Times New Roman"/>
          <w:color w:val="231F20"/>
        </w:rPr>
        <w:t>dat</w:t>
      </w:r>
      <w:proofErr w:type="spellEnd"/>
      <w:r>
        <w:rPr>
          <w:rFonts w:ascii="Times New Roman" w:hAnsi="Times New Roman" w:cs="Times New Roman"/>
          <w:color w:val="231F20"/>
        </w:rPr>
        <w:t xml:space="preserve"> </w:t>
      </w:r>
      <w:proofErr w:type="spellStart"/>
      <w:r>
        <w:rPr>
          <w:rFonts w:ascii="Times New Roman" w:hAnsi="Times New Roman" w:cs="Times New Roman"/>
          <w:color w:val="231F20"/>
        </w:rPr>
        <w:t>wus</w:t>
      </w:r>
      <w:proofErr w:type="spellEnd"/>
      <w:r>
        <w:rPr>
          <w:rFonts w:ascii="Times New Roman" w:hAnsi="Times New Roman" w:cs="Times New Roman"/>
          <w:color w:val="231F20"/>
        </w:rPr>
        <w:t xml:space="preserve"> </w:t>
      </w:r>
      <w:proofErr w:type="spellStart"/>
      <w:r>
        <w:rPr>
          <w:rFonts w:ascii="Times New Roman" w:hAnsi="Times New Roman" w:cs="Times New Roman"/>
          <w:color w:val="231F20"/>
        </w:rPr>
        <w:t>jes</w:t>
      </w:r>
      <w:proofErr w:type="spellEnd"/>
      <w:r>
        <w:rPr>
          <w:rFonts w:ascii="Times New Roman" w:hAnsi="Times New Roman" w:cs="Times New Roman"/>
          <w:color w:val="231F20"/>
        </w:rPr>
        <w:t xml:space="preserve">’ like cake to us. All </w:t>
      </w:r>
      <w:proofErr w:type="gramStart"/>
      <w:r>
        <w:rPr>
          <w:rFonts w:ascii="Times New Roman" w:hAnsi="Times New Roman" w:cs="Times New Roman"/>
          <w:color w:val="231F20"/>
        </w:rPr>
        <w:t>de</w:t>
      </w:r>
      <w:proofErr w:type="gramEnd"/>
      <w:r>
        <w:rPr>
          <w:rFonts w:ascii="Times New Roman" w:hAnsi="Times New Roman" w:cs="Times New Roman"/>
          <w:color w:val="231F20"/>
        </w:rPr>
        <w:t xml:space="preserve"> cake we </w:t>
      </w:r>
      <w:proofErr w:type="spellStart"/>
      <w:r>
        <w:rPr>
          <w:rFonts w:ascii="Times New Roman" w:hAnsi="Times New Roman" w:cs="Times New Roman"/>
          <w:color w:val="231F20"/>
        </w:rPr>
        <w:t>eber</w:t>
      </w:r>
      <w:proofErr w:type="spellEnd"/>
      <w:r>
        <w:rPr>
          <w:rFonts w:ascii="Times New Roman" w:hAnsi="Times New Roman" w:cs="Times New Roman"/>
          <w:color w:val="231F20"/>
        </w:rPr>
        <w:t xml:space="preserve"> had to eat </w:t>
      </w:r>
      <w:proofErr w:type="spellStart"/>
      <w:r>
        <w:rPr>
          <w:rFonts w:ascii="Times New Roman" w:hAnsi="Times New Roman" w:cs="Times New Roman"/>
          <w:color w:val="231F20"/>
        </w:rPr>
        <w:t>wuds</w:t>
      </w:r>
      <w:proofErr w:type="spellEnd"/>
      <w:r>
        <w:rPr>
          <w:rFonts w:ascii="Times New Roman" w:hAnsi="Times New Roman" w:cs="Times New Roman"/>
          <w:color w:val="231F20"/>
        </w:rPr>
        <w:t xml:space="preserve"> made </w:t>
      </w:r>
      <w:proofErr w:type="spellStart"/>
      <w:r>
        <w:rPr>
          <w:rFonts w:ascii="Times New Roman" w:hAnsi="Times New Roman" w:cs="Times New Roman"/>
          <w:color w:val="231F20"/>
        </w:rPr>
        <w:t>wid</w:t>
      </w:r>
      <w:proofErr w:type="spellEnd"/>
      <w:r>
        <w:rPr>
          <w:rFonts w:ascii="Times New Roman" w:hAnsi="Times New Roman" w:cs="Times New Roman"/>
          <w:color w:val="231F20"/>
        </w:rPr>
        <w:t xml:space="preserve"> meal and lasses” (121). There is a link here between these FWP interviewees’ memories of joy associated with the domestic space of the hearth and the communal act of eating and the highly rhetorical, highly political dialect performance of “When de </w:t>
      </w:r>
      <w:proofErr w:type="spellStart"/>
      <w:r>
        <w:rPr>
          <w:rFonts w:ascii="Times New Roman" w:hAnsi="Times New Roman" w:cs="Times New Roman"/>
          <w:color w:val="231F20"/>
        </w:rPr>
        <w:t>Co’n</w:t>
      </w:r>
      <w:proofErr w:type="spellEnd"/>
      <w:r>
        <w:rPr>
          <w:rFonts w:ascii="Times New Roman" w:hAnsi="Times New Roman" w:cs="Times New Roman"/>
          <w:color w:val="231F20"/>
        </w:rPr>
        <w:t xml:space="preserve"> Pone’s Hot.” These stories are bittersweet and no doubt their personal reminiscences are colored by nostalgia, but these people speak to an emotional facet of Black life that cannot be contained or understood within the dialectic of Black enchantment or Black tragedy. Their self-definitions escape the dialectic, just as the poem seeks to do. </w:t>
      </w:r>
    </w:p>
    <w:p w14:paraId="653AC65E" w14:textId="77777777" w:rsidR="00287C65" w:rsidRDefault="00287C65" w:rsidP="00287C65">
      <w:pPr>
        <w:spacing w:line="480" w:lineRule="auto"/>
        <w:ind w:firstLine="720"/>
        <w:rPr>
          <w:rFonts w:ascii="Times New Roman" w:hAnsi="Times New Roman" w:cs="Times New Roman"/>
          <w:color w:val="231F20"/>
        </w:rPr>
      </w:pPr>
      <w:r>
        <w:rPr>
          <w:rFonts w:ascii="Times New Roman" w:hAnsi="Times New Roman" w:cs="Times New Roman"/>
          <w:color w:val="231F20"/>
        </w:rPr>
        <w:t>Humor, refusal, dissemblance also structure “The Party,” Dunbar’s most explicitly self-conscious exploration of Black joy. “The Party” is a narrative poem, a comic monologue performed by an enslaved Black speaker to a non-</w:t>
      </w:r>
      <w:proofErr w:type="gramStart"/>
      <w:r>
        <w:rPr>
          <w:rFonts w:ascii="Times New Roman" w:hAnsi="Times New Roman" w:cs="Times New Roman"/>
          <w:color w:val="231F20"/>
        </w:rPr>
        <w:t>racially-specific</w:t>
      </w:r>
      <w:proofErr w:type="gramEnd"/>
      <w:r>
        <w:rPr>
          <w:rFonts w:ascii="Times New Roman" w:hAnsi="Times New Roman" w:cs="Times New Roman"/>
          <w:color w:val="231F20"/>
        </w:rPr>
        <w:t xml:space="preserve"> listener, in which the speaker describes a “</w:t>
      </w:r>
      <w:proofErr w:type="spellStart"/>
      <w:r>
        <w:rPr>
          <w:rFonts w:ascii="Times New Roman" w:hAnsi="Times New Roman" w:cs="Times New Roman"/>
          <w:color w:val="231F20"/>
        </w:rPr>
        <w:t>gread</w:t>
      </w:r>
      <w:proofErr w:type="spellEnd"/>
      <w:r>
        <w:rPr>
          <w:rFonts w:ascii="Times New Roman" w:hAnsi="Times New Roman" w:cs="Times New Roman"/>
          <w:color w:val="231F20"/>
        </w:rPr>
        <w:t xml:space="preserve"> big </w:t>
      </w:r>
      <w:proofErr w:type="spellStart"/>
      <w:r>
        <w:rPr>
          <w:rFonts w:ascii="Times New Roman" w:hAnsi="Times New Roman" w:cs="Times New Roman"/>
          <w:color w:val="231F20"/>
        </w:rPr>
        <w:t>pahty</w:t>
      </w:r>
      <w:proofErr w:type="spellEnd"/>
      <w:r>
        <w:rPr>
          <w:rFonts w:ascii="Times New Roman" w:hAnsi="Times New Roman" w:cs="Times New Roman"/>
          <w:color w:val="231F20"/>
        </w:rPr>
        <w:t xml:space="preserve">” in which enslaved “folks </w:t>
      </w:r>
      <w:proofErr w:type="spellStart"/>
      <w:r>
        <w:rPr>
          <w:rFonts w:ascii="Times New Roman" w:hAnsi="Times New Roman" w:cs="Times New Roman"/>
          <w:color w:val="231F20"/>
        </w:rPr>
        <w:lastRenderedPageBreak/>
        <w:t>f’om</w:t>
      </w:r>
      <w:proofErr w:type="spellEnd"/>
      <w:r>
        <w:rPr>
          <w:rFonts w:ascii="Times New Roman" w:hAnsi="Times New Roman" w:cs="Times New Roman"/>
          <w:color w:val="231F20"/>
        </w:rPr>
        <w:t xml:space="preserve"> </w:t>
      </w:r>
      <w:proofErr w:type="spellStart"/>
      <w:r>
        <w:rPr>
          <w:rFonts w:ascii="Times New Roman" w:hAnsi="Times New Roman" w:cs="Times New Roman"/>
          <w:color w:val="231F20"/>
        </w:rPr>
        <w:t>fou</w:t>
      </w:r>
      <w:proofErr w:type="spellEnd"/>
      <w:r>
        <w:rPr>
          <w:rFonts w:ascii="Times New Roman" w:hAnsi="Times New Roman" w:cs="Times New Roman"/>
          <w:color w:val="231F20"/>
        </w:rPr>
        <w:t xml:space="preserve">’ plantations was invited” (Dunbar, </w:t>
      </w:r>
      <w:r>
        <w:rPr>
          <w:rFonts w:ascii="Times New Roman" w:hAnsi="Times New Roman" w:cs="Times New Roman"/>
          <w:i/>
          <w:color w:val="231F20"/>
        </w:rPr>
        <w:t xml:space="preserve">Poetry </w:t>
      </w:r>
      <w:r>
        <w:rPr>
          <w:rFonts w:ascii="Times New Roman" w:hAnsi="Times New Roman" w:cs="Times New Roman"/>
          <w:color w:val="231F20"/>
        </w:rPr>
        <w:t>83). As Joanne Braxton notes, the poem’s sensitive depiction of Black joy decenters whiteness and refuses the abolitionist focus on Black tragedy: “antebellum black folk are imagined on their own time and in an Afrocentric environment where they enjoy each other’s company and where they are self-identified rather than focused on the master or the degree of their oppression: they are not bent under the driver’s lash or bowing and scraping to the master” (xxvii). Tracking the poem’s many comic refusals and attending to what exactly they refuse clarify the terms of the poem’s project of Black self-definition. There are two interrelated strategies of refusal in “The Party”: first, the speaker’s refusal to give over authorial representative control over the narrative they are telling; and second, their dissembling depiction of the partygoers’ antics which refuse the racializing minstrel gaze.</w:t>
      </w:r>
    </w:p>
    <w:p w14:paraId="1AD8E795" w14:textId="77777777" w:rsidR="00287C65" w:rsidRDefault="00287C65" w:rsidP="00287C65">
      <w:pPr>
        <w:spacing w:line="480" w:lineRule="auto"/>
        <w:ind w:firstLine="720"/>
        <w:rPr>
          <w:rFonts w:ascii="Times New Roman" w:hAnsi="Times New Roman" w:cs="Times New Roman"/>
          <w:color w:val="231F20"/>
        </w:rPr>
      </w:pPr>
      <w:r>
        <w:rPr>
          <w:rFonts w:ascii="Times New Roman" w:hAnsi="Times New Roman" w:cs="Times New Roman"/>
          <w:color w:val="231F20"/>
        </w:rPr>
        <w:t xml:space="preserve">At several points in the poem, the speaker seems to be interrupted by their audience, a listener whose voice we never hear. In these moments, we are clued into the interruption by the speaker’s derisive repetition of the question. For instance, while they are describing the partygoers’ finery, the speaker suddenly stops to ask: “Who was dah? Now who you </w:t>
      </w:r>
      <w:proofErr w:type="spellStart"/>
      <w:r>
        <w:rPr>
          <w:rFonts w:ascii="Times New Roman" w:hAnsi="Times New Roman" w:cs="Times New Roman"/>
          <w:color w:val="231F20"/>
        </w:rPr>
        <w:t>askin</w:t>
      </w:r>
      <w:proofErr w:type="spellEnd"/>
      <w:r>
        <w:rPr>
          <w:rFonts w:ascii="Times New Roman" w:hAnsi="Times New Roman" w:cs="Times New Roman"/>
          <w:color w:val="231F20"/>
        </w:rPr>
        <w:t>’? How you ‘</w:t>
      </w:r>
      <w:proofErr w:type="spellStart"/>
      <w:r>
        <w:rPr>
          <w:rFonts w:ascii="Times New Roman" w:hAnsi="Times New Roman" w:cs="Times New Roman"/>
          <w:color w:val="231F20"/>
        </w:rPr>
        <w:t>spect</w:t>
      </w:r>
      <w:proofErr w:type="spellEnd"/>
      <w:r>
        <w:rPr>
          <w:rFonts w:ascii="Times New Roman" w:hAnsi="Times New Roman" w:cs="Times New Roman"/>
          <w:color w:val="231F20"/>
        </w:rPr>
        <w:t xml:space="preserve"> I </w:t>
      </w:r>
      <w:proofErr w:type="spellStart"/>
      <w:r>
        <w:rPr>
          <w:rFonts w:ascii="Times New Roman" w:hAnsi="Times New Roman" w:cs="Times New Roman"/>
          <w:color w:val="231F20"/>
        </w:rPr>
        <w:t>gwine</w:t>
      </w:r>
      <w:proofErr w:type="spellEnd"/>
      <w:r>
        <w:rPr>
          <w:rFonts w:ascii="Times New Roman" w:hAnsi="Times New Roman" w:cs="Times New Roman"/>
          <w:color w:val="231F20"/>
        </w:rPr>
        <w:t xml:space="preserve"> to know? / You  </w:t>
      </w:r>
      <w:proofErr w:type="spellStart"/>
      <w:r>
        <w:rPr>
          <w:rFonts w:ascii="Times New Roman" w:hAnsi="Times New Roman" w:cs="Times New Roman"/>
          <w:color w:val="231F20"/>
        </w:rPr>
        <w:t>mus</w:t>
      </w:r>
      <w:proofErr w:type="spellEnd"/>
      <w:r>
        <w:rPr>
          <w:rFonts w:ascii="Times New Roman" w:hAnsi="Times New Roman" w:cs="Times New Roman"/>
          <w:color w:val="231F20"/>
        </w:rPr>
        <w:t xml:space="preserve">’ think I stood an’ counted </w:t>
      </w:r>
      <w:proofErr w:type="spellStart"/>
      <w:r>
        <w:rPr>
          <w:rFonts w:ascii="Times New Roman" w:hAnsi="Times New Roman" w:cs="Times New Roman"/>
          <w:color w:val="231F20"/>
        </w:rPr>
        <w:t>evahbody</w:t>
      </w:r>
      <w:proofErr w:type="spellEnd"/>
      <w:r>
        <w:rPr>
          <w:rFonts w:ascii="Times New Roman" w:hAnsi="Times New Roman" w:cs="Times New Roman"/>
          <w:color w:val="231F20"/>
        </w:rPr>
        <w:t xml:space="preserve"> at de do’” (83). There is humor in the speaker’s mockery of what they evidently think is an invasive question. Later, the speaker describes a partygoer’s failed attempt to dance. The dancer trips and falls into the fireplace. Once more they are interrupted: “Did it </w:t>
      </w:r>
      <w:proofErr w:type="spellStart"/>
      <w:r>
        <w:rPr>
          <w:rFonts w:ascii="Times New Roman" w:hAnsi="Times New Roman" w:cs="Times New Roman"/>
          <w:color w:val="231F20"/>
        </w:rPr>
        <w:t>bu’n</w:t>
      </w:r>
      <w:proofErr w:type="spellEnd"/>
      <w:r>
        <w:rPr>
          <w:rFonts w:ascii="Times New Roman" w:hAnsi="Times New Roman" w:cs="Times New Roman"/>
          <w:color w:val="231F20"/>
        </w:rPr>
        <w:t xml:space="preserve"> him! </w:t>
      </w:r>
      <w:proofErr w:type="spellStart"/>
      <w:r>
        <w:rPr>
          <w:rFonts w:ascii="Times New Roman" w:hAnsi="Times New Roman" w:cs="Times New Roman"/>
          <w:color w:val="231F20"/>
        </w:rPr>
        <w:t>Sich</w:t>
      </w:r>
      <w:proofErr w:type="spellEnd"/>
      <w:r>
        <w:rPr>
          <w:rFonts w:ascii="Times New Roman" w:hAnsi="Times New Roman" w:cs="Times New Roman"/>
          <w:color w:val="231F20"/>
        </w:rPr>
        <w:t xml:space="preserve"> a question, why he didn’t give it time; / </w:t>
      </w:r>
      <w:proofErr w:type="spellStart"/>
      <w:r>
        <w:rPr>
          <w:rFonts w:ascii="Times New Roman" w:hAnsi="Times New Roman" w:cs="Times New Roman"/>
          <w:color w:val="231F20"/>
        </w:rPr>
        <w:t>Th’ow’d</w:t>
      </w:r>
      <w:proofErr w:type="spellEnd"/>
      <w:r>
        <w:rPr>
          <w:rFonts w:ascii="Times New Roman" w:hAnsi="Times New Roman" w:cs="Times New Roman"/>
          <w:color w:val="231F20"/>
        </w:rPr>
        <w:t xml:space="preserve"> dem ashes and dem </w:t>
      </w:r>
      <w:proofErr w:type="spellStart"/>
      <w:r>
        <w:rPr>
          <w:rFonts w:ascii="Times New Roman" w:hAnsi="Times New Roman" w:cs="Times New Roman"/>
          <w:color w:val="231F20"/>
        </w:rPr>
        <w:t>cindah</w:t>
      </w:r>
      <w:proofErr w:type="spellEnd"/>
      <w:r>
        <w:rPr>
          <w:rFonts w:ascii="Times New Roman" w:hAnsi="Times New Roman" w:cs="Times New Roman"/>
          <w:color w:val="231F20"/>
        </w:rPr>
        <w:t xml:space="preserve"> </w:t>
      </w:r>
      <w:proofErr w:type="spellStart"/>
      <w:r>
        <w:rPr>
          <w:rFonts w:ascii="Times New Roman" w:hAnsi="Times New Roman" w:cs="Times New Roman"/>
          <w:color w:val="231F20"/>
        </w:rPr>
        <w:t>evah</w:t>
      </w:r>
      <w:proofErr w:type="spellEnd"/>
      <w:r>
        <w:rPr>
          <w:rFonts w:ascii="Times New Roman" w:hAnsi="Times New Roman" w:cs="Times New Roman"/>
          <w:color w:val="231F20"/>
        </w:rPr>
        <w:t xml:space="preserve"> which-a-way I guess / An’ you </w:t>
      </w:r>
      <w:proofErr w:type="spellStart"/>
      <w:r>
        <w:rPr>
          <w:rFonts w:ascii="Times New Roman" w:hAnsi="Times New Roman" w:cs="Times New Roman"/>
          <w:color w:val="231F20"/>
        </w:rPr>
        <w:t>nevah</w:t>
      </w:r>
      <w:proofErr w:type="spellEnd"/>
      <w:r>
        <w:rPr>
          <w:rFonts w:ascii="Times New Roman" w:hAnsi="Times New Roman" w:cs="Times New Roman"/>
          <w:color w:val="231F20"/>
        </w:rPr>
        <w:t xml:space="preserve"> did, I reckon, clap </w:t>
      </w:r>
      <w:proofErr w:type="spellStart"/>
      <w:r>
        <w:rPr>
          <w:rFonts w:ascii="Times New Roman" w:hAnsi="Times New Roman" w:cs="Times New Roman"/>
          <w:color w:val="231F20"/>
        </w:rPr>
        <w:t>yo</w:t>
      </w:r>
      <w:proofErr w:type="spellEnd"/>
      <w:r>
        <w:rPr>
          <w:rFonts w:ascii="Times New Roman" w:hAnsi="Times New Roman" w:cs="Times New Roman"/>
          <w:color w:val="231F20"/>
        </w:rPr>
        <w:t xml:space="preserve">’ </w:t>
      </w:r>
      <w:r>
        <w:rPr>
          <w:rFonts w:ascii="Times New Roman" w:hAnsi="Times New Roman" w:cs="Times New Roman"/>
          <w:color w:val="231F20"/>
        </w:rPr>
        <w:lastRenderedPageBreak/>
        <w:t xml:space="preserve">eyes on </w:t>
      </w:r>
      <w:proofErr w:type="spellStart"/>
      <w:r>
        <w:rPr>
          <w:rFonts w:ascii="Times New Roman" w:hAnsi="Times New Roman" w:cs="Times New Roman"/>
          <w:color w:val="231F20"/>
        </w:rPr>
        <w:t>sich</w:t>
      </w:r>
      <w:proofErr w:type="spellEnd"/>
      <w:r>
        <w:rPr>
          <w:rFonts w:ascii="Times New Roman" w:hAnsi="Times New Roman" w:cs="Times New Roman"/>
          <w:color w:val="231F20"/>
        </w:rPr>
        <w:t xml:space="preserve"> a mess; / Fu’ he </w:t>
      </w:r>
      <w:proofErr w:type="spellStart"/>
      <w:r>
        <w:rPr>
          <w:rFonts w:ascii="Times New Roman" w:hAnsi="Times New Roman" w:cs="Times New Roman"/>
          <w:color w:val="231F20"/>
        </w:rPr>
        <w:t>sholy</w:t>
      </w:r>
      <w:proofErr w:type="spellEnd"/>
      <w:r>
        <w:rPr>
          <w:rFonts w:ascii="Times New Roman" w:hAnsi="Times New Roman" w:cs="Times New Roman"/>
          <w:color w:val="231F20"/>
        </w:rPr>
        <w:t xml:space="preserve"> made a </w:t>
      </w:r>
      <w:proofErr w:type="spellStart"/>
      <w:r>
        <w:rPr>
          <w:rFonts w:ascii="Times New Roman" w:hAnsi="Times New Roman" w:cs="Times New Roman"/>
          <w:color w:val="231F20"/>
        </w:rPr>
        <w:t>picter</w:t>
      </w:r>
      <w:proofErr w:type="spellEnd"/>
      <w:r>
        <w:rPr>
          <w:rFonts w:ascii="Times New Roman" w:hAnsi="Times New Roman" w:cs="Times New Roman"/>
          <w:color w:val="231F20"/>
        </w:rPr>
        <w:t xml:space="preserve"> an’ a funny one to boot, / </w:t>
      </w:r>
      <w:proofErr w:type="spellStart"/>
      <w:r>
        <w:rPr>
          <w:rFonts w:ascii="Times New Roman" w:hAnsi="Times New Roman" w:cs="Times New Roman"/>
          <w:color w:val="231F20"/>
        </w:rPr>
        <w:t>Wif</w:t>
      </w:r>
      <w:proofErr w:type="spellEnd"/>
      <w:r>
        <w:rPr>
          <w:rFonts w:ascii="Times New Roman" w:hAnsi="Times New Roman" w:cs="Times New Roman"/>
          <w:color w:val="231F20"/>
        </w:rPr>
        <w:t xml:space="preserve"> his clothes all full o’ ashes an’ his face all full o’ soot” (84).</w:t>
      </w:r>
      <w:r>
        <w:rPr>
          <w:rStyle w:val="FootnoteReference"/>
          <w:rFonts w:ascii="Times New Roman" w:hAnsi="Times New Roman" w:cs="Times New Roman"/>
          <w:color w:val="231F20"/>
        </w:rPr>
        <w:footnoteReference w:id="92"/>
      </w:r>
      <w:r>
        <w:rPr>
          <w:rFonts w:ascii="Times New Roman" w:hAnsi="Times New Roman" w:cs="Times New Roman"/>
          <w:color w:val="231F20"/>
        </w:rPr>
        <w:t xml:space="preserve"> </w:t>
      </w:r>
    </w:p>
    <w:p w14:paraId="0E38F408" w14:textId="77777777" w:rsidR="00287C65" w:rsidRDefault="00287C65" w:rsidP="00287C65">
      <w:pPr>
        <w:spacing w:line="480" w:lineRule="auto"/>
        <w:ind w:firstLine="720"/>
        <w:rPr>
          <w:rFonts w:ascii="Times New Roman" w:hAnsi="Times New Roman" w:cs="Times New Roman"/>
          <w:color w:val="231F20"/>
        </w:rPr>
      </w:pPr>
      <w:r>
        <w:rPr>
          <w:rFonts w:ascii="Times New Roman" w:hAnsi="Times New Roman" w:cs="Times New Roman"/>
          <w:color w:val="231F20"/>
        </w:rPr>
        <w:t xml:space="preserve">In both these moments, the listener’s annoying interjections represent attempts by outsiders to butt in and take control over the speaker’s narrative. In turn, the speaker’s refusals and mockery of these attempts deny the listener the control they seek and maintain the speaker’s agency and authorial power over the story of the party. Agency and representative control were things that Dunbar desperately sought in his professional career. Privately, he struggled with the “irrevocable harm” Howells’s review of </w:t>
      </w:r>
      <w:r>
        <w:rPr>
          <w:rFonts w:ascii="Times New Roman" w:hAnsi="Times New Roman" w:cs="Times New Roman"/>
          <w:i/>
          <w:color w:val="231F20"/>
        </w:rPr>
        <w:t xml:space="preserve">Majors and Minors </w:t>
      </w:r>
      <w:r>
        <w:rPr>
          <w:rFonts w:ascii="Times New Roman" w:hAnsi="Times New Roman" w:cs="Times New Roman"/>
          <w:color w:val="231F20"/>
        </w:rPr>
        <w:t xml:space="preserve">had done to his reputation. After that review, the white literati perceived Dunbar as not only a literary celebrity but also as a representative of his race. The irrevocable harm of Howells’s review was the idea he promulgated that Dunbar’s poetry, particularly his dialect poetry, granted any white reader unfettered access to the poet’s interior self that was, according to Howells, as Black as his skin. Dunbar gives voice to his yearning for self-definition in his famous poem “Sympathy” (1899). The metaphor of the caged bird that sings as it bruises its wings against the bars of its cage, straining for freedom, represents the poet’s desire to control his own voice and destiny. The bird’s “plea” for “freedom” is misunderstood by others as a “carol of joy or glee,” but the speaker understands too well (102). </w:t>
      </w:r>
    </w:p>
    <w:p w14:paraId="39F69386" w14:textId="77777777" w:rsidR="00287C65" w:rsidRDefault="00287C65" w:rsidP="00287C65">
      <w:pPr>
        <w:spacing w:line="480" w:lineRule="auto"/>
        <w:ind w:firstLine="720"/>
        <w:rPr>
          <w:rFonts w:ascii="Times New Roman" w:hAnsi="Times New Roman" w:cs="Times New Roman"/>
          <w:color w:val="231F20"/>
        </w:rPr>
      </w:pPr>
      <w:r>
        <w:rPr>
          <w:rFonts w:ascii="Times New Roman" w:hAnsi="Times New Roman" w:cs="Times New Roman"/>
          <w:color w:val="231F20"/>
        </w:rPr>
        <w:t xml:space="preserve">The speaker of “The Party” further enacts self-definition in their dissembling representations of their fellow partygoers, the second strategy of refusal in the poem. As </w:t>
      </w:r>
      <w:r>
        <w:rPr>
          <w:rFonts w:ascii="Times New Roman" w:hAnsi="Times New Roman" w:cs="Times New Roman"/>
          <w:color w:val="231F20"/>
        </w:rPr>
        <w:lastRenderedPageBreak/>
        <w:t xml:space="preserve">with the domestic joy of “When de </w:t>
      </w:r>
      <w:proofErr w:type="spellStart"/>
      <w:r>
        <w:rPr>
          <w:rFonts w:ascii="Times New Roman" w:hAnsi="Times New Roman" w:cs="Times New Roman"/>
          <w:color w:val="231F20"/>
        </w:rPr>
        <w:t>Co’n</w:t>
      </w:r>
      <w:proofErr w:type="spellEnd"/>
      <w:r>
        <w:rPr>
          <w:rFonts w:ascii="Times New Roman" w:hAnsi="Times New Roman" w:cs="Times New Roman"/>
          <w:color w:val="231F20"/>
        </w:rPr>
        <w:t xml:space="preserve"> Pone’s Hot” or the birdsong in “Sympathy,” the depiction of real humor and Black enjoyment in “The Party” is in danger of being misread by white readers as a minstrel performance. Intuiting this, the speaker anticipates such a misreading through the subtle tactic of evoking and then immediately undercutting minstrel tropes. For example, the speaker says that the enslaved women at the party were so beautiful, their dresses so fine, and their hair so perfectly done that “Ef you ‘d seen ‘</w:t>
      </w:r>
      <w:proofErr w:type="spellStart"/>
      <w:r>
        <w:rPr>
          <w:rFonts w:ascii="Times New Roman" w:hAnsi="Times New Roman" w:cs="Times New Roman"/>
          <w:color w:val="231F20"/>
        </w:rPr>
        <w:t>em</w:t>
      </w:r>
      <w:proofErr w:type="spellEnd"/>
      <w:r>
        <w:rPr>
          <w:rFonts w:ascii="Times New Roman" w:hAnsi="Times New Roman" w:cs="Times New Roman"/>
          <w:color w:val="231F20"/>
        </w:rPr>
        <w:t xml:space="preserve"> </w:t>
      </w:r>
      <w:proofErr w:type="spellStart"/>
      <w:r>
        <w:rPr>
          <w:rFonts w:ascii="Times New Roman" w:hAnsi="Times New Roman" w:cs="Times New Roman"/>
          <w:color w:val="231F20"/>
        </w:rPr>
        <w:t>wif</w:t>
      </w:r>
      <w:proofErr w:type="spellEnd"/>
      <w:r>
        <w:rPr>
          <w:rFonts w:ascii="Times New Roman" w:hAnsi="Times New Roman" w:cs="Times New Roman"/>
          <w:color w:val="231F20"/>
        </w:rPr>
        <w:t xml:space="preserve"> </w:t>
      </w:r>
      <w:proofErr w:type="spellStart"/>
      <w:r>
        <w:rPr>
          <w:rFonts w:ascii="Times New Roman" w:hAnsi="Times New Roman" w:cs="Times New Roman"/>
          <w:color w:val="231F20"/>
        </w:rPr>
        <w:t>deir</w:t>
      </w:r>
      <w:proofErr w:type="spellEnd"/>
      <w:r>
        <w:rPr>
          <w:rFonts w:ascii="Times New Roman" w:hAnsi="Times New Roman" w:cs="Times New Roman"/>
          <w:color w:val="231F20"/>
        </w:rPr>
        <w:t xml:space="preserve"> </w:t>
      </w:r>
      <w:proofErr w:type="spellStart"/>
      <w:r>
        <w:rPr>
          <w:rFonts w:ascii="Times New Roman" w:hAnsi="Times New Roman" w:cs="Times New Roman"/>
          <w:color w:val="231F20"/>
        </w:rPr>
        <w:t>mistus</w:t>
      </w:r>
      <w:proofErr w:type="spellEnd"/>
      <w:r>
        <w:rPr>
          <w:rFonts w:ascii="Times New Roman" w:hAnsi="Times New Roman" w:cs="Times New Roman"/>
          <w:color w:val="231F20"/>
        </w:rPr>
        <w:t xml:space="preserve">, could </w:t>
      </w:r>
      <w:proofErr w:type="spellStart"/>
      <w:r>
        <w:rPr>
          <w:rFonts w:ascii="Times New Roman" w:hAnsi="Times New Roman" w:cs="Times New Roman"/>
          <w:color w:val="231F20"/>
        </w:rPr>
        <w:t>n’t</w:t>
      </w:r>
      <w:proofErr w:type="spellEnd"/>
      <w:r>
        <w:rPr>
          <w:rFonts w:ascii="Times New Roman" w:hAnsi="Times New Roman" w:cs="Times New Roman"/>
          <w:color w:val="231F20"/>
        </w:rPr>
        <w:t xml:space="preserve"> </w:t>
      </w:r>
      <w:proofErr w:type="spellStart"/>
      <w:r>
        <w:rPr>
          <w:rFonts w:ascii="Times New Roman" w:hAnsi="Times New Roman" w:cs="Times New Roman"/>
          <w:color w:val="231F20"/>
        </w:rPr>
        <w:t>swahed</w:t>
      </w:r>
      <w:proofErr w:type="spellEnd"/>
      <w:r>
        <w:rPr>
          <w:rFonts w:ascii="Times New Roman" w:hAnsi="Times New Roman" w:cs="Times New Roman"/>
          <w:color w:val="231F20"/>
        </w:rPr>
        <w:t xml:space="preserve"> to which was which” (83). The speaker is keenly aware of the racist trope, common to white minstrel performance of the cakewalk, of enslaved people dressing up nicely and “putting on airs” to resemble their enslavers and other elite whites. By conjuring that image first in their ironic assertion that the women looked so good you couldn’t tell the difference between the enslaved women and their enslavers, the speaker diffuses its power. Similarly to how making fun of oneself first tends to dull the blow of mockery from others, the speaker’s evocation of minstrel imagery short-circuits its operation. </w:t>
      </w:r>
    </w:p>
    <w:p w14:paraId="4386537F" w14:textId="77777777" w:rsidR="00287C65" w:rsidRDefault="00287C65" w:rsidP="00287C65">
      <w:pPr>
        <w:spacing w:line="480" w:lineRule="auto"/>
        <w:ind w:firstLine="720"/>
        <w:rPr>
          <w:rFonts w:ascii="Times New Roman" w:hAnsi="Times New Roman" w:cs="Times New Roman"/>
          <w:color w:val="231F20"/>
        </w:rPr>
      </w:pPr>
      <w:r>
        <w:rPr>
          <w:rFonts w:ascii="Times New Roman" w:hAnsi="Times New Roman" w:cs="Times New Roman"/>
          <w:color w:val="231F20"/>
        </w:rPr>
        <w:t>We see this again in the example of Harvey Jones, who the speaker says spends the whole party jealously watching another man, Isaac, court Malindy Jane. Harvey evidently has had his eye on “Lindy,” and the sight of her “</w:t>
      </w:r>
      <w:proofErr w:type="spellStart"/>
      <w:r>
        <w:rPr>
          <w:rFonts w:ascii="Times New Roman" w:hAnsi="Times New Roman" w:cs="Times New Roman"/>
          <w:color w:val="231F20"/>
        </w:rPr>
        <w:t>hangin</w:t>
      </w:r>
      <w:proofErr w:type="spellEnd"/>
      <w:r>
        <w:rPr>
          <w:rFonts w:ascii="Times New Roman" w:hAnsi="Times New Roman" w:cs="Times New Roman"/>
          <w:color w:val="231F20"/>
        </w:rPr>
        <w:t xml:space="preserve">’ to [Isaac’s] elbow…seemed to stick him </w:t>
      </w:r>
      <w:proofErr w:type="spellStart"/>
      <w:r>
        <w:rPr>
          <w:rFonts w:ascii="Times New Roman" w:hAnsi="Times New Roman" w:cs="Times New Roman"/>
          <w:color w:val="231F20"/>
        </w:rPr>
        <w:t>lak</w:t>
      </w:r>
      <w:proofErr w:type="spellEnd"/>
      <w:r>
        <w:rPr>
          <w:rFonts w:ascii="Times New Roman" w:hAnsi="Times New Roman" w:cs="Times New Roman"/>
          <w:color w:val="231F20"/>
        </w:rPr>
        <w:t xml:space="preserve"> a </w:t>
      </w:r>
      <w:proofErr w:type="spellStart"/>
      <w:r>
        <w:rPr>
          <w:rFonts w:ascii="Times New Roman" w:hAnsi="Times New Roman" w:cs="Times New Roman"/>
          <w:color w:val="231F20"/>
        </w:rPr>
        <w:t>tho’n</w:t>
      </w:r>
      <w:proofErr w:type="spellEnd"/>
      <w:r>
        <w:rPr>
          <w:rFonts w:ascii="Times New Roman" w:hAnsi="Times New Roman" w:cs="Times New Roman"/>
          <w:color w:val="231F20"/>
        </w:rPr>
        <w:t xml:space="preserve">” (83). To save face, Harvey “laughed with Viney </w:t>
      </w:r>
      <w:proofErr w:type="spellStart"/>
      <w:r>
        <w:rPr>
          <w:rFonts w:ascii="Times New Roman" w:hAnsi="Times New Roman" w:cs="Times New Roman"/>
          <w:color w:val="231F20"/>
        </w:rPr>
        <w:t>Caheth</w:t>
      </w:r>
      <w:proofErr w:type="spellEnd"/>
      <w:r>
        <w:rPr>
          <w:rFonts w:ascii="Times New Roman" w:hAnsi="Times New Roman" w:cs="Times New Roman"/>
          <w:color w:val="231F20"/>
        </w:rPr>
        <w:t xml:space="preserve">, </w:t>
      </w:r>
      <w:proofErr w:type="spellStart"/>
      <w:r>
        <w:rPr>
          <w:rFonts w:ascii="Times New Roman" w:hAnsi="Times New Roman" w:cs="Times New Roman"/>
          <w:color w:val="231F20"/>
        </w:rPr>
        <w:t>tryin</w:t>
      </w:r>
      <w:proofErr w:type="spellEnd"/>
      <w:r>
        <w:rPr>
          <w:rFonts w:ascii="Times New Roman" w:hAnsi="Times New Roman" w:cs="Times New Roman"/>
          <w:color w:val="231F20"/>
        </w:rPr>
        <w:t xml:space="preserve">’ </w:t>
      </w:r>
      <w:proofErr w:type="spellStart"/>
      <w:r>
        <w:rPr>
          <w:rFonts w:ascii="Times New Roman" w:hAnsi="Times New Roman" w:cs="Times New Roman"/>
          <w:color w:val="231F20"/>
        </w:rPr>
        <w:t>ha’d</w:t>
      </w:r>
      <w:proofErr w:type="spellEnd"/>
      <w:r>
        <w:rPr>
          <w:rFonts w:ascii="Times New Roman" w:hAnsi="Times New Roman" w:cs="Times New Roman"/>
          <w:color w:val="231F20"/>
        </w:rPr>
        <w:t xml:space="preserve"> to not let on” even though “a </w:t>
      </w:r>
      <w:proofErr w:type="spellStart"/>
      <w:r>
        <w:rPr>
          <w:rFonts w:ascii="Times New Roman" w:hAnsi="Times New Roman" w:cs="Times New Roman"/>
          <w:color w:val="231F20"/>
        </w:rPr>
        <w:t>pusson</w:t>
      </w:r>
      <w:proofErr w:type="spellEnd"/>
      <w:r>
        <w:rPr>
          <w:rFonts w:ascii="Times New Roman" w:hAnsi="Times New Roman" w:cs="Times New Roman"/>
          <w:color w:val="231F20"/>
        </w:rPr>
        <w:t xml:space="preserve"> would ‘a’ noticed </w:t>
      </w:r>
      <w:proofErr w:type="spellStart"/>
      <w:r>
        <w:rPr>
          <w:rFonts w:ascii="Times New Roman" w:hAnsi="Times New Roman" w:cs="Times New Roman"/>
          <w:color w:val="231F20"/>
        </w:rPr>
        <w:t>f’om</w:t>
      </w:r>
      <w:proofErr w:type="spellEnd"/>
      <w:r>
        <w:rPr>
          <w:rFonts w:ascii="Times New Roman" w:hAnsi="Times New Roman" w:cs="Times New Roman"/>
          <w:color w:val="231F20"/>
        </w:rPr>
        <w:t xml:space="preserve"> de </w:t>
      </w:r>
      <w:proofErr w:type="spellStart"/>
      <w:r>
        <w:rPr>
          <w:rFonts w:ascii="Times New Roman" w:hAnsi="Times New Roman" w:cs="Times New Roman"/>
          <w:color w:val="231F20"/>
        </w:rPr>
        <w:t>d’rection</w:t>
      </w:r>
      <w:proofErr w:type="spellEnd"/>
      <w:r>
        <w:rPr>
          <w:rFonts w:ascii="Times New Roman" w:hAnsi="Times New Roman" w:cs="Times New Roman"/>
          <w:color w:val="231F20"/>
        </w:rPr>
        <w:t xml:space="preserve"> of his look / Dat he was </w:t>
      </w:r>
      <w:proofErr w:type="spellStart"/>
      <w:r>
        <w:rPr>
          <w:rFonts w:ascii="Times New Roman" w:hAnsi="Times New Roman" w:cs="Times New Roman"/>
          <w:color w:val="231F20"/>
        </w:rPr>
        <w:t>watchin</w:t>
      </w:r>
      <w:proofErr w:type="spellEnd"/>
      <w:r>
        <w:rPr>
          <w:rFonts w:ascii="Times New Roman" w:hAnsi="Times New Roman" w:cs="Times New Roman"/>
          <w:color w:val="231F20"/>
        </w:rPr>
        <w:t xml:space="preserve">’ </w:t>
      </w:r>
      <w:proofErr w:type="spellStart"/>
      <w:r>
        <w:rPr>
          <w:rFonts w:ascii="Times New Roman" w:hAnsi="Times New Roman" w:cs="Times New Roman"/>
          <w:color w:val="231F20"/>
        </w:rPr>
        <w:t>evry</w:t>
      </w:r>
      <w:proofErr w:type="spellEnd"/>
      <w:r>
        <w:rPr>
          <w:rFonts w:ascii="Times New Roman" w:hAnsi="Times New Roman" w:cs="Times New Roman"/>
          <w:color w:val="231F20"/>
        </w:rPr>
        <w:t xml:space="preserve"> step </w:t>
      </w:r>
      <w:proofErr w:type="spellStart"/>
      <w:r>
        <w:rPr>
          <w:rFonts w:ascii="Times New Roman" w:hAnsi="Times New Roman" w:cs="Times New Roman"/>
          <w:color w:val="231F20"/>
        </w:rPr>
        <w:t>dat</w:t>
      </w:r>
      <w:proofErr w:type="spellEnd"/>
      <w:r>
        <w:rPr>
          <w:rFonts w:ascii="Times New Roman" w:hAnsi="Times New Roman" w:cs="Times New Roman"/>
          <w:color w:val="231F20"/>
        </w:rPr>
        <w:t xml:space="preserve"> Ike an’ Lindy took” (84). Harvey’s forced laughter is another refusal. At one level, his refusal to “not let on” </w:t>
      </w:r>
      <w:r>
        <w:rPr>
          <w:rFonts w:ascii="Times New Roman" w:hAnsi="Times New Roman" w:cs="Times New Roman"/>
          <w:color w:val="231F20"/>
        </w:rPr>
        <w:lastRenderedPageBreak/>
        <w:t xml:space="preserve">preserves his pride. At the level of the poem’s politics of self-definition, the speaker anticipates and undercuts the minstrel trope of monstrous, unrestrained Black male sexuality. The poem’s depiction of Harvey Jones’s frustration is a far more humane representation that doesn’t deny or suppress Black sexuality (as some proponents of uplift were </w:t>
      </w:r>
      <w:proofErr w:type="gramStart"/>
      <w:r>
        <w:rPr>
          <w:rFonts w:ascii="Times New Roman" w:hAnsi="Times New Roman" w:cs="Times New Roman"/>
          <w:color w:val="231F20"/>
        </w:rPr>
        <w:t>wont</w:t>
      </w:r>
      <w:proofErr w:type="gramEnd"/>
      <w:r>
        <w:rPr>
          <w:rFonts w:ascii="Times New Roman" w:hAnsi="Times New Roman" w:cs="Times New Roman"/>
          <w:color w:val="231F20"/>
        </w:rPr>
        <w:t xml:space="preserve"> to do) but finds humor and joy in it. </w:t>
      </w:r>
    </w:p>
    <w:p w14:paraId="133E047C" w14:textId="77777777" w:rsidR="00287C65" w:rsidRDefault="00287C65" w:rsidP="00287C65">
      <w:pPr>
        <w:spacing w:line="480" w:lineRule="auto"/>
        <w:ind w:firstLine="720"/>
        <w:rPr>
          <w:rFonts w:ascii="Times New Roman" w:hAnsi="Times New Roman" w:cs="Times New Roman"/>
          <w:color w:val="231F20"/>
        </w:rPr>
      </w:pPr>
      <w:r>
        <w:rPr>
          <w:rFonts w:ascii="Times New Roman" w:hAnsi="Times New Roman" w:cs="Times New Roman"/>
          <w:color w:val="231F20"/>
        </w:rPr>
        <w:t xml:space="preserve">The poem’s two strategies of refusal come together in the example of Scott Thomas, the young Black man mentioned above whose failure to keep time in a line dance sends him sprawling into the fireplace. The anecdote, 17 lines, is excerpted below: </w:t>
      </w:r>
    </w:p>
    <w:p w14:paraId="4D3EB840"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Dat was </w:t>
      </w:r>
      <w:proofErr w:type="spellStart"/>
      <w:r>
        <w:rPr>
          <w:rFonts w:ascii="Times New Roman" w:hAnsi="Times New Roman" w:cs="Times New Roman"/>
          <w:color w:val="333333"/>
        </w:rPr>
        <w:t>bettah</w:t>
      </w:r>
      <w:proofErr w:type="spellEnd"/>
      <w:r>
        <w:rPr>
          <w:rFonts w:ascii="Times New Roman" w:hAnsi="Times New Roman" w:cs="Times New Roman"/>
          <w:color w:val="333333"/>
        </w:rPr>
        <w:t xml:space="preserve"> ‘n young Scott Thomas, </w:t>
      </w:r>
      <w:proofErr w:type="spellStart"/>
      <w:r>
        <w:rPr>
          <w:rFonts w:ascii="Times New Roman" w:hAnsi="Times New Roman" w:cs="Times New Roman"/>
          <w:color w:val="333333"/>
        </w:rPr>
        <w:t>tryin</w:t>
      </w:r>
      <w:proofErr w:type="spellEnd"/>
      <w:r>
        <w:rPr>
          <w:rFonts w:ascii="Times New Roman" w:hAnsi="Times New Roman" w:cs="Times New Roman"/>
          <w:color w:val="333333"/>
        </w:rPr>
        <w:t xml:space="preserve">’ to be </w:t>
      </w:r>
      <w:proofErr w:type="gramStart"/>
      <w:r>
        <w:rPr>
          <w:rFonts w:ascii="Times New Roman" w:hAnsi="Times New Roman" w:cs="Times New Roman"/>
          <w:color w:val="333333"/>
        </w:rPr>
        <w:t>so</w:t>
      </w:r>
      <w:proofErr w:type="gramEnd"/>
      <w:r>
        <w:rPr>
          <w:rFonts w:ascii="Times New Roman" w:hAnsi="Times New Roman" w:cs="Times New Roman"/>
          <w:color w:val="333333"/>
        </w:rPr>
        <w:t xml:space="preserve"> awful </w:t>
      </w:r>
      <w:proofErr w:type="spellStart"/>
      <w:r>
        <w:rPr>
          <w:rFonts w:ascii="Times New Roman" w:hAnsi="Times New Roman" w:cs="Times New Roman"/>
          <w:color w:val="333333"/>
        </w:rPr>
        <w:t>smaht</w:t>
      </w:r>
      <w:proofErr w:type="spellEnd"/>
      <w:r>
        <w:rPr>
          <w:rFonts w:ascii="Times New Roman" w:hAnsi="Times New Roman" w:cs="Times New Roman"/>
          <w:color w:val="333333"/>
        </w:rPr>
        <w:t>.</w:t>
      </w:r>
    </w:p>
    <w:p w14:paraId="7A2F59B8"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You know when </w:t>
      </w:r>
      <w:proofErr w:type="spellStart"/>
      <w:r>
        <w:rPr>
          <w:rFonts w:ascii="Times New Roman" w:hAnsi="Times New Roman" w:cs="Times New Roman"/>
          <w:color w:val="333333"/>
        </w:rPr>
        <w:t>dey</w:t>
      </w:r>
      <w:proofErr w:type="spellEnd"/>
      <w:r>
        <w:rPr>
          <w:rFonts w:ascii="Times New Roman" w:hAnsi="Times New Roman" w:cs="Times New Roman"/>
          <w:color w:val="333333"/>
        </w:rPr>
        <w:t xml:space="preserve"> gits to </w:t>
      </w:r>
      <w:proofErr w:type="spellStart"/>
      <w:r>
        <w:rPr>
          <w:rFonts w:ascii="Times New Roman" w:hAnsi="Times New Roman" w:cs="Times New Roman"/>
          <w:color w:val="333333"/>
        </w:rPr>
        <w:t>singin</w:t>
      </w:r>
      <w:proofErr w:type="spellEnd"/>
      <w:r>
        <w:rPr>
          <w:rFonts w:ascii="Times New Roman" w:hAnsi="Times New Roman" w:cs="Times New Roman"/>
          <w:color w:val="333333"/>
        </w:rPr>
        <w:t xml:space="preserve">’ an’ </w:t>
      </w:r>
      <w:proofErr w:type="spellStart"/>
      <w:r>
        <w:rPr>
          <w:rFonts w:ascii="Times New Roman" w:hAnsi="Times New Roman" w:cs="Times New Roman"/>
          <w:color w:val="333333"/>
        </w:rPr>
        <w:t>dey</w:t>
      </w:r>
      <w:proofErr w:type="spellEnd"/>
      <w:r>
        <w:rPr>
          <w:rFonts w:ascii="Times New Roman" w:hAnsi="Times New Roman" w:cs="Times New Roman"/>
          <w:color w:val="333333"/>
        </w:rPr>
        <w:t xml:space="preserve"> comes to </w:t>
      </w:r>
      <w:proofErr w:type="spellStart"/>
      <w:r>
        <w:rPr>
          <w:rFonts w:ascii="Times New Roman" w:hAnsi="Times New Roman" w:cs="Times New Roman"/>
          <w:color w:val="333333"/>
        </w:rPr>
        <w:t>dat</w:t>
      </w:r>
      <w:proofErr w:type="spellEnd"/>
      <w:r>
        <w:rPr>
          <w:rFonts w:ascii="Times New Roman" w:hAnsi="Times New Roman" w:cs="Times New Roman"/>
          <w:color w:val="333333"/>
        </w:rPr>
        <w:t xml:space="preserve"> ere </w:t>
      </w:r>
      <w:proofErr w:type="spellStart"/>
      <w:r>
        <w:rPr>
          <w:rFonts w:ascii="Times New Roman" w:hAnsi="Times New Roman" w:cs="Times New Roman"/>
          <w:color w:val="333333"/>
        </w:rPr>
        <w:t>paht</w:t>
      </w:r>
      <w:proofErr w:type="spellEnd"/>
      <w:r>
        <w:rPr>
          <w:rFonts w:ascii="Times New Roman" w:hAnsi="Times New Roman" w:cs="Times New Roman"/>
          <w:color w:val="333333"/>
        </w:rPr>
        <w:t>:</w:t>
      </w:r>
    </w:p>
    <w:p w14:paraId="0591EC52" w14:textId="77777777" w:rsidR="00287C65" w:rsidRDefault="00287C65" w:rsidP="00287C65">
      <w:pPr>
        <w:spacing w:line="480" w:lineRule="auto"/>
        <w:ind w:left="1440"/>
        <w:rPr>
          <w:rFonts w:ascii="Times New Roman" w:hAnsi="Times New Roman" w:cs="Times New Roman"/>
          <w:color w:val="333333"/>
        </w:rPr>
      </w:pPr>
      <w:r>
        <w:rPr>
          <w:rFonts w:ascii="Times New Roman" w:hAnsi="Times New Roman" w:cs="Times New Roman"/>
          <w:color w:val="333333"/>
        </w:rPr>
        <w:t>“In some lady’s new brick house,</w:t>
      </w:r>
    </w:p>
    <w:p w14:paraId="4A23BEA9" w14:textId="77777777" w:rsidR="00287C65" w:rsidRDefault="00287C65" w:rsidP="00287C65">
      <w:pPr>
        <w:spacing w:line="480" w:lineRule="auto"/>
        <w:ind w:left="1440"/>
        <w:rPr>
          <w:rFonts w:ascii="Times New Roman" w:hAnsi="Times New Roman" w:cs="Times New Roman"/>
          <w:color w:val="333333"/>
        </w:rPr>
      </w:pPr>
      <w:r>
        <w:rPr>
          <w:rFonts w:ascii="Times New Roman" w:hAnsi="Times New Roman" w:cs="Times New Roman"/>
          <w:color w:val="333333"/>
        </w:rPr>
        <w:t xml:space="preserve">In some lady’s </w:t>
      </w:r>
      <w:proofErr w:type="spellStart"/>
      <w:r>
        <w:rPr>
          <w:rFonts w:ascii="Times New Roman" w:hAnsi="Times New Roman" w:cs="Times New Roman"/>
          <w:color w:val="333333"/>
        </w:rPr>
        <w:t>gyahden</w:t>
      </w:r>
      <w:proofErr w:type="spellEnd"/>
      <w:r>
        <w:rPr>
          <w:rFonts w:ascii="Times New Roman" w:hAnsi="Times New Roman" w:cs="Times New Roman"/>
          <w:color w:val="333333"/>
        </w:rPr>
        <w:t>.</w:t>
      </w:r>
    </w:p>
    <w:p w14:paraId="58562E10" w14:textId="77777777" w:rsidR="00287C65" w:rsidRDefault="00287C65" w:rsidP="00287C65">
      <w:pPr>
        <w:spacing w:line="480" w:lineRule="auto"/>
        <w:ind w:left="1440"/>
        <w:rPr>
          <w:rFonts w:ascii="Times New Roman" w:hAnsi="Times New Roman" w:cs="Times New Roman"/>
          <w:color w:val="333333"/>
        </w:rPr>
      </w:pPr>
      <w:proofErr w:type="gramStart"/>
      <w:r>
        <w:rPr>
          <w:rFonts w:ascii="Times New Roman" w:hAnsi="Times New Roman" w:cs="Times New Roman"/>
          <w:color w:val="333333"/>
        </w:rPr>
        <w:t>Ef</w:t>
      </w:r>
      <w:proofErr w:type="gramEnd"/>
      <w:r>
        <w:rPr>
          <w:rFonts w:ascii="Times New Roman" w:hAnsi="Times New Roman" w:cs="Times New Roman"/>
          <w:color w:val="333333"/>
        </w:rPr>
        <w:t xml:space="preserve"> you don’t let me out, I will jump out,</w:t>
      </w:r>
    </w:p>
    <w:p w14:paraId="7D31FF64" w14:textId="77777777" w:rsidR="00287C65" w:rsidRDefault="00287C65" w:rsidP="00287C65">
      <w:pPr>
        <w:spacing w:line="480" w:lineRule="auto"/>
        <w:ind w:left="1440"/>
        <w:rPr>
          <w:rFonts w:ascii="Times New Roman" w:hAnsi="Times New Roman" w:cs="Times New Roman"/>
          <w:color w:val="333333"/>
        </w:rPr>
      </w:pPr>
      <w:proofErr w:type="gramStart"/>
      <w:r>
        <w:rPr>
          <w:rFonts w:ascii="Times New Roman" w:hAnsi="Times New Roman" w:cs="Times New Roman"/>
          <w:color w:val="333333"/>
        </w:rPr>
        <w:t>So</w:t>
      </w:r>
      <w:proofErr w:type="gramEnd"/>
      <w:r>
        <w:rPr>
          <w:rFonts w:ascii="Times New Roman" w:hAnsi="Times New Roman" w:cs="Times New Roman"/>
          <w:color w:val="333333"/>
        </w:rPr>
        <w:t xml:space="preserve"> fa’ you well, my </w:t>
      </w:r>
      <w:proofErr w:type="spellStart"/>
      <w:r>
        <w:rPr>
          <w:rFonts w:ascii="Times New Roman" w:hAnsi="Times New Roman" w:cs="Times New Roman"/>
          <w:color w:val="333333"/>
        </w:rPr>
        <w:t>dahlin</w:t>
      </w:r>
      <w:proofErr w:type="spellEnd"/>
      <w:r>
        <w:rPr>
          <w:rFonts w:ascii="Times New Roman" w:hAnsi="Times New Roman" w:cs="Times New Roman"/>
          <w:color w:val="333333"/>
        </w:rPr>
        <w:t>’.”</w:t>
      </w:r>
    </w:p>
    <w:p w14:paraId="021F8888"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Den </w:t>
      </w:r>
      <w:proofErr w:type="spellStart"/>
      <w:r>
        <w:rPr>
          <w:rFonts w:ascii="Times New Roman" w:hAnsi="Times New Roman" w:cs="Times New Roman"/>
          <w:color w:val="333333"/>
        </w:rPr>
        <w:t>dey</w:t>
      </w:r>
      <w:proofErr w:type="spellEnd"/>
      <w:r>
        <w:rPr>
          <w:rFonts w:ascii="Times New Roman" w:hAnsi="Times New Roman" w:cs="Times New Roman"/>
          <w:color w:val="333333"/>
        </w:rPr>
        <w:t xml:space="preserve"> ’s got a circle ‘</w:t>
      </w:r>
      <w:proofErr w:type="spellStart"/>
      <w:r>
        <w:rPr>
          <w:rFonts w:ascii="Times New Roman" w:hAnsi="Times New Roman" w:cs="Times New Roman"/>
          <w:color w:val="333333"/>
        </w:rPr>
        <w:t>roun</w:t>
      </w:r>
      <w:proofErr w:type="spellEnd"/>
      <w:r>
        <w:rPr>
          <w:rFonts w:ascii="Times New Roman" w:hAnsi="Times New Roman" w:cs="Times New Roman"/>
          <w:color w:val="333333"/>
        </w:rPr>
        <w:t xml:space="preserve">’ you, an’ </w:t>
      </w:r>
      <w:proofErr w:type="spellStart"/>
      <w:r>
        <w:rPr>
          <w:rFonts w:ascii="Times New Roman" w:hAnsi="Times New Roman" w:cs="Times New Roman"/>
          <w:color w:val="333333"/>
        </w:rPr>
        <w:t>you’s</w:t>
      </w:r>
      <w:proofErr w:type="spellEnd"/>
      <w:r>
        <w:rPr>
          <w:rFonts w:ascii="Times New Roman" w:hAnsi="Times New Roman" w:cs="Times New Roman"/>
          <w:color w:val="333333"/>
        </w:rPr>
        <w:t xml:space="preserve"> got to break de </w:t>
      </w:r>
      <w:proofErr w:type="gramStart"/>
      <w:r>
        <w:rPr>
          <w:rFonts w:ascii="Times New Roman" w:hAnsi="Times New Roman" w:cs="Times New Roman"/>
          <w:color w:val="333333"/>
        </w:rPr>
        <w:t>line;</w:t>
      </w:r>
      <w:proofErr w:type="gramEnd"/>
    </w:p>
    <w:p w14:paraId="0EC57DC9"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Well, </w:t>
      </w:r>
      <w:proofErr w:type="spellStart"/>
      <w:r>
        <w:rPr>
          <w:rFonts w:ascii="Times New Roman" w:hAnsi="Times New Roman" w:cs="Times New Roman"/>
          <w:color w:val="333333"/>
        </w:rPr>
        <w:t>dat</w:t>
      </w:r>
      <w:proofErr w:type="spellEnd"/>
      <w:r>
        <w:rPr>
          <w:rFonts w:ascii="Times New Roman" w:hAnsi="Times New Roman" w:cs="Times New Roman"/>
          <w:color w:val="333333"/>
        </w:rPr>
        <w:t xml:space="preserve"> </w:t>
      </w:r>
      <w:proofErr w:type="spellStart"/>
      <w:r>
        <w:rPr>
          <w:rFonts w:ascii="Times New Roman" w:hAnsi="Times New Roman" w:cs="Times New Roman"/>
          <w:color w:val="333333"/>
        </w:rPr>
        <w:t>dahky</w:t>
      </w:r>
      <w:proofErr w:type="spellEnd"/>
      <w:r>
        <w:rPr>
          <w:rFonts w:ascii="Times New Roman" w:hAnsi="Times New Roman" w:cs="Times New Roman"/>
          <w:color w:val="333333"/>
        </w:rPr>
        <w:t xml:space="preserve"> was so anxious, </w:t>
      </w:r>
      <w:proofErr w:type="spellStart"/>
      <w:r>
        <w:rPr>
          <w:rFonts w:ascii="Times New Roman" w:hAnsi="Times New Roman" w:cs="Times New Roman"/>
          <w:color w:val="333333"/>
        </w:rPr>
        <w:t>lak</w:t>
      </w:r>
      <w:proofErr w:type="spellEnd"/>
      <w:r>
        <w:rPr>
          <w:rFonts w:ascii="Times New Roman" w:hAnsi="Times New Roman" w:cs="Times New Roman"/>
          <w:color w:val="333333"/>
        </w:rPr>
        <w:t xml:space="preserve"> to bust </w:t>
      </w:r>
      <w:proofErr w:type="spellStart"/>
      <w:r>
        <w:rPr>
          <w:rFonts w:ascii="Times New Roman" w:hAnsi="Times New Roman" w:cs="Times New Roman"/>
          <w:color w:val="333333"/>
        </w:rPr>
        <w:t>hisse’f</w:t>
      </w:r>
      <w:proofErr w:type="spellEnd"/>
      <w:r>
        <w:rPr>
          <w:rFonts w:ascii="Times New Roman" w:hAnsi="Times New Roman" w:cs="Times New Roman"/>
          <w:color w:val="333333"/>
        </w:rPr>
        <w:t xml:space="preserve"> a–</w:t>
      </w:r>
      <w:proofErr w:type="spellStart"/>
      <w:proofErr w:type="gramStart"/>
      <w:r>
        <w:rPr>
          <w:rFonts w:ascii="Times New Roman" w:hAnsi="Times New Roman" w:cs="Times New Roman"/>
          <w:color w:val="333333"/>
        </w:rPr>
        <w:t>tryin</w:t>
      </w:r>
      <w:proofErr w:type="spellEnd"/>
      <w:r>
        <w:rPr>
          <w:rFonts w:ascii="Times New Roman" w:hAnsi="Times New Roman" w:cs="Times New Roman"/>
          <w:color w:val="333333"/>
        </w:rPr>
        <w:t>’;</w:t>
      </w:r>
      <w:proofErr w:type="gramEnd"/>
    </w:p>
    <w:p w14:paraId="49773A39"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Kep’ on </w:t>
      </w:r>
      <w:proofErr w:type="spellStart"/>
      <w:r>
        <w:rPr>
          <w:rFonts w:ascii="Times New Roman" w:hAnsi="Times New Roman" w:cs="Times New Roman"/>
          <w:color w:val="333333"/>
        </w:rPr>
        <w:t>blund’rin</w:t>
      </w:r>
      <w:proofErr w:type="spellEnd"/>
      <w:r>
        <w:rPr>
          <w:rFonts w:ascii="Times New Roman" w:hAnsi="Times New Roman" w:cs="Times New Roman"/>
          <w:color w:val="333333"/>
        </w:rPr>
        <w:t>’ ‘</w:t>
      </w:r>
      <w:proofErr w:type="spellStart"/>
      <w:r>
        <w:rPr>
          <w:rFonts w:ascii="Times New Roman" w:hAnsi="Times New Roman" w:cs="Times New Roman"/>
          <w:color w:val="333333"/>
        </w:rPr>
        <w:t>roun</w:t>
      </w:r>
      <w:proofErr w:type="spellEnd"/>
      <w:r>
        <w:rPr>
          <w:rFonts w:ascii="Times New Roman" w:hAnsi="Times New Roman" w:cs="Times New Roman"/>
          <w:color w:val="333333"/>
        </w:rPr>
        <w:t xml:space="preserve">’ an’ </w:t>
      </w:r>
      <w:proofErr w:type="spellStart"/>
      <w:r>
        <w:rPr>
          <w:rFonts w:ascii="Times New Roman" w:hAnsi="Times New Roman" w:cs="Times New Roman"/>
          <w:color w:val="333333"/>
        </w:rPr>
        <w:t>foolin</w:t>
      </w:r>
      <w:proofErr w:type="spellEnd"/>
      <w:r>
        <w:rPr>
          <w:rFonts w:ascii="Times New Roman" w:hAnsi="Times New Roman" w:cs="Times New Roman"/>
          <w:color w:val="333333"/>
        </w:rPr>
        <w:t>’ ‘</w:t>
      </w:r>
      <w:proofErr w:type="spellStart"/>
      <w:r>
        <w:rPr>
          <w:rFonts w:ascii="Times New Roman" w:hAnsi="Times New Roman" w:cs="Times New Roman"/>
          <w:color w:val="333333"/>
        </w:rPr>
        <w:t>twell</w:t>
      </w:r>
      <w:proofErr w:type="spellEnd"/>
      <w:r>
        <w:rPr>
          <w:rFonts w:ascii="Times New Roman" w:hAnsi="Times New Roman" w:cs="Times New Roman"/>
          <w:color w:val="333333"/>
        </w:rPr>
        <w:t xml:space="preserve"> he </w:t>
      </w:r>
      <w:proofErr w:type="spellStart"/>
      <w:r>
        <w:rPr>
          <w:rFonts w:ascii="Times New Roman" w:hAnsi="Times New Roman" w:cs="Times New Roman"/>
          <w:color w:val="333333"/>
        </w:rPr>
        <w:t>giv</w:t>
      </w:r>
      <w:proofErr w:type="spellEnd"/>
      <w:r>
        <w:rPr>
          <w:rFonts w:ascii="Times New Roman" w:hAnsi="Times New Roman" w:cs="Times New Roman"/>
          <w:color w:val="333333"/>
        </w:rPr>
        <w:t xml:space="preserve">’ one </w:t>
      </w:r>
      <w:proofErr w:type="spellStart"/>
      <w:r>
        <w:rPr>
          <w:rFonts w:ascii="Times New Roman" w:hAnsi="Times New Roman" w:cs="Times New Roman"/>
          <w:color w:val="333333"/>
        </w:rPr>
        <w:t>gread</w:t>
      </w:r>
      <w:proofErr w:type="spellEnd"/>
      <w:r>
        <w:rPr>
          <w:rFonts w:ascii="Times New Roman" w:hAnsi="Times New Roman" w:cs="Times New Roman"/>
          <w:color w:val="333333"/>
        </w:rPr>
        <w:t xml:space="preserve"> big jump,</w:t>
      </w:r>
    </w:p>
    <w:p w14:paraId="7E018202"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Broke de line, </w:t>
      </w:r>
      <w:proofErr w:type="gramStart"/>
      <w:r>
        <w:rPr>
          <w:rFonts w:ascii="Times New Roman" w:hAnsi="Times New Roman" w:cs="Times New Roman"/>
          <w:color w:val="333333"/>
        </w:rPr>
        <w:t>an</w:t>
      </w:r>
      <w:proofErr w:type="gramEnd"/>
      <w:r>
        <w:rPr>
          <w:rFonts w:ascii="Times New Roman" w:hAnsi="Times New Roman" w:cs="Times New Roman"/>
          <w:color w:val="333333"/>
        </w:rPr>
        <w:t xml:space="preserve"> lit head–</w:t>
      </w:r>
      <w:proofErr w:type="spellStart"/>
      <w:r>
        <w:rPr>
          <w:rFonts w:ascii="Times New Roman" w:hAnsi="Times New Roman" w:cs="Times New Roman"/>
          <w:color w:val="333333"/>
        </w:rPr>
        <w:t>fo’most</w:t>
      </w:r>
      <w:proofErr w:type="spellEnd"/>
      <w:r>
        <w:rPr>
          <w:rFonts w:ascii="Times New Roman" w:hAnsi="Times New Roman" w:cs="Times New Roman"/>
          <w:color w:val="333333"/>
        </w:rPr>
        <w:t xml:space="preserve"> in de </w:t>
      </w:r>
      <w:proofErr w:type="spellStart"/>
      <w:r>
        <w:rPr>
          <w:rFonts w:ascii="Times New Roman" w:hAnsi="Times New Roman" w:cs="Times New Roman"/>
          <w:color w:val="333333"/>
        </w:rPr>
        <w:t>fiah</w:t>
      </w:r>
      <w:proofErr w:type="spellEnd"/>
      <w:r>
        <w:rPr>
          <w:rFonts w:ascii="Times New Roman" w:hAnsi="Times New Roman" w:cs="Times New Roman"/>
          <w:color w:val="333333"/>
        </w:rPr>
        <w:t>–place right plump;</w:t>
      </w:r>
    </w:p>
    <w:p w14:paraId="1AE576BF"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Hit ‘ad </w:t>
      </w:r>
      <w:proofErr w:type="spellStart"/>
      <w:r>
        <w:rPr>
          <w:rFonts w:ascii="Times New Roman" w:hAnsi="Times New Roman" w:cs="Times New Roman"/>
          <w:color w:val="333333"/>
        </w:rPr>
        <w:t>fiah</w:t>
      </w:r>
      <w:proofErr w:type="spellEnd"/>
      <w:r>
        <w:rPr>
          <w:rFonts w:ascii="Times New Roman" w:hAnsi="Times New Roman" w:cs="Times New Roman"/>
          <w:color w:val="333333"/>
        </w:rPr>
        <w:t xml:space="preserve"> in it, mind you; well, I thought my soul I ‘d bust,</w:t>
      </w:r>
    </w:p>
    <w:p w14:paraId="70094624"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Tried my best to keep </w:t>
      </w:r>
      <w:proofErr w:type="spellStart"/>
      <w:r>
        <w:rPr>
          <w:rFonts w:ascii="Times New Roman" w:hAnsi="Times New Roman" w:cs="Times New Roman"/>
          <w:color w:val="333333"/>
        </w:rPr>
        <w:t>f’om</w:t>
      </w:r>
      <w:proofErr w:type="spellEnd"/>
      <w:r>
        <w:rPr>
          <w:rFonts w:ascii="Times New Roman" w:hAnsi="Times New Roman" w:cs="Times New Roman"/>
          <w:color w:val="333333"/>
        </w:rPr>
        <w:t xml:space="preserve"> </w:t>
      </w:r>
      <w:proofErr w:type="spellStart"/>
      <w:r>
        <w:rPr>
          <w:rFonts w:ascii="Times New Roman" w:hAnsi="Times New Roman" w:cs="Times New Roman"/>
          <w:color w:val="333333"/>
        </w:rPr>
        <w:t>laffin</w:t>
      </w:r>
      <w:proofErr w:type="spellEnd"/>
      <w:proofErr w:type="gramStart"/>
      <w:r>
        <w:rPr>
          <w:rFonts w:ascii="Times New Roman" w:hAnsi="Times New Roman" w:cs="Times New Roman"/>
          <w:color w:val="333333"/>
        </w:rPr>
        <w:t>’, but</w:t>
      </w:r>
      <w:proofErr w:type="gramEnd"/>
      <w:r>
        <w:rPr>
          <w:rFonts w:ascii="Times New Roman" w:hAnsi="Times New Roman" w:cs="Times New Roman"/>
          <w:color w:val="333333"/>
        </w:rPr>
        <w:t xml:space="preserve"> </w:t>
      </w:r>
      <w:proofErr w:type="gramStart"/>
      <w:r>
        <w:rPr>
          <w:rFonts w:ascii="Times New Roman" w:hAnsi="Times New Roman" w:cs="Times New Roman"/>
          <w:color w:val="333333"/>
        </w:rPr>
        <w:t>hit</w:t>
      </w:r>
      <w:proofErr w:type="gramEnd"/>
      <w:r>
        <w:rPr>
          <w:rFonts w:ascii="Times New Roman" w:hAnsi="Times New Roman" w:cs="Times New Roman"/>
          <w:color w:val="333333"/>
        </w:rPr>
        <w:t xml:space="preserve"> seemed like die I must!</w:t>
      </w:r>
    </w:p>
    <w:p w14:paraId="2ED4BB3B"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Y’ ought to </w:t>
      </w:r>
      <w:proofErr w:type="gramStart"/>
      <w:r>
        <w:rPr>
          <w:rFonts w:ascii="Times New Roman" w:hAnsi="Times New Roman" w:cs="Times New Roman"/>
          <w:color w:val="333333"/>
        </w:rPr>
        <w:t>seen</w:t>
      </w:r>
      <w:proofErr w:type="gramEnd"/>
      <w:r>
        <w:rPr>
          <w:rFonts w:ascii="Times New Roman" w:hAnsi="Times New Roman" w:cs="Times New Roman"/>
          <w:color w:val="333333"/>
        </w:rPr>
        <w:t xml:space="preserve"> </w:t>
      </w:r>
      <w:proofErr w:type="spellStart"/>
      <w:r>
        <w:rPr>
          <w:rFonts w:ascii="Times New Roman" w:hAnsi="Times New Roman" w:cs="Times New Roman"/>
          <w:color w:val="333333"/>
        </w:rPr>
        <w:t>dat</w:t>
      </w:r>
      <w:proofErr w:type="spellEnd"/>
      <w:r>
        <w:rPr>
          <w:rFonts w:ascii="Times New Roman" w:hAnsi="Times New Roman" w:cs="Times New Roman"/>
          <w:color w:val="333333"/>
        </w:rPr>
        <w:t xml:space="preserve"> man a–</w:t>
      </w:r>
      <w:proofErr w:type="spellStart"/>
      <w:r>
        <w:rPr>
          <w:rFonts w:ascii="Times New Roman" w:hAnsi="Times New Roman" w:cs="Times New Roman"/>
          <w:color w:val="333333"/>
        </w:rPr>
        <w:t>scramblin</w:t>
      </w:r>
      <w:proofErr w:type="spellEnd"/>
      <w:r>
        <w:rPr>
          <w:rFonts w:ascii="Times New Roman" w:hAnsi="Times New Roman" w:cs="Times New Roman"/>
          <w:color w:val="333333"/>
        </w:rPr>
        <w:t xml:space="preserve">’ </w:t>
      </w:r>
      <w:proofErr w:type="spellStart"/>
      <w:r>
        <w:rPr>
          <w:rFonts w:ascii="Times New Roman" w:hAnsi="Times New Roman" w:cs="Times New Roman"/>
          <w:color w:val="333333"/>
        </w:rPr>
        <w:t>f’om</w:t>
      </w:r>
      <w:proofErr w:type="spellEnd"/>
      <w:r>
        <w:rPr>
          <w:rFonts w:ascii="Times New Roman" w:hAnsi="Times New Roman" w:cs="Times New Roman"/>
          <w:color w:val="333333"/>
        </w:rPr>
        <w:t xml:space="preserve"> de ashes an’ de grime.</w:t>
      </w:r>
    </w:p>
    <w:p w14:paraId="321F8C7E"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lastRenderedPageBreak/>
        <w:t xml:space="preserve">Did it </w:t>
      </w:r>
      <w:proofErr w:type="spellStart"/>
      <w:r>
        <w:rPr>
          <w:rFonts w:ascii="Times New Roman" w:hAnsi="Times New Roman" w:cs="Times New Roman"/>
          <w:color w:val="333333"/>
        </w:rPr>
        <w:t>bu’n</w:t>
      </w:r>
      <w:proofErr w:type="spellEnd"/>
      <w:r>
        <w:rPr>
          <w:rFonts w:ascii="Times New Roman" w:hAnsi="Times New Roman" w:cs="Times New Roman"/>
          <w:color w:val="333333"/>
        </w:rPr>
        <w:t xml:space="preserve"> him! </w:t>
      </w:r>
      <w:proofErr w:type="spellStart"/>
      <w:r>
        <w:rPr>
          <w:rFonts w:ascii="Times New Roman" w:hAnsi="Times New Roman" w:cs="Times New Roman"/>
          <w:color w:val="333333"/>
        </w:rPr>
        <w:t>Sich</w:t>
      </w:r>
      <w:proofErr w:type="spellEnd"/>
      <w:r>
        <w:rPr>
          <w:rFonts w:ascii="Times New Roman" w:hAnsi="Times New Roman" w:cs="Times New Roman"/>
          <w:color w:val="333333"/>
        </w:rPr>
        <w:t xml:space="preserve"> a question, why he did </w:t>
      </w:r>
      <w:proofErr w:type="spellStart"/>
      <w:r>
        <w:rPr>
          <w:rFonts w:ascii="Times New Roman" w:hAnsi="Times New Roman" w:cs="Times New Roman"/>
          <w:color w:val="333333"/>
        </w:rPr>
        <w:t>n’t</w:t>
      </w:r>
      <w:proofErr w:type="spellEnd"/>
      <w:r>
        <w:rPr>
          <w:rFonts w:ascii="Times New Roman" w:hAnsi="Times New Roman" w:cs="Times New Roman"/>
          <w:color w:val="333333"/>
        </w:rPr>
        <w:t xml:space="preserve"> give it </w:t>
      </w:r>
      <w:proofErr w:type="gramStart"/>
      <w:r>
        <w:rPr>
          <w:rFonts w:ascii="Times New Roman" w:hAnsi="Times New Roman" w:cs="Times New Roman"/>
          <w:color w:val="333333"/>
        </w:rPr>
        <w:t>time;</w:t>
      </w:r>
      <w:proofErr w:type="gramEnd"/>
    </w:p>
    <w:p w14:paraId="7F5D913D" w14:textId="77777777" w:rsidR="00287C65" w:rsidRDefault="00287C65" w:rsidP="00287C65">
      <w:pPr>
        <w:spacing w:line="480" w:lineRule="auto"/>
        <w:ind w:left="720"/>
        <w:rPr>
          <w:rFonts w:ascii="Times New Roman" w:hAnsi="Times New Roman" w:cs="Times New Roman"/>
          <w:color w:val="333333"/>
        </w:rPr>
      </w:pPr>
      <w:proofErr w:type="spellStart"/>
      <w:r>
        <w:rPr>
          <w:rFonts w:ascii="Times New Roman" w:hAnsi="Times New Roman" w:cs="Times New Roman"/>
          <w:color w:val="333333"/>
        </w:rPr>
        <w:t>Th’ow’d</w:t>
      </w:r>
      <w:proofErr w:type="spellEnd"/>
      <w:r>
        <w:rPr>
          <w:rFonts w:ascii="Times New Roman" w:hAnsi="Times New Roman" w:cs="Times New Roman"/>
          <w:color w:val="333333"/>
        </w:rPr>
        <w:t xml:space="preserve"> dem ashes and dem </w:t>
      </w:r>
      <w:proofErr w:type="spellStart"/>
      <w:r>
        <w:rPr>
          <w:rFonts w:ascii="Times New Roman" w:hAnsi="Times New Roman" w:cs="Times New Roman"/>
          <w:color w:val="333333"/>
        </w:rPr>
        <w:t>cindahs</w:t>
      </w:r>
      <w:proofErr w:type="spellEnd"/>
      <w:r>
        <w:rPr>
          <w:rFonts w:ascii="Times New Roman" w:hAnsi="Times New Roman" w:cs="Times New Roman"/>
          <w:color w:val="333333"/>
        </w:rPr>
        <w:t xml:space="preserve"> </w:t>
      </w:r>
      <w:proofErr w:type="spellStart"/>
      <w:r>
        <w:rPr>
          <w:rFonts w:ascii="Times New Roman" w:hAnsi="Times New Roman" w:cs="Times New Roman"/>
          <w:color w:val="333333"/>
        </w:rPr>
        <w:t>evah</w:t>
      </w:r>
      <w:proofErr w:type="spellEnd"/>
      <w:r>
        <w:rPr>
          <w:rFonts w:ascii="Times New Roman" w:hAnsi="Times New Roman" w:cs="Times New Roman"/>
          <w:color w:val="333333"/>
        </w:rPr>
        <w:t xml:space="preserve"> which–a–way I guess,</w:t>
      </w:r>
    </w:p>
    <w:p w14:paraId="4399DEB3"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An’ you </w:t>
      </w:r>
      <w:proofErr w:type="spellStart"/>
      <w:r>
        <w:rPr>
          <w:rFonts w:ascii="Times New Roman" w:hAnsi="Times New Roman" w:cs="Times New Roman"/>
          <w:color w:val="333333"/>
        </w:rPr>
        <w:t>nevah</w:t>
      </w:r>
      <w:proofErr w:type="spellEnd"/>
      <w:r>
        <w:rPr>
          <w:rFonts w:ascii="Times New Roman" w:hAnsi="Times New Roman" w:cs="Times New Roman"/>
          <w:color w:val="333333"/>
        </w:rPr>
        <w:t xml:space="preserve"> did, I reckon, clap </w:t>
      </w:r>
      <w:proofErr w:type="spellStart"/>
      <w:r>
        <w:rPr>
          <w:rFonts w:ascii="Times New Roman" w:hAnsi="Times New Roman" w:cs="Times New Roman"/>
          <w:color w:val="333333"/>
        </w:rPr>
        <w:t>yo</w:t>
      </w:r>
      <w:proofErr w:type="spellEnd"/>
      <w:r>
        <w:rPr>
          <w:rFonts w:ascii="Times New Roman" w:hAnsi="Times New Roman" w:cs="Times New Roman"/>
          <w:color w:val="333333"/>
        </w:rPr>
        <w:t xml:space="preserve">’ eyes on </w:t>
      </w:r>
      <w:proofErr w:type="spellStart"/>
      <w:r>
        <w:rPr>
          <w:rFonts w:ascii="Times New Roman" w:hAnsi="Times New Roman" w:cs="Times New Roman"/>
          <w:color w:val="333333"/>
        </w:rPr>
        <w:t>sich</w:t>
      </w:r>
      <w:proofErr w:type="spellEnd"/>
      <w:r>
        <w:rPr>
          <w:rFonts w:ascii="Times New Roman" w:hAnsi="Times New Roman" w:cs="Times New Roman"/>
          <w:color w:val="333333"/>
        </w:rPr>
        <w:t xml:space="preserve"> a </w:t>
      </w:r>
      <w:proofErr w:type="gramStart"/>
      <w:r>
        <w:rPr>
          <w:rFonts w:ascii="Times New Roman" w:hAnsi="Times New Roman" w:cs="Times New Roman"/>
          <w:color w:val="333333"/>
        </w:rPr>
        <w:t>mess;</w:t>
      </w:r>
      <w:proofErr w:type="gramEnd"/>
    </w:p>
    <w:p w14:paraId="01015784" w14:textId="77777777" w:rsidR="00287C65" w:rsidRDefault="00287C65" w:rsidP="00287C65">
      <w:pPr>
        <w:spacing w:line="480" w:lineRule="auto"/>
        <w:ind w:left="720"/>
        <w:rPr>
          <w:rFonts w:ascii="Times New Roman" w:hAnsi="Times New Roman" w:cs="Times New Roman"/>
          <w:color w:val="333333"/>
        </w:rPr>
      </w:pPr>
      <w:r>
        <w:rPr>
          <w:rFonts w:ascii="Times New Roman" w:hAnsi="Times New Roman" w:cs="Times New Roman"/>
          <w:color w:val="333333"/>
        </w:rPr>
        <w:t xml:space="preserve">Fu’ he </w:t>
      </w:r>
      <w:proofErr w:type="spellStart"/>
      <w:r>
        <w:rPr>
          <w:rFonts w:ascii="Times New Roman" w:hAnsi="Times New Roman" w:cs="Times New Roman"/>
          <w:color w:val="333333"/>
        </w:rPr>
        <w:t>sholy</w:t>
      </w:r>
      <w:proofErr w:type="spellEnd"/>
      <w:r>
        <w:rPr>
          <w:rFonts w:ascii="Times New Roman" w:hAnsi="Times New Roman" w:cs="Times New Roman"/>
          <w:color w:val="333333"/>
        </w:rPr>
        <w:t xml:space="preserve"> made a </w:t>
      </w:r>
      <w:proofErr w:type="spellStart"/>
      <w:r>
        <w:rPr>
          <w:rFonts w:ascii="Times New Roman" w:hAnsi="Times New Roman" w:cs="Times New Roman"/>
          <w:color w:val="333333"/>
        </w:rPr>
        <w:t>picter</w:t>
      </w:r>
      <w:proofErr w:type="spellEnd"/>
      <w:r>
        <w:rPr>
          <w:rFonts w:ascii="Times New Roman" w:hAnsi="Times New Roman" w:cs="Times New Roman"/>
          <w:color w:val="333333"/>
        </w:rPr>
        <w:t xml:space="preserve"> an’ a funny one to boot,</w:t>
      </w:r>
    </w:p>
    <w:p w14:paraId="2B87184E" w14:textId="77777777" w:rsidR="00287C65" w:rsidRDefault="00287C65" w:rsidP="00287C65">
      <w:pPr>
        <w:spacing w:line="480" w:lineRule="auto"/>
        <w:ind w:left="720"/>
        <w:rPr>
          <w:rFonts w:ascii="Times New Roman" w:hAnsi="Times New Roman" w:cs="Times New Roman"/>
          <w:color w:val="231F20"/>
        </w:rPr>
      </w:pPr>
      <w:proofErr w:type="spellStart"/>
      <w:r>
        <w:rPr>
          <w:rFonts w:ascii="Times New Roman" w:hAnsi="Times New Roman" w:cs="Times New Roman"/>
          <w:color w:val="333333"/>
        </w:rPr>
        <w:t>Wif</w:t>
      </w:r>
      <w:proofErr w:type="spellEnd"/>
      <w:r>
        <w:rPr>
          <w:rFonts w:ascii="Times New Roman" w:hAnsi="Times New Roman" w:cs="Times New Roman"/>
          <w:color w:val="333333"/>
        </w:rPr>
        <w:t xml:space="preserve"> his clothes all full o’ ashes an’ his face all full o’ soot. (83)</w:t>
      </w:r>
    </w:p>
    <w:p w14:paraId="6566C202" w14:textId="77777777" w:rsidR="00287C65" w:rsidRDefault="00287C65" w:rsidP="00287C65">
      <w:pPr>
        <w:spacing w:line="480" w:lineRule="auto"/>
        <w:ind w:firstLine="720"/>
        <w:rPr>
          <w:rFonts w:ascii="Times New Roman" w:hAnsi="Times New Roman" w:cs="Times New Roman"/>
          <w:color w:val="231F20"/>
        </w:rPr>
      </w:pPr>
      <w:r>
        <w:rPr>
          <w:rFonts w:ascii="Times New Roman" w:hAnsi="Times New Roman" w:cs="Times New Roman"/>
          <w:color w:val="231F20"/>
        </w:rPr>
        <w:t xml:space="preserve">The speaker presents Scott’s story in such a way that it opens an epistemic gulf between the reader and full understanding of the action of the poem. Beginning with line 44, “You know when </w:t>
      </w:r>
      <w:proofErr w:type="spellStart"/>
      <w:r>
        <w:rPr>
          <w:rFonts w:ascii="Times New Roman" w:hAnsi="Times New Roman" w:cs="Times New Roman"/>
          <w:color w:val="231F20"/>
        </w:rPr>
        <w:t>dey</w:t>
      </w:r>
      <w:proofErr w:type="spellEnd"/>
      <w:r>
        <w:rPr>
          <w:rFonts w:ascii="Times New Roman" w:hAnsi="Times New Roman" w:cs="Times New Roman"/>
          <w:color w:val="231F20"/>
        </w:rPr>
        <w:t xml:space="preserve"> gets to </w:t>
      </w:r>
      <w:proofErr w:type="spellStart"/>
      <w:r>
        <w:rPr>
          <w:rFonts w:ascii="Times New Roman" w:hAnsi="Times New Roman" w:cs="Times New Roman"/>
          <w:color w:val="231F20"/>
        </w:rPr>
        <w:t>singin</w:t>
      </w:r>
      <w:proofErr w:type="spellEnd"/>
      <w:r>
        <w:rPr>
          <w:rFonts w:ascii="Times New Roman" w:hAnsi="Times New Roman" w:cs="Times New Roman"/>
          <w:color w:val="231F20"/>
        </w:rPr>
        <w:t>’...” the speaker switches to a tone of intimate familiarity. Details cease to be specific and begin to rely on shared memory. The song the speaker sings is a “ring-song” called “Built My Lady a Fine Brick House,” or just “Fine Brick House.” As folklorist Edwin F. Piper describes them, such songs were sung to keep time and rhythm in high choreographed “dance games.” No central authority existed for either the songs or the dances, making them community performances</w:t>
      </w:r>
      <w:r>
        <w:rPr>
          <w:rStyle w:val="CommentReference"/>
          <w:rFonts w:eastAsiaTheme="majorEastAsia"/>
        </w:rPr>
        <w:t xml:space="preserve"> </w:t>
      </w:r>
      <w:r>
        <w:rPr>
          <w:rFonts w:ascii="Times New Roman" w:hAnsi="Times New Roman" w:cs="Times New Roman"/>
          <w:color w:val="231F20"/>
        </w:rPr>
        <w:t xml:space="preserve">handed down from person to person through tradition and repetitious play (265). The speaker’s familiar tone reinforces the folk nature of the song and dance. The effect here is to create an in-group and out-group made of those who “get it” and those who don’t. </w:t>
      </w:r>
      <w:r w:rsidRPr="00C5410A">
        <w:rPr>
          <w:rFonts w:ascii="Times New Roman" w:hAnsi="Times New Roman" w:cs="Times New Roman"/>
          <w:color w:val="231F20"/>
        </w:rPr>
        <w:t>While knowing how the dan</w:t>
      </w:r>
      <w:r>
        <w:rPr>
          <w:rFonts w:ascii="Times New Roman" w:hAnsi="Times New Roman" w:cs="Times New Roman"/>
          <w:color w:val="231F20"/>
        </w:rPr>
        <w:t xml:space="preserve">ce is supposed to go surely adds to the humor of the scene, more important than recognizing the song is recognizing that the speaker doesn’t identify the song for the reader. Another refusal. </w:t>
      </w:r>
    </w:p>
    <w:p w14:paraId="322DAD01" w14:textId="77777777" w:rsidR="00287C65" w:rsidRDefault="00287C65" w:rsidP="00287C65">
      <w:pPr>
        <w:spacing w:line="480" w:lineRule="auto"/>
        <w:rPr>
          <w:rFonts w:ascii="Times New Roman" w:hAnsi="Times New Roman" w:cs="Times New Roman"/>
          <w:color w:val="231F20"/>
        </w:rPr>
      </w:pPr>
      <w:r>
        <w:rPr>
          <w:rFonts w:ascii="Times New Roman" w:hAnsi="Times New Roman" w:cs="Times New Roman"/>
          <w:color w:val="231F20"/>
        </w:rPr>
        <w:tab/>
        <w:t xml:space="preserve">Without specific cultural foreknowledge, the reader is alienated. This is another way the speaker exercises representational control over the narrative. The poem then </w:t>
      </w:r>
      <w:r>
        <w:rPr>
          <w:rFonts w:ascii="Times New Roman" w:hAnsi="Times New Roman" w:cs="Times New Roman"/>
          <w:color w:val="231F20"/>
        </w:rPr>
        <w:lastRenderedPageBreak/>
        <w:t>confronts the reader with the embodiment of their epistemic alienation in the final image of the humiliated Scott Thomas, pulling himself from the fireplace, with his face covered in soot. Scott evokes the burnt cork white minstrels would use to darken their skin for blackface performances, the ultimate symbol of whites’ arrogant presumption of privileged access to and racial knowledge of Black life. In his eagerness to participate in the ring dance despite not knowing the steps—that is, in his eager desire for immediate transparency and access to specific, intimate cultural knowledge—Scott Thomas already represents the white gaze. Rendering that figure again as a minstrel in blackface is the ultimate decentering of whiteness and rejection white folks’ “knowledge” of Blackness. The poem asserts that even as they claim racial superiority, cultural outsiders (such as the elite white mis-readers of Dunbar’s poetry) will only ever “only see us, while / We wear the mask.”</w:t>
      </w:r>
    </w:p>
    <w:p w14:paraId="1D52D6E2" w14:textId="77777777" w:rsidR="00287C65" w:rsidRPr="009C0F29" w:rsidRDefault="00287C65" w:rsidP="00287C65">
      <w:pPr>
        <w:pStyle w:val="Heading2"/>
        <w:jc w:val="center"/>
        <w:rPr>
          <w:rFonts w:ascii="Times New Roman" w:hAnsi="Times New Roman" w:cs="Times New Roman"/>
          <w:bCs/>
          <w:color w:val="auto"/>
          <w:sz w:val="24"/>
          <w:szCs w:val="24"/>
        </w:rPr>
      </w:pPr>
      <w:bookmarkStart w:id="78" w:name="_Toc169279180"/>
      <w:r w:rsidRPr="009C0F29">
        <w:rPr>
          <w:rFonts w:ascii="Times New Roman" w:hAnsi="Times New Roman" w:cs="Times New Roman"/>
          <w:b/>
          <w:bCs/>
          <w:color w:val="auto"/>
          <w:sz w:val="24"/>
          <w:szCs w:val="24"/>
        </w:rPr>
        <w:t>Joy in the Language</w:t>
      </w:r>
      <w:bookmarkEnd w:id="78"/>
    </w:p>
    <w:p w14:paraId="5623E97C" w14:textId="77777777" w:rsidR="009C0F29" w:rsidRDefault="009C0F29" w:rsidP="00287C65">
      <w:pPr>
        <w:spacing w:line="480" w:lineRule="auto"/>
        <w:ind w:firstLine="720"/>
        <w:rPr>
          <w:rFonts w:ascii="Times New Roman" w:hAnsi="Times New Roman" w:cs="Times New Roman"/>
          <w:color w:val="231F20"/>
        </w:rPr>
      </w:pPr>
    </w:p>
    <w:p w14:paraId="0E0A5593" w14:textId="0FB60D2B" w:rsidR="00287C65" w:rsidRDefault="00287C65" w:rsidP="00287C65">
      <w:pPr>
        <w:spacing w:line="480" w:lineRule="auto"/>
        <w:ind w:firstLine="720"/>
        <w:rPr>
          <w:rFonts w:ascii="Times New Roman" w:hAnsi="Times New Roman" w:cs="Times New Roman"/>
          <w:color w:val="231F20"/>
        </w:rPr>
      </w:pPr>
      <w:r>
        <w:rPr>
          <w:rFonts w:ascii="Times New Roman" w:hAnsi="Times New Roman" w:cs="Times New Roman"/>
          <w:color w:val="231F20"/>
        </w:rPr>
        <w:t xml:space="preserve">There is an interesting connection between how “The Party” presents the underground, intracultural oral transmission of the ring dance and the afterlife of the poem itself. In the one hundred years since its publication, “The Party” has circulated within Black families, has been passed down from parents and grandparents to children, and recited between friends. It has almost become folklore itself, a piece of Black Americana. In an essay about Dunbar and his legacy among contemporary Black poets, poet and Yale Professor of </w:t>
      </w:r>
      <w:proofErr w:type="gramStart"/>
      <w:r>
        <w:rPr>
          <w:rFonts w:ascii="Times New Roman" w:hAnsi="Times New Roman" w:cs="Times New Roman"/>
          <w:color w:val="231F20"/>
        </w:rPr>
        <w:t>African-American</w:t>
      </w:r>
      <w:proofErr w:type="gramEnd"/>
      <w:r>
        <w:rPr>
          <w:rFonts w:ascii="Times New Roman" w:hAnsi="Times New Roman" w:cs="Times New Roman"/>
          <w:color w:val="231F20"/>
        </w:rPr>
        <w:t xml:space="preserve"> studies Elizabeth Alexander remembers </w:t>
      </w:r>
      <w:r>
        <w:rPr>
          <w:rFonts w:ascii="Times New Roman" w:hAnsi="Times New Roman" w:cs="Times New Roman"/>
          <w:color w:val="231F20"/>
        </w:rPr>
        <w:lastRenderedPageBreak/>
        <w:t xml:space="preserve">how, when she was a child, her father “would occasionally recite Paul Laurence Dunbar's “The Party”...joyfully and apropos of nothing but exuberance” (395). Later in her life, Alexander writes, she discovered in conversation with another poet, a friend, that </w:t>
      </w:r>
      <w:r>
        <w:rPr>
          <w:rFonts w:ascii="Times New Roman" w:hAnsi="Times New Roman" w:cs="Times New Roman"/>
          <w:i/>
          <w:color w:val="231F20"/>
        </w:rPr>
        <w:t>her</w:t>
      </w:r>
      <w:r>
        <w:rPr>
          <w:rFonts w:ascii="Times New Roman" w:hAnsi="Times New Roman" w:cs="Times New Roman"/>
          <w:color w:val="231F20"/>
        </w:rPr>
        <w:t xml:space="preserve"> father spontaneously recited “The Party,” too.</w:t>
      </w:r>
      <w:r>
        <w:rPr>
          <w:rStyle w:val="FootnoteReference"/>
          <w:rFonts w:ascii="Times New Roman" w:hAnsi="Times New Roman" w:cs="Times New Roman"/>
          <w:color w:val="231F20"/>
        </w:rPr>
        <w:footnoteReference w:id="93"/>
      </w:r>
      <w:r>
        <w:rPr>
          <w:rFonts w:ascii="Times New Roman" w:hAnsi="Times New Roman" w:cs="Times New Roman"/>
          <w:color w:val="231F20"/>
        </w:rPr>
        <w:t xml:space="preserve"> “This sameness was surprising to both of us,” Alexander writes; “I had thought of my father's recitation as being unique to our family, part of our own particular orality, our family syllabus. But the coincidence…gave me a sense of Dunbar as a poet whose legacy was intimately related to black home space and oral practice” (395). Wondering where her father had learned “The Party” and what it meant to him, Alexander asked him: “he said “The Party” was…a poem that many of his Harlem friends knew. In his group of boys, he said, you knew that ‘if you recited it, someone would join in with </w:t>
      </w:r>
      <w:proofErr w:type="gramStart"/>
      <w:r>
        <w:rPr>
          <w:rFonts w:ascii="Times New Roman" w:hAnsi="Times New Roman" w:cs="Times New Roman"/>
          <w:color w:val="231F20"/>
        </w:rPr>
        <w:t>you’”</w:t>
      </w:r>
      <w:proofErr w:type="gramEnd"/>
      <w:r>
        <w:rPr>
          <w:rFonts w:ascii="Times New Roman" w:hAnsi="Times New Roman" w:cs="Times New Roman"/>
          <w:color w:val="231F20"/>
        </w:rPr>
        <w:t xml:space="preserve"> (396). Like the speaker and partygoers in the poem, Alexander’s father and his friends were “being black together, marking black space with this poem” (396). </w:t>
      </w:r>
    </w:p>
    <w:p w14:paraId="3D81A818" w14:textId="77777777" w:rsidR="00287C65" w:rsidRDefault="00287C65" w:rsidP="00287C65">
      <w:pPr>
        <w:spacing w:line="480" w:lineRule="auto"/>
        <w:rPr>
          <w:rFonts w:ascii="Times New Roman" w:hAnsi="Times New Roman" w:cs="Times New Roman"/>
          <w:color w:val="231F20"/>
        </w:rPr>
      </w:pPr>
      <w:r>
        <w:rPr>
          <w:rFonts w:ascii="Times New Roman" w:hAnsi="Times New Roman" w:cs="Times New Roman"/>
          <w:color w:val="231F20"/>
        </w:rPr>
        <w:tab/>
        <w:t xml:space="preserve">The New York-based singer and storyteller Karen Wilson also attests to the virality and “particular orality” of Dunbar’s poem. In an interview recorded in 1999 as part of Boston University’s Favorite Poems Project, Wilson recounts a story similar Alexander’s: </w:t>
      </w:r>
    </w:p>
    <w:p w14:paraId="321A6355" w14:textId="77777777" w:rsidR="00287C65" w:rsidRDefault="00287C65" w:rsidP="00287C65">
      <w:pPr>
        <w:spacing w:line="480" w:lineRule="auto"/>
        <w:ind w:left="720"/>
        <w:rPr>
          <w:rFonts w:ascii="Times New Roman" w:hAnsi="Times New Roman" w:cs="Times New Roman"/>
          <w:color w:val="231F20"/>
        </w:rPr>
      </w:pPr>
      <w:r>
        <w:rPr>
          <w:rFonts w:ascii="Times New Roman" w:hAnsi="Times New Roman" w:cs="Times New Roman"/>
          <w:color w:val="231F20"/>
        </w:rPr>
        <w:t xml:space="preserve">This poem was given to me by my </w:t>
      </w:r>
      <w:proofErr w:type="gramStart"/>
      <w:r>
        <w:rPr>
          <w:rFonts w:ascii="Times New Roman" w:hAnsi="Times New Roman" w:cs="Times New Roman"/>
          <w:color w:val="231F20"/>
        </w:rPr>
        <w:t>mother,</w:t>
      </w:r>
      <w:proofErr w:type="gramEnd"/>
      <w:r>
        <w:rPr>
          <w:rFonts w:ascii="Times New Roman" w:hAnsi="Times New Roman" w:cs="Times New Roman"/>
          <w:color w:val="231F20"/>
        </w:rPr>
        <w:t xml:space="preserve"> first. She would hold my hand as we walked from Broadway to Amsterdam on 150th Street in New York City, in Harlem…And she would speak in her normal kind of Virginia—very, almost </w:t>
      </w:r>
      <w:r>
        <w:rPr>
          <w:rFonts w:ascii="Times New Roman" w:hAnsi="Times New Roman" w:cs="Times New Roman"/>
          <w:color w:val="231F20"/>
        </w:rPr>
        <w:lastRenderedPageBreak/>
        <w:t xml:space="preserve">British—speech. But then she would just start: </w:t>
      </w:r>
      <w:r>
        <w:rPr>
          <w:rFonts w:ascii="Times New Roman" w:hAnsi="Times New Roman" w:cs="Times New Roman"/>
          <w:i/>
          <w:color w:val="231F20"/>
        </w:rPr>
        <w:t xml:space="preserve">Dey had a </w:t>
      </w:r>
      <w:proofErr w:type="spellStart"/>
      <w:r>
        <w:rPr>
          <w:rFonts w:ascii="Times New Roman" w:hAnsi="Times New Roman" w:cs="Times New Roman"/>
          <w:i/>
          <w:color w:val="231F20"/>
        </w:rPr>
        <w:t>gread</w:t>
      </w:r>
      <w:proofErr w:type="spellEnd"/>
      <w:r>
        <w:rPr>
          <w:rFonts w:ascii="Times New Roman" w:hAnsi="Times New Roman" w:cs="Times New Roman"/>
          <w:i/>
          <w:color w:val="231F20"/>
        </w:rPr>
        <w:t xml:space="preserve"> big </w:t>
      </w:r>
      <w:proofErr w:type="spellStart"/>
      <w:r>
        <w:rPr>
          <w:rFonts w:ascii="Times New Roman" w:hAnsi="Times New Roman" w:cs="Times New Roman"/>
          <w:i/>
          <w:color w:val="231F20"/>
        </w:rPr>
        <w:t>pahty</w:t>
      </w:r>
      <w:proofErr w:type="spellEnd"/>
      <w:r>
        <w:rPr>
          <w:rFonts w:ascii="Times New Roman" w:hAnsi="Times New Roman" w:cs="Times New Roman"/>
          <w:i/>
          <w:color w:val="231F20"/>
        </w:rPr>
        <w:t xml:space="preserve"> down to Tom’s de </w:t>
      </w:r>
      <w:proofErr w:type="spellStart"/>
      <w:r>
        <w:rPr>
          <w:rFonts w:ascii="Times New Roman" w:hAnsi="Times New Roman" w:cs="Times New Roman"/>
          <w:i/>
          <w:color w:val="231F20"/>
        </w:rPr>
        <w:t>othah</w:t>
      </w:r>
      <w:proofErr w:type="spellEnd"/>
      <w:r>
        <w:rPr>
          <w:rFonts w:ascii="Times New Roman" w:hAnsi="Times New Roman" w:cs="Times New Roman"/>
          <w:i/>
          <w:color w:val="231F20"/>
        </w:rPr>
        <w:t xml:space="preserve"> night; Was I dah? You bet! </w:t>
      </w:r>
      <w:r>
        <w:rPr>
          <w:rFonts w:ascii="Times New Roman" w:hAnsi="Times New Roman" w:cs="Times New Roman"/>
          <w:color w:val="231F20"/>
        </w:rPr>
        <w:t>And then she would tell me, “That’s by Paul Laurence Dunbar.” (Wilson)</w:t>
      </w:r>
    </w:p>
    <w:p w14:paraId="396179B6" w14:textId="77777777" w:rsidR="00287C65" w:rsidRDefault="00287C65" w:rsidP="00287C65">
      <w:pPr>
        <w:spacing w:line="480" w:lineRule="auto"/>
        <w:rPr>
          <w:rFonts w:ascii="Times New Roman" w:hAnsi="Times New Roman" w:cs="Times New Roman"/>
          <w:color w:val="231F20"/>
        </w:rPr>
      </w:pPr>
      <w:r>
        <w:rPr>
          <w:rFonts w:ascii="Times New Roman" w:hAnsi="Times New Roman" w:cs="Times New Roman"/>
          <w:color w:val="231F20"/>
        </w:rPr>
        <w:t xml:space="preserve">Wilson’s mother’s recitations of “The Party” were part of a larger intergenerational “passing down” between her mother and her daughter. For her, the poem represents “a sense of culture and joy in the language, joy </w:t>
      </w:r>
      <w:r>
        <w:rPr>
          <w:rFonts w:ascii="Times New Roman" w:hAnsi="Times New Roman" w:cs="Times New Roman"/>
          <w:i/>
          <w:color w:val="231F20"/>
        </w:rPr>
        <w:t xml:space="preserve">in </w:t>
      </w:r>
      <w:r>
        <w:rPr>
          <w:rFonts w:ascii="Times New Roman" w:hAnsi="Times New Roman" w:cs="Times New Roman"/>
          <w:color w:val="231F20"/>
        </w:rPr>
        <w:t xml:space="preserve">language” that was passed down within her family (Wilson). </w:t>
      </w:r>
    </w:p>
    <w:p w14:paraId="6B87200B" w14:textId="77777777" w:rsidR="00287C65" w:rsidRDefault="00287C65" w:rsidP="00287C65">
      <w:pPr>
        <w:spacing w:line="480" w:lineRule="auto"/>
        <w:rPr>
          <w:rFonts w:ascii="Times New Roman" w:hAnsi="Times New Roman" w:cs="Times New Roman"/>
          <w:color w:val="231F20"/>
        </w:rPr>
      </w:pPr>
      <w:r>
        <w:rPr>
          <w:rFonts w:ascii="Times New Roman" w:hAnsi="Times New Roman" w:cs="Times New Roman"/>
          <w:color w:val="231F20"/>
        </w:rPr>
        <w:tab/>
        <w:t xml:space="preserve">Alexander’s and Wilson’s relationships to “The Party” point to how the Black dialect and humor in Dunbar’s poems are in themselves acts of self-definition. At a time when Black speech was pathologized by educators and bastardized by white minstrels to demean and mock Black Americans’ efforts to defend their civil rights, Dunbar refuses to be alienated from Black speech. As Caroline Gebhard writes, “Dunbar understandably viewed black dialect as his patrimony. In it, he saw far more than a way to reach white audiences: the true inheritors of this speech…were African Americans like himself” (165). As I have shown through my readings of his poetry, Dunbar used dialect to decenter white definitions of Blackness as sorrowful, nostalgic, tragic, or naive. Instead, he explored Black domestic spaces defined by care, love, and the joy of shared experiences. He refused the dour abolitionist discourses of plantation life to picture lively party scenes where enslaved people marked Black space through dancing, stories, and laughter. Though he faced the obstinate ignorance of white critics who condescended to </w:t>
      </w:r>
      <w:r>
        <w:rPr>
          <w:rFonts w:ascii="Times New Roman" w:hAnsi="Times New Roman" w:cs="Times New Roman"/>
          <w:color w:val="231F20"/>
        </w:rPr>
        <w:lastRenderedPageBreak/>
        <w:t>him about the meaning of Black speech and the “truth” of Black life, Dunbar refuses and makes his language the site of joy and pleasure.</w:t>
      </w:r>
    </w:p>
    <w:p w14:paraId="39E53989" w14:textId="77777777" w:rsidR="00287C65" w:rsidRDefault="00287C65" w:rsidP="00287C65">
      <w:pPr>
        <w:spacing w:line="480" w:lineRule="auto"/>
        <w:rPr>
          <w:rFonts w:ascii="Times New Roman" w:hAnsi="Times New Roman" w:cs="Times New Roman"/>
          <w:color w:val="111111"/>
        </w:rPr>
      </w:pPr>
      <w:bookmarkStart w:id="79" w:name="_d2x1bs3jexgm" w:colFirst="0" w:colLast="0"/>
      <w:bookmarkEnd w:id="79"/>
      <w:r>
        <w:rPr>
          <w:rFonts w:ascii="Times New Roman" w:hAnsi="Times New Roman" w:cs="Times New Roman"/>
          <w:color w:val="111111"/>
        </w:rPr>
        <w:tab/>
        <w:t xml:space="preserve">The joyful domestic spaces Dunbar conjures in these poems are thus similar to the Muscogee sofky pot that recurs throughout the Fus Fixico Letters.  The sofky pot announces a politics that rejects the progressive/conservative binary that constrains our thinking of Native political subjectivity. Imagining Native political agency as always either progressive or conservative/traditionalist contains the possibility for meaningful political activism to some position on a spectrum that always centers assimilation to the American system. Even as they address territorial politics, the Fus Fixico Letters foregrounds how Muscogee people relate to each other, rather than to the United States. In focusing on the continuity of Muscogee culture rather than on its interruption or erasure, the Letters unsettle the notion that the only way forward for the Muscogee people lies in political recognition by the U.S. state. Typically, scholars have interpreted the Letters’ satirical humor as working against the assimilatory pressures of allotment and statehood, either as acts of resistance or as a salve that helps dull the pain of oppression. As I have shown, humor also structures the generative community space of the sofky pot, articulating Muscogees’ relationality to the people and the future that often refuses political recognition as the basic terms of its existence. </w:t>
      </w:r>
    </w:p>
    <w:p w14:paraId="29DD1A35" w14:textId="77777777" w:rsidR="00287C65" w:rsidRDefault="00287C65" w:rsidP="00287C65">
      <w:pPr>
        <w:spacing w:line="480" w:lineRule="auto"/>
        <w:rPr>
          <w:rFonts w:ascii="Times New Roman" w:hAnsi="Times New Roman" w:cs="Times New Roman"/>
          <w:color w:val="111111"/>
        </w:rPr>
      </w:pPr>
      <w:r>
        <w:rPr>
          <w:rFonts w:ascii="Times New Roman" w:hAnsi="Times New Roman" w:cs="Times New Roman"/>
          <w:color w:val="111111"/>
        </w:rPr>
        <w:tab/>
        <w:t xml:space="preserve"> </w:t>
      </w:r>
      <w:bookmarkStart w:id="80" w:name="_yyypua155vws" w:colFirst="0" w:colLast="0"/>
      <w:bookmarkEnd w:id="80"/>
    </w:p>
    <w:p w14:paraId="5A0A5A80" w14:textId="1D17A1CB" w:rsidR="00287C65" w:rsidRDefault="00287C65" w:rsidP="00287C65"/>
    <w:p w14:paraId="78FF4256" w14:textId="77777777" w:rsidR="00AC7D90" w:rsidRDefault="00AC7D90" w:rsidP="00AC7D90">
      <w:pPr>
        <w:pStyle w:val="Body"/>
        <w:spacing w:line="480" w:lineRule="auto"/>
        <w:rPr>
          <w:rStyle w:val="None"/>
          <w:rFonts w:ascii="Times New Roman" w:hAnsi="Times New Roman" w:cs="Times New Roman"/>
          <w:sz w:val="24"/>
          <w:szCs w:val="24"/>
        </w:rPr>
      </w:pPr>
    </w:p>
    <w:p w14:paraId="7AF7EBC7" w14:textId="77777777" w:rsidR="00AC7D90" w:rsidRPr="00AC7D90" w:rsidRDefault="00AC7D90" w:rsidP="00AC7D90">
      <w:pPr>
        <w:pStyle w:val="Body"/>
        <w:spacing w:line="480" w:lineRule="auto"/>
        <w:rPr>
          <w:rStyle w:val="None"/>
          <w:rFonts w:ascii="Times New Roman" w:eastAsia="Times New Roman" w:hAnsi="Times New Roman" w:cs="Times New Roman"/>
          <w:sz w:val="24"/>
          <w:szCs w:val="24"/>
        </w:rPr>
      </w:pPr>
    </w:p>
    <w:p w14:paraId="4EE1D812" w14:textId="1957209C" w:rsidR="00CB11FC" w:rsidRPr="00CB11FC" w:rsidRDefault="00CB11FC" w:rsidP="00AC7D90">
      <w:pPr>
        <w:spacing w:after="160" w:line="259" w:lineRule="auto"/>
        <w:rPr>
          <w:rStyle w:val="None"/>
          <w:rFonts w:ascii="Times New Roman" w:hAnsi="Times New Roman" w:cs="Times New Roman"/>
          <w:b/>
          <w:bCs/>
        </w:rPr>
      </w:pPr>
      <w:r>
        <w:rPr>
          <w:rStyle w:val="None"/>
          <w:rFonts w:ascii="Times New Roman" w:hAnsi="Times New Roman" w:cs="Times New Roman"/>
          <w:b/>
          <w:bCs/>
        </w:rPr>
        <w:lastRenderedPageBreak/>
        <w:br w:type="page"/>
      </w:r>
    </w:p>
    <w:p w14:paraId="725D8687" w14:textId="70999479" w:rsidR="00274B3F" w:rsidRPr="00AC7D90" w:rsidRDefault="00A86630" w:rsidP="00AC7D90">
      <w:pPr>
        <w:pStyle w:val="Heading1"/>
        <w:jc w:val="center"/>
        <w:rPr>
          <w:rStyle w:val="None"/>
          <w:rFonts w:ascii="Times New Roman" w:eastAsia="Times New Roman" w:hAnsi="Times New Roman" w:cs="Times New Roman"/>
          <w:b/>
          <w:bCs/>
          <w:color w:val="auto"/>
          <w:sz w:val="24"/>
          <w:szCs w:val="24"/>
        </w:rPr>
      </w:pPr>
      <w:bookmarkStart w:id="81" w:name="_Toc169279181"/>
      <w:r w:rsidRPr="00AC7D90">
        <w:rPr>
          <w:rStyle w:val="None"/>
          <w:rFonts w:ascii="Times New Roman" w:eastAsia="Times New Roman" w:hAnsi="Times New Roman" w:cs="Times New Roman"/>
          <w:b/>
          <w:bCs/>
          <w:color w:val="auto"/>
          <w:sz w:val="24"/>
          <w:szCs w:val="24"/>
        </w:rPr>
        <w:lastRenderedPageBreak/>
        <w:t>WORKS CITED</w:t>
      </w:r>
      <w:bookmarkEnd w:id="81"/>
    </w:p>
    <w:p w14:paraId="5B893069" w14:textId="77777777" w:rsidR="00A86630" w:rsidRPr="00A86630" w:rsidRDefault="00A86630" w:rsidP="00274B3F">
      <w:pPr>
        <w:pStyle w:val="Body"/>
        <w:jc w:val="center"/>
        <w:rPr>
          <w:rStyle w:val="None"/>
          <w:rFonts w:ascii="Times New Roman" w:eastAsia="Times New Roman" w:hAnsi="Times New Roman" w:cs="Times New Roman"/>
          <w:b/>
          <w:bCs/>
          <w:sz w:val="24"/>
          <w:szCs w:val="24"/>
        </w:rPr>
      </w:pPr>
    </w:p>
    <w:p w14:paraId="08FEDBC3" w14:textId="388BEC08"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lang w:val="it-IT"/>
        </w:rPr>
        <w:t xml:space="preserve">Addison, Joseph. </w:t>
      </w:r>
      <w:r w:rsidRPr="00A86630">
        <w:rPr>
          <w:rStyle w:val="None"/>
          <w:rFonts w:ascii="Times New Roman" w:hAnsi="Times New Roman"/>
          <w:i/>
          <w:iCs/>
          <w:sz w:val="24"/>
          <w:szCs w:val="24"/>
        </w:rPr>
        <w:t>The Spectator</w:t>
      </w:r>
      <w:r w:rsidRPr="008C073E">
        <w:rPr>
          <w:rStyle w:val="None"/>
          <w:rFonts w:ascii="Times New Roman" w:hAnsi="Times New Roman"/>
          <w:sz w:val="24"/>
          <w:szCs w:val="24"/>
        </w:rPr>
        <w:t xml:space="preserve"> 23. March 27, 1711.</w:t>
      </w:r>
      <w:r w:rsidR="009036E5">
        <w:rPr>
          <w:rStyle w:val="None"/>
          <w:rFonts w:ascii="Times New Roman" w:hAnsi="Times New Roman"/>
          <w:sz w:val="24"/>
          <w:szCs w:val="24"/>
        </w:rPr>
        <w:t xml:space="preserve"> </w:t>
      </w:r>
      <w:r w:rsidR="009036E5" w:rsidRPr="009036E5">
        <w:rPr>
          <w:rStyle w:val="None"/>
          <w:rFonts w:ascii="Times New Roman" w:hAnsi="Times New Roman"/>
          <w:sz w:val="24"/>
          <w:szCs w:val="24"/>
        </w:rPr>
        <w:t>http://www2.scc.rutgers.edu/spectator/text/march1711/no23.html</w:t>
      </w:r>
      <w:r w:rsidR="009036E5">
        <w:rPr>
          <w:rStyle w:val="None"/>
          <w:rFonts w:ascii="Times New Roman" w:hAnsi="Times New Roman"/>
          <w:sz w:val="24"/>
          <w:szCs w:val="24"/>
        </w:rPr>
        <w:t>.</w:t>
      </w:r>
      <w:r w:rsidRPr="008C073E">
        <w:rPr>
          <w:rStyle w:val="None"/>
          <w:rFonts w:ascii="Times New Roman" w:hAnsi="Times New Roman"/>
          <w:sz w:val="24"/>
          <w:szCs w:val="24"/>
        </w:rPr>
        <w:t xml:space="preserve"> The Spectator Project.</w:t>
      </w:r>
    </w:p>
    <w:p w14:paraId="3EA87433" w14:textId="04B441FC" w:rsidR="009C0F29" w:rsidRDefault="009C0F29" w:rsidP="00EA0B0E">
      <w:pPr>
        <w:pStyle w:val="Body"/>
        <w:spacing w:before="240" w:line="480" w:lineRule="auto"/>
        <w:ind w:left="720" w:hanging="720"/>
        <w:rPr>
          <w:rStyle w:val="None"/>
          <w:rFonts w:ascii="Times New Roman" w:hAnsi="Times New Roman"/>
          <w:sz w:val="24"/>
          <w:szCs w:val="24"/>
        </w:rPr>
      </w:pPr>
      <w:proofErr w:type="spellStart"/>
      <w:r>
        <w:rPr>
          <w:rStyle w:val="None"/>
          <w:rFonts w:ascii="Times New Roman" w:hAnsi="Times New Roman"/>
          <w:sz w:val="24"/>
          <w:szCs w:val="24"/>
        </w:rPr>
        <w:t>Albanis</w:t>
      </w:r>
      <w:proofErr w:type="spellEnd"/>
      <w:r>
        <w:rPr>
          <w:rStyle w:val="None"/>
          <w:rFonts w:ascii="Times New Roman" w:hAnsi="Times New Roman"/>
          <w:sz w:val="24"/>
          <w:szCs w:val="24"/>
        </w:rPr>
        <w:t>, Sophia. “‘The Chieftain’s Weary Daughter’: The Feminist Legacy and Mainstream Appropriation of Sarah Winnemucca.” Bachelor’s Honors Thesis, University of Oregon, June 2017.</w:t>
      </w:r>
    </w:p>
    <w:p w14:paraId="3E65DDCB" w14:textId="76737338" w:rsidR="009C0F29" w:rsidRPr="009C0F29" w:rsidRDefault="009C0F29" w:rsidP="00EA0B0E">
      <w:pPr>
        <w:pStyle w:val="Body"/>
        <w:spacing w:before="240" w:line="480" w:lineRule="auto"/>
        <w:ind w:left="720" w:hanging="720"/>
        <w:rPr>
          <w:rStyle w:val="None"/>
          <w:rFonts w:ascii="Times New Roman" w:hAnsi="Times New Roman"/>
          <w:sz w:val="24"/>
          <w:szCs w:val="24"/>
        </w:rPr>
      </w:pPr>
      <w:r>
        <w:rPr>
          <w:rStyle w:val="None"/>
          <w:rFonts w:ascii="Times New Roman" w:hAnsi="Times New Roman"/>
          <w:sz w:val="24"/>
          <w:szCs w:val="24"/>
        </w:rPr>
        <w:t xml:space="preserve">Angel, Myron. </w:t>
      </w:r>
      <w:r>
        <w:rPr>
          <w:rStyle w:val="None"/>
          <w:rFonts w:ascii="Times New Roman" w:hAnsi="Times New Roman"/>
          <w:i/>
          <w:iCs/>
          <w:sz w:val="24"/>
          <w:szCs w:val="24"/>
        </w:rPr>
        <w:t>History of Nevada</w:t>
      </w:r>
      <w:r>
        <w:rPr>
          <w:rStyle w:val="None"/>
          <w:rFonts w:ascii="Times New Roman" w:hAnsi="Times New Roman"/>
          <w:sz w:val="24"/>
          <w:szCs w:val="24"/>
        </w:rPr>
        <w:t xml:space="preserve">. Thomson &amp; West, 1881, </w:t>
      </w:r>
      <w:r w:rsidRPr="009C0F29">
        <w:rPr>
          <w:rStyle w:val="None"/>
          <w:rFonts w:ascii="Times New Roman" w:hAnsi="Times New Roman"/>
          <w:sz w:val="24"/>
          <w:szCs w:val="24"/>
        </w:rPr>
        <w:t>https://archive.org/details/historyofnevada00ange/page/n7/mode/2up</w:t>
      </w:r>
      <w:r>
        <w:rPr>
          <w:rStyle w:val="None"/>
          <w:rFonts w:ascii="Times New Roman" w:hAnsi="Times New Roman"/>
          <w:sz w:val="24"/>
          <w:szCs w:val="24"/>
        </w:rPr>
        <w:t>. Internet Archive.</w:t>
      </w:r>
    </w:p>
    <w:p w14:paraId="259AAC48" w14:textId="125412E7" w:rsidR="00AC7D90" w:rsidRDefault="00AC7D90" w:rsidP="00EA0B0E">
      <w:pPr>
        <w:pStyle w:val="Body"/>
        <w:spacing w:before="240" w:line="480" w:lineRule="auto"/>
        <w:ind w:left="720" w:hanging="720"/>
        <w:rPr>
          <w:rStyle w:val="None"/>
          <w:rFonts w:ascii="Times New Roman" w:eastAsia="Times New Roman" w:hAnsi="Times New Roman" w:cs="Times New Roman"/>
          <w:sz w:val="24"/>
          <w:szCs w:val="24"/>
        </w:rPr>
      </w:pPr>
      <w:r>
        <w:rPr>
          <w:rStyle w:val="None"/>
          <w:rFonts w:ascii="Times New Roman" w:hAnsi="Times New Roman"/>
          <w:sz w:val="24"/>
          <w:szCs w:val="24"/>
        </w:rPr>
        <w:t xml:space="preserve">Antelyes, Peter. </w:t>
      </w:r>
      <w:r w:rsidRPr="00AC7D90">
        <w:rPr>
          <w:rStyle w:val="None"/>
          <w:rFonts w:ascii="Times New Roman" w:hAnsi="Times New Roman"/>
          <w:i/>
          <w:iCs/>
          <w:sz w:val="24"/>
          <w:szCs w:val="24"/>
        </w:rPr>
        <w:t>Tales of Adventurous Enterprise: Washington Irving and the Poetics of Western Expansion</w:t>
      </w:r>
      <w:r>
        <w:rPr>
          <w:rStyle w:val="None"/>
          <w:rFonts w:ascii="Times New Roman" w:hAnsi="Times New Roman"/>
          <w:sz w:val="24"/>
          <w:szCs w:val="24"/>
        </w:rPr>
        <w:t>. Columbia UP, 1990.</w:t>
      </w:r>
    </w:p>
    <w:p w14:paraId="4FAE9DE4" w14:textId="39F45DBF"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A86630">
        <w:rPr>
          <w:rStyle w:val="None"/>
          <w:rFonts w:ascii="Times New Roman" w:hAnsi="Times New Roman"/>
          <w:color w:val="auto"/>
          <w:sz w:val="24"/>
          <w:szCs w:val="24"/>
          <w:lang w:val="pt-PT"/>
        </w:rPr>
        <w:t xml:space="preserve">Apess, William. </w:t>
      </w:r>
      <w:r w:rsidRPr="00A86630">
        <w:rPr>
          <w:rStyle w:val="None"/>
          <w:rFonts w:ascii="Times New Roman" w:hAnsi="Times New Roman"/>
          <w:i/>
          <w:iCs/>
          <w:color w:val="auto"/>
          <w:sz w:val="24"/>
          <w:szCs w:val="24"/>
        </w:rPr>
        <w:t>A Son of the Forest</w:t>
      </w:r>
      <w:r w:rsidRPr="00A86630">
        <w:rPr>
          <w:rStyle w:val="None"/>
          <w:rFonts w:ascii="Times New Roman" w:hAnsi="Times New Roman"/>
          <w:color w:val="auto"/>
          <w:sz w:val="24"/>
          <w:szCs w:val="24"/>
        </w:rPr>
        <w:t xml:space="preserve">. </w:t>
      </w:r>
      <w:r w:rsidR="009C0F29">
        <w:rPr>
          <w:rStyle w:val="None"/>
          <w:rFonts w:ascii="Times New Roman" w:hAnsi="Times New Roman"/>
          <w:color w:val="auto"/>
          <w:sz w:val="24"/>
          <w:szCs w:val="24"/>
        </w:rPr>
        <w:t xml:space="preserve">William Apess, </w:t>
      </w:r>
      <w:r w:rsidR="00A86630" w:rsidRPr="00A86630">
        <w:rPr>
          <w:rStyle w:val="None"/>
          <w:rFonts w:ascii="Times New Roman" w:hAnsi="Times New Roman"/>
          <w:color w:val="auto"/>
          <w:sz w:val="24"/>
          <w:szCs w:val="24"/>
          <w:lang w:val="pt-PT"/>
        </w:rPr>
        <w:t xml:space="preserve">1829, </w:t>
      </w:r>
      <w:r w:rsidR="00A86630" w:rsidRPr="00A86630">
        <w:rPr>
          <w:rStyle w:val="Hyperlink2"/>
          <w:rFonts w:eastAsia="Arial Unicode MS"/>
          <w:color w:val="auto"/>
          <w:u w:val="none"/>
        </w:rPr>
        <w:t>https://archive.org/details/sonofforestexper00inapes/page/n5/mode/2up</w:t>
      </w:r>
      <w:r w:rsidRPr="00A86630">
        <w:rPr>
          <w:rStyle w:val="None"/>
          <w:rFonts w:ascii="Times New Roman" w:hAnsi="Times New Roman"/>
          <w:color w:val="auto"/>
          <w:sz w:val="24"/>
          <w:szCs w:val="24"/>
        </w:rPr>
        <w:t>.</w:t>
      </w:r>
      <w:r w:rsidR="00A86630" w:rsidRPr="00A86630">
        <w:rPr>
          <w:rStyle w:val="None"/>
          <w:rFonts w:ascii="Times New Roman" w:hAnsi="Times New Roman"/>
          <w:color w:val="auto"/>
          <w:sz w:val="24"/>
          <w:szCs w:val="24"/>
        </w:rPr>
        <w:t xml:space="preserve"> </w:t>
      </w:r>
      <w:r w:rsidR="00A86630" w:rsidRPr="008C073E">
        <w:rPr>
          <w:rStyle w:val="None"/>
          <w:rFonts w:ascii="Times New Roman" w:hAnsi="Times New Roman"/>
          <w:sz w:val="24"/>
          <w:szCs w:val="24"/>
          <w:lang w:val="pt-PT"/>
        </w:rPr>
        <w:t>Internet Archive.</w:t>
      </w:r>
    </w:p>
    <w:p w14:paraId="11DDF5EB" w14:textId="114677D8" w:rsidR="00274B3F" w:rsidRPr="008C073E" w:rsidRDefault="00813AAF" w:rsidP="00EA0B0E">
      <w:pPr>
        <w:pStyle w:val="Body"/>
        <w:spacing w:line="480" w:lineRule="auto"/>
        <w:ind w:left="720" w:hanging="720"/>
        <w:rPr>
          <w:rStyle w:val="None"/>
          <w:rFonts w:ascii="Times New Roman" w:eastAsia="Times New Roman" w:hAnsi="Times New Roman" w:cs="Times New Roman"/>
          <w:sz w:val="24"/>
          <w:szCs w:val="24"/>
        </w:rPr>
      </w:pPr>
      <w:r>
        <w:rPr>
          <w:rStyle w:val="None"/>
          <w:rFonts w:ascii="Times New Roman" w:hAnsi="Times New Roman"/>
          <w:sz w:val="24"/>
          <w:szCs w:val="24"/>
        </w:rPr>
        <w:t>---</w:t>
      </w:r>
      <w:r w:rsidR="00274B3F" w:rsidRPr="008C073E">
        <w:rPr>
          <w:rStyle w:val="None"/>
          <w:rFonts w:ascii="Times New Roman" w:hAnsi="Times New Roman"/>
          <w:sz w:val="24"/>
          <w:szCs w:val="24"/>
        </w:rPr>
        <w:t xml:space="preserve">. </w:t>
      </w:r>
      <w:r w:rsidR="00274B3F" w:rsidRPr="00813AAF">
        <w:rPr>
          <w:rStyle w:val="None"/>
          <w:rFonts w:ascii="Times New Roman" w:hAnsi="Times New Roman"/>
          <w:i/>
          <w:iCs/>
          <w:sz w:val="24"/>
          <w:szCs w:val="24"/>
        </w:rPr>
        <w:t xml:space="preserve">Indian Nullification of the Unconstitutional Laws of Massachusetts Relative to the Mashpee Tribe; </w:t>
      </w:r>
      <w:proofErr w:type="gramStart"/>
      <w:r w:rsidR="00274B3F" w:rsidRPr="00813AAF">
        <w:rPr>
          <w:rStyle w:val="None"/>
          <w:rFonts w:ascii="Times New Roman" w:hAnsi="Times New Roman"/>
          <w:i/>
          <w:iCs/>
          <w:sz w:val="24"/>
          <w:szCs w:val="24"/>
        </w:rPr>
        <w:t>or,</w:t>
      </w:r>
      <w:proofErr w:type="gramEnd"/>
      <w:r w:rsidR="00274B3F" w:rsidRPr="00813AAF">
        <w:rPr>
          <w:rStyle w:val="None"/>
          <w:rFonts w:ascii="Times New Roman" w:hAnsi="Times New Roman"/>
          <w:i/>
          <w:iCs/>
          <w:sz w:val="24"/>
          <w:szCs w:val="24"/>
        </w:rPr>
        <w:t xml:space="preserve"> The Pretended Riot Explained</w:t>
      </w:r>
      <w:r>
        <w:rPr>
          <w:rStyle w:val="None"/>
          <w:rFonts w:ascii="Times New Roman" w:hAnsi="Times New Roman"/>
          <w:sz w:val="24"/>
          <w:szCs w:val="24"/>
          <w:lang w:val="it-IT"/>
        </w:rPr>
        <w:t xml:space="preserve">. </w:t>
      </w:r>
      <w:r w:rsidR="00274B3F" w:rsidRPr="00813AAF">
        <w:rPr>
          <w:rStyle w:val="None"/>
          <w:rFonts w:ascii="Times New Roman" w:hAnsi="Times New Roman"/>
          <w:i/>
          <w:iCs/>
          <w:sz w:val="24"/>
          <w:szCs w:val="24"/>
        </w:rPr>
        <w:t>On Our Own Ground: The Complete Writings of William Apess, A Pequot</w:t>
      </w:r>
      <w:r w:rsidR="00B43522">
        <w:rPr>
          <w:rStyle w:val="None"/>
          <w:rFonts w:ascii="Times New Roman" w:hAnsi="Times New Roman"/>
          <w:sz w:val="24"/>
          <w:szCs w:val="24"/>
        </w:rPr>
        <w:t xml:space="preserve">, edited by </w:t>
      </w:r>
      <w:r w:rsidR="00274B3F" w:rsidRPr="008C073E">
        <w:rPr>
          <w:rStyle w:val="None"/>
          <w:rFonts w:ascii="Times New Roman" w:hAnsi="Times New Roman"/>
          <w:sz w:val="24"/>
          <w:szCs w:val="24"/>
        </w:rPr>
        <w:t>Barry O’Connell. University of Massachusetts Press, 1992</w:t>
      </w:r>
      <w:r>
        <w:rPr>
          <w:rStyle w:val="None"/>
          <w:rFonts w:ascii="Times New Roman" w:hAnsi="Times New Roman"/>
          <w:sz w:val="24"/>
          <w:szCs w:val="24"/>
        </w:rPr>
        <w:t xml:space="preserve">, pp. </w:t>
      </w:r>
      <w:r w:rsidRPr="008C073E">
        <w:rPr>
          <w:rStyle w:val="None"/>
          <w:rFonts w:ascii="Times New Roman" w:hAnsi="Times New Roman"/>
          <w:sz w:val="24"/>
          <w:szCs w:val="24"/>
          <w:lang w:val="it-IT"/>
        </w:rPr>
        <w:t>163-274</w:t>
      </w:r>
      <w:r>
        <w:rPr>
          <w:rStyle w:val="None"/>
          <w:rFonts w:ascii="Times New Roman" w:hAnsi="Times New Roman"/>
          <w:sz w:val="24"/>
          <w:szCs w:val="24"/>
          <w:lang w:val="it-IT"/>
        </w:rPr>
        <w:t>.</w:t>
      </w:r>
    </w:p>
    <w:p w14:paraId="1C0C1756" w14:textId="10F28DF7" w:rsidR="00AC7D90" w:rsidRDefault="00AC7D90" w:rsidP="00EA0B0E">
      <w:pPr>
        <w:pStyle w:val="Body"/>
        <w:spacing w:before="240" w:line="480" w:lineRule="auto"/>
        <w:ind w:left="720" w:hanging="720"/>
        <w:rPr>
          <w:rStyle w:val="None"/>
          <w:rFonts w:ascii="Times New Roman" w:eastAsia="Times New Roman" w:hAnsi="Times New Roman" w:cs="Times New Roman"/>
          <w:sz w:val="24"/>
          <w:szCs w:val="24"/>
        </w:rPr>
      </w:pPr>
      <w:r>
        <w:rPr>
          <w:rStyle w:val="None"/>
          <w:rFonts w:ascii="Times New Roman" w:hAnsi="Times New Roman"/>
          <w:sz w:val="24"/>
          <w:szCs w:val="24"/>
          <w:lang w:val="it-IT"/>
        </w:rPr>
        <w:lastRenderedPageBreak/>
        <w:t xml:space="preserve">Arnold, Laura. </w:t>
      </w:r>
      <w:r>
        <w:rPr>
          <w:rStyle w:val="None"/>
          <w:rFonts w:ascii="Times New Roman" w:hAnsi="Times New Roman"/>
          <w:sz w:val="24"/>
          <w:szCs w:val="24"/>
        </w:rPr>
        <w:t xml:space="preserve">“‘Now…Didn’t Our People Laugh?’ Female Misbehavior and Algonquian Culture in Mary Rowlandson’s </w:t>
      </w:r>
      <w:r w:rsidRPr="00AC7D90">
        <w:rPr>
          <w:rStyle w:val="None"/>
          <w:rFonts w:ascii="Times New Roman" w:hAnsi="Times New Roman"/>
          <w:i/>
          <w:iCs/>
          <w:sz w:val="24"/>
          <w:szCs w:val="24"/>
        </w:rPr>
        <w:t>Captivity and Restauration.</w:t>
      </w:r>
      <w:r>
        <w:rPr>
          <w:rStyle w:val="None"/>
          <w:rFonts w:ascii="Times New Roman" w:hAnsi="Times New Roman"/>
          <w:sz w:val="24"/>
          <w:szCs w:val="24"/>
        </w:rPr>
        <w:t xml:space="preserve">” </w:t>
      </w:r>
      <w:r w:rsidRPr="00AC7D90">
        <w:rPr>
          <w:rStyle w:val="None"/>
          <w:rFonts w:ascii="Times New Roman" w:hAnsi="Times New Roman"/>
          <w:i/>
          <w:iCs/>
          <w:sz w:val="24"/>
          <w:szCs w:val="24"/>
        </w:rPr>
        <w:t>American Indian Culture and Research Journal</w:t>
      </w:r>
      <w:r>
        <w:rPr>
          <w:rStyle w:val="None"/>
          <w:rFonts w:ascii="Times New Roman" w:hAnsi="Times New Roman"/>
          <w:sz w:val="24"/>
          <w:szCs w:val="24"/>
        </w:rPr>
        <w:t>, 21.4 (1997): 1-28.</w:t>
      </w:r>
    </w:p>
    <w:p w14:paraId="18415A8D" w14:textId="77777777" w:rsidR="00AC7D90" w:rsidRDefault="00AC7D90" w:rsidP="00EA0B0E">
      <w:pPr>
        <w:pStyle w:val="Body"/>
        <w:spacing w:before="240" w:line="480" w:lineRule="auto"/>
        <w:ind w:left="720" w:hanging="720"/>
        <w:rPr>
          <w:rStyle w:val="None"/>
          <w:rFonts w:ascii="Times New Roman" w:eastAsia="Times New Roman" w:hAnsi="Times New Roman" w:cs="Times New Roman"/>
          <w:sz w:val="24"/>
          <w:szCs w:val="24"/>
        </w:rPr>
      </w:pPr>
      <w:r>
        <w:rPr>
          <w:rStyle w:val="None"/>
          <w:rFonts w:ascii="Times New Roman" w:hAnsi="Times New Roman"/>
          <w:sz w:val="24"/>
          <w:szCs w:val="24"/>
          <w:lang w:val="nl-NL"/>
        </w:rPr>
        <w:t>Bakhtin, M. M. The Problems of Dostoevsky</w:t>
      </w:r>
      <w:r>
        <w:rPr>
          <w:rStyle w:val="None"/>
          <w:rFonts w:ascii="Times New Roman" w:hAnsi="Times New Roman"/>
          <w:sz w:val="24"/>
          <w:szCs w:val="24"/>
        </w:rPr>
        <w:t>’</w:t>
      </w:r>
      <w:r>
        <w:rPr>
          <w:rStyle w:val="None"/>
          <w:rFonts w:ascii="Times New Roman" w:hAnsi="Times New Roman"/>
          <w:sz w:val="24"/>
          <w:szCs w:val="24"/>
          <w:lang w:val="nl-NL"/>
        </w:rPr>
        <w:t>s Poetics</w:t>
      </w:r>
      <w:r>
        <w:rPr>
          <w:rStyle w:val="None"/>
          <w:rFonts w:ascii="Times New Roman" w:hAnsi="Times New Roman"/>
          <w:sz w:val="24"/>
          <w:szCs w:val="24"/>
        </w:rPr>
        <w:t xml:space="preserve">. Ed. and trans. Caryl Emerson. Minneapolis: University of Minnesota Press, 1984. </w:t>
      </w:r>
    </w:p>
    <w:p w14:paraId="49C52680" w14:textId="02FF28E8"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Bendik-Keymer, Jeremy. “How to Be Foolish in Being Angry: Against Sarcasm.” </w:t>
      </w:r>
      <w:r w:rsidRPr="00B43522">
        <w:rPr>
          <w:rStyle w:val="None"/>
          <w:rFonts w:ascii="Times New Roman" w:hAnsi="Times New Roman"/>
          <w:i/>
          <w:iCs/>
          <w:sz w:val="24"/>
          <w:szCs w:val="24"/>
        </w:rPr>
        <w:t xml:space="preserve">The Blog of </w:t>
      </w:r>
      <w:r w:rsidRPr="00B43522">
        <w:rPr>
          <w:rStyle w:val="None"/>
          <w:rFonts w:ascii="Times New Roman" w:hAnsi="Times New Roman"/>
          <w:i/>
          <w:iCs/>
          <w:color w:val="auto"/>
          <w:sz w:val="24"/>
          <w:szCs w:val="24"/>
        </w:rPr>
        <w:t>the American Psychological Association (APA)</w:t>
      </w:r>
      <w:r w:rsidR="00B43522" w:rsidRPr="00B43522">
        <w:rPr>
          <w:rStyle w:val="None"/>
          <w:rFonts w:ascii="Times New Roman" w:hAnsi="Times New Roman"/>
          <w:color w:val="auto"/>
          <w:sz w:val="24"/>
          <w:szCs w:val="24"/>
        </w:rPr>
        <w:t>,</w:t>
      </w:r>
      <w:r w:rsidRPr="00B43522">
        <w:rPr>
          <w:rStyle w:val="None"/>
          <w:rFonts w:ascii="Times New Roman" w:hAnsi="Times New Roman"/>
          <w:color w:val="auto"/>
          <w:sz w:val="24"/>
          <w:szCs w:val="24"/>
        </w:rPr>
        <w:t xml:space="preserve"> 29 July 2022</w:t>
      </w:r>
      <w:r w:rsidR="00B43522" w:rsidRPr="00B43522">
        <w:rPr>
          <w:rStyle w:val="None"/>
          <w:rFonts w:ascii="Times New Roman" w:hAnsi="Times New Roman"/>
          <w:color w:val="auto"/>
          <w:sz w:val="24"/>
          <w:szCs w:val="24"/>
        </w:rPr>
        <w:t>,</w:t>
      </w:r>
      <w:r w:rsidRPr="00B43522">
        <w:rPr>
          <w:rStyle w:val="None"/>
          <w:rFonts w:ascii="Times New Roman" w:hAnsi="Times New Roman"/>
          <w:color w:val="auto"/>
          <w:sz w:val="24"/>
          <w:szCs w:val="24"/>
        </w:rPr>
        <w:t xml:space="preserve"> </w:t>
      </w:r>
      <w:r w:rsidRPr="00B43522">
        <w:rPr>
          <w:rStyle w:val="Hyperlink2"/>
          <w:rFonts w:eastAsia="Arial Unicode MS"/>
          <w:color w:val="auto"/>
          <w:u w:val="none"/>
        </w:rPr>
        <w:t>https://blog.apaonline.org/2022/07/29/sarcasm-and-philosophy/</w:t>
      </w:r>
      <w:r w:rsidRPr="00B43522">
        <w:rPr>
          <w:rStyle w:val="None"/>
          <w:rFonts w:ascii="Times New Roman" w:hAnsi="Times New Roman"/>
          <w:color w:val="auto"/>
          <w:sz w:val="24"/>
          <w:szCs w:val="24"/>
        </w:rPr>
        <w:t xml:space="preserve">. </w:t>
      </w:r>
      <w:r w:rsidR="00B43522">
        <w:rPr>
          <w:rStyle w:val="None"/>
          <w:rFonts w:ascii="Times New Roman" w:hAnsi="Times New Roman"/>
          <w:color w:val="auto"/>
          <w:sz w:val="24"/>
          <w:szCs w:val="24"/>
        </w:rPr>
        <w:t>APA Online.</w:t>
      </w:r>
    </w:p>
    <w:p w14:paraId="30B3A03D" w14:textId="77777777" w:rsidR="009C0F29" w:rsidRPr="0095558D" w:rsidRDefault="009C0F29" w:rsidP="00EA0B0E">
      <w:pPr>
        <w:spacing w:line="480" w:lineRule="auto"/>
        <w:ind w:left="720" w:hanging="720"/>
        <w:rPr>
          <w:rFonts w:ascii="Times New Roman" w:hAnsi="Times New Roman" w:cs="Times New Roman"/>
        </w:rPr>
      </w:pPr>
      <w:r w:rsidRPr="0095558D">
        <w:rPr>
          <w:rFonts w:ascii="Times New Roman" w:hAnsi="Times New Roman" w:cs="Times New Roman"/>
        </w:rPr>
        <w:t xml:space="preserve">Benson, Ivan. </w:t>
      </w:r>
      <w:r w:rsidRPr="0095558D">
        <w:rPr>
          <w:rFonts w:ascii="Times New Roman" w:hAnsi="Times New Roman" w:cs="Times New Roman"/>
          <w:i/>
          <w:iCs/>
        </w:rPr>
        <w:t>Mark Twain’s Western Years</w:t>
      </w:r>
      <w:r w:rsidRPr="0095558D">
        <w:rPr>
          <w:rFonts w:ascii="Times New Roman" w:hAnsi="Times New Roman" w:cs="Times New Roman"/>
        </w:rPr>
        <w:t>. Russell &amp; Russell, 1966.</w:t>
      </w:r>
    </w:p>
    <w:p w14:paraId="643F2D56" w14:textId="77777777" w:rsidR="009C0F29" w:rsidRDefault="009C0F29" w:rsidP="00EA0B0E">
      <w:pPr>
        <w:spacing w:line="480" w:lineRule="auto"/>
        <w:ind w:left="720" w:hanging="720"/>
        <w:rPr>
          <w:rFonts w:ascii="Times New Roman" w:hAnsi="Times New Roman" w:cs="Times New Roman"/>
        </w:rPr>
      </w:pPr>
      <w:proofErr w:type="spellStart"/>
      <w:r w:rsidRPr="0095558D">
        <w:rPr>
          <w:rFonts w:ascii="Times New Roman" w:hAnsi="Times New Roman" w:cs="Times New Roman"/>
        </w:rPr>
        <w:t>Berkove</w:t>
      </w:r>
      <w:proofErr w:type="spellEnd"/>
      <w:r w:rsidRPr="0095558D">
        <w:rPr>
          <w:rFonts w:ascii="Times New Roman" w:hAnsi="Times New Roman" w:cs="Times New Roman"/>
        </w:rPr>
        <w:t xml:space="preserve">, Lawrence I. </w:t>
      </w:r>
      <w:r w:rsidRPr="0095558D">
        <w:rPr>
          <w:rFonts w:ascii="Times New Roman" w:hAnsi="Times New Roman" w:cs="Times New Roman"/>
          <w:i/>
          <w:iCs/>
        </w:rPr>
        <w:t>Sagebrush Anthology: Literature from the Silver Age of the Old West</w:t>
      </w:r>
      <w:r w:rsidRPr="0095558D">
        <w:rPr>
          <w:rFonts w:ascii="Times New Roman" w:hAnsi="Times New Roman" w:cs="Times New Roman"/>
        </w:rPr>
        <w:t>. University of Missouri Press, 2006.</w:t>
      </w:r>
    </w:p>
    <w:p w14:paraId="1FD16838" w14:textId="77777777" w:rsidR="009C0F29" w:rsidRPr="0095558D" w:rsidRDefault="009C0F29" w:rsidP="00EA0B0E">
      <w:pPr>
        <w:pStyle w:val="NormalWeb"/>
        <w:spacing w:before="0" w:beforeAutospacing="0" w:after="0" w:afterAutospacing="0" w:line="480" w:lineRule="auto"/>
        <w:ind w:left="720" w:hanging="720"/>
        <w:rPr>
          <w:color w:val="000000"/>
        </w:rPr>
      </w:pPr>
      <w:r w:rsidRPr="0095558D">
        <w:rPr>
          <w:color w:val="000000"/>
        </w:rPr>
        <w:t xml:space="preserve">Bridgman, Richard. </w:t>
      </w:r>
      <w:r w:rsidRPr="0095558D">
        <w:rPr>
          <w:i/>
          <w:iCs/>
          <w:color w:val="000000"/>
        </w:rPr>
        <w:t>Traveling in Mark Twain</w:t>
      </w:r>
      <w:r w:rsidRPr="0095558D">
        <w:rPr>
          <w:color w:val="000000"/>
        </w:rPr>
        <w:t>. University of California Press, 1987.</w:t>
      </w:r>
    </w:p>
    <w:p w14:paraId="0CCDB65D" w14:textId="2D5AFD70"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Brooks, Lisa. </w:t>
      </w:r>
      <w:r w:rsidRPr="00B43522">
        <w:rPr>
          <w:rStyle w:val="None"/>
          <w:rFonts w:ascii="Times New Roman" w:hAnsi="Times New Roman"/>
          <w:i/>
          <w:iCs/>
          <w:sz w:val="24"/>
          <w:szCs w:val="24"/>
        </w:rPr>
        <w:t>The Common Pot: The Recovery of Native Space in the Northeast</w:t>
      </w:r>
      <w:r w:rsidRPr="008C073E">
        <w:rPr>
          <w:rStyle w:val="None"/>
          <w:rFonts w:ascii="Times New Roman" w:hAnsi="Times New Roman"/>
          <w:sz w:val="24"/>
          <w:szCs w:val="24"/>
        </w:rPr>
        <w:t xml:space="preserve">. University of Minnesota Press, 2008. </w:t>
      </w:r>
    </w:p>
    <w:p w14:paraId="6C45725A" w14:textId="4A7A1746"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Burns, Louis F. </w:t>
      </w:r>
      <w:r w:rsidRPr="00B43522">
        <w:rPr>
          <w:rStyle w:val="None"/>
          <w:rFonts w:ascii="Times New Roman" w:hAnsi="Times New Roman"/>
          <w:i/>
          <w:iCs/>
          <w:sz w:val="24"/>
          <w:szCs w:val="24"/>
        </w:rPr>
        <w:t>A History of the Osage People</w:t>
      </w:r>
      <w:r w:rsidRPr="008C073E">
        <w:rPr>
          <w:rStyle w:val="None"/>
          <w:rFonts w:ascii="Times New Roman" w:hAnsi="Times New Roman"/>
          <w:sz w:val="24"/>
          <w:szCs w:val="24"/>
        </w:rPr>
        <w:t>. The University of Alabama Press, 2004.</w:t>
      </w:r>
    </w:p>
    <w:p w14:paraId="4C878731" w14:textId="77777777" w:rsidR="00AC7D90" w:rsidRPr="00AC7D90" w:rsidRDefault="00AC7D90" w:rsidP="00EA0B0E">
      <w:pPr>
        <w:pBdr>
          <w:top w:val="nil"/>
          <w:left w:val="nil"/>
          <w:bottom w:val="nil"/>
          <w:right w:val="nil"/>
          <w:between w:val="nil"/>
          <w:bar w:val="nil"/>
        </w:pBdr>
        <w:spacing w:before="240" w:line="480" w:lineRule="auto"/>
        <w:ind w:left="720" w:hanging="720"/>
        <w:rPr>
          <w:rFonts w:ascii="Times New Roman" w:eastAsia="Arial Unicode MS" w:hAnsi="Times New Roman" w:cs="Arial Unicode MS"/>
          <w:color w:val="000000"/>
          <w:u w:color="000000"/>
          <w:bdr w:val="nil"/>
          <w14:textOutline w14:w="0" w14:cap="flat" w14:cmpd="sng" w14:algn="ctr">
            <w14:noFill/>
            <w14:prstDash w14:val="solid"/>
            <w14:bevel/>
          </w14:textOutline>
        </w:rPr>
      </w:pPr>
      <w:proofErr w:type="spellStart"/>
      <w:r w:rsidRPr="00AC7D90">
        <w:rPr>
          <w:rFonts w:ascii="Times New Roman" w:eastAsia="Arial Unicode MS" w:hAnsi="Times New Roman" w:cs="Arial Unicode MS"/>
          <w:color w:val="000000"/>
          <w:u w:color="000000"/>
          <w:bdr w:val="nil"/>
          <w:lang w:val="fr-FR"/>
          <w14:textOutline w14:w="0" w14:cap="flat" w14:cmpd="sng" w14:algn="ctr">
            <w14:noFill/>
            <w14:prstDash w14:val="solid"/>
            <w14:bevel/>
          </w14:textOutline>
        </w:rPr>
        <w:t>Caison</w:t>
      </w:r>
      <w:proofErr w:type="spellEnd"/>
      <w:r w:rsidRPr="00AC7D90">
        <w:rPr>
          <w:rFonts w:ascii="Times New Roman" w:eastAsia="Arial Unicode MS" w:hAnsi="Times New Roman" w:cs="Arial Unicode MS"/>
          <w:color w:val="000000"/>
          <w:u w:color="000000"/>
          <w:bdr w:val="nil"/>
          <w:lang w:val="fr-FR"/>
          <w14:textOutline w14:w="0" w14:cap="flat" w14:cmpd="sng" w14:algn="ctr">
            <w14:noFill/>
            <w14:prstDash w14:val="solid"/>
            <w14:bevel/>
          </w14:textOutline>
        </w:rPr>
        <w:t xml:space="preserve">, Gina.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Red States: Indigeneity, Settler Colonialism, and Southern Studies</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Athens: University of Georgia Press, 2018.</w:t>
      </w:r>
    </w:p>
    <w:p w14:paraId="3F40D849" w14:textId="1974F049" w:rsidR="00274B3F" w:rsidRDefault="00274B3F" w:rsidP="00EA0B0E">
      <w:pPr>
        <w:pStyle w:val="Body"/>
        <w:spacing w:line="480" w:lineRule="auto"/>
        <w:ind w:left="720" w:hanging="720"/>
        <w:rPr>
          <w:rStyle w:val="None"/>
          <w:rFonts w:ascii="Times New Roman" w:hAnsi="Times New Roman"/>
          <w:sz w:val="24"/>
          <w:szCs w:val="24"/>
        </w:rPr>
      </w:pPr>
      <w:r w:rsidRPr="008C073E">
        <w:rPr>
          <w:rStyle w:val="None"/>
          <w:rFonts w:ascii="Times New Roman" w:hAnsi="Times New Roman"/>
          <w:sz w:val="24"/>
          <w:szCs w:val="24"/>
          <w:lang w:val="it-IT"/>
        </w:rPr>
        <w:t xml:space="preserve">Calcaterra, Angela. </w:t>
      </w:r>
      <w:r w:rsidRPr="00B43522">
        <w:rPr>
          <w:rStyle w:val="None"/>
          <w:rFonts w:ascii="Times New Roman" w:hAnsi="Times New Roman"/>
          <w:i/>
          <w:iCs/>
          <w:sz w:val="24"/>
          <w:szCs w:val="24"/>
        </w:rPr>
        <w:t>Literary Indians: Aesthetics and Encounter in American Literature to 1920</w:t>
      </w:r>
      <w:r w:rsidRPr="008C073E">
        <w:rPr>
          <w:rStyle w:val="None"/>
          <w:rFonts w:ascii="Times New Roman" w:hAnsi="Times New Roman"/>
          <w:sz w:val="24"/>
          <w:szCs w:val="24"/>
        </w:rPr>
        <w:t>. University of North Carolina Press, 2018.</w:t>
      </w:r>
    </w:p>
    <w:p w14:paraId="35B65072" w14:textId="6399236C" w:rsidR="00274B3F" w:rsidRDefault="00EA0B0E" w:rsidP="00EA0B0E">
      <w:pPr>
        <w:pStyle w:val="NormalWeb"/>
        <w:spacing w:before="0" w:beforeAutospacing="0" w:after="0" w:afterAutospacing="0" w:line="480" w:lineRule="auto"/>
        <w:ind w:left="720" w:hanging="720"/>
        <w:rPr>
          <w:color w:val="000000"/>
        </w:rPr>
      </w:pPr>
      <w:r w:rsidRPr="0095558D">
        <w:rPr>
          <w:color w:val="000000"/>
        </w:rPr>
        <w:t xml:space="preserve">Canfield, </w:t>
      </w:r>
      <w:proofErr w:type="spellStart"/>
      <w:r w:rsidRPr="0095558D">
        <w:rPr>
          <w:color w:val="000000"/>
        </w:rPr>
        <w:t>Gae</w:t>
      </w:r>
      <w:proofErr w:type="spellEnd"/>
      <w:r w:rsidRPr="0095558D">
        <w:rPr>
          <w:color w:val="000000"/>
        </w:rPr>
        <w:t xml:space="preserve"> Whitney. </w:t>
      </w:r>
      <w:r w:rsidRPr="0095558D">
        <w:rPr>
          <w:i/>
          <w:iCs/>
          <w:color w:val="000000"/>
        </w:rPr>
        <w:t>Sarah Winnemucca of the Northern Paiutes</w:t>
      </w:r>
      <w:r w:rsidRPr="0095558D">
        <w:rPr>
          <w:color w:val="000000"/>
        </w:rPr>
        <w:t>. University of Oklahoma Press, 1983.</w:t>
      </w:r>
    </w:p>
    <w:p w14:paraId="1EAB5199" w14:textId="77777777" w:rsidR="00EA0B0E" w:rsidRDefault="00EA0B0E" w:rsidP="00EA0B0E">
      <w:pPr>
        <w:spacing w:line="480" w:lineRule="auto"/>
        <w:ind w:left="720" w:hanging="720"/>
        <w:rPr>
          <w:rFonts w:ascii="Times New Roman" w:hAnsi="Times New Roman" w:cs="Times New Roman"/>
        </w:rPr>
      </w:pPr>
      <w:r w:rsidRPr="0095558D">
        <w:rPr>
          <w:rFonts w:ascii="Times New Roman" w:hAnsi="Times New Roman" w:cs="Times New Roman"/>
        </w:rPr>
        <w:lastRenderedPageBreak/>
        <w:t xml:space="preserve">Caron, James E. </w:t>
      </w:r>
      <w:r w:rsidRPr="0095558D">
        <w:rPr>
          <w:rFonts w:ascii="Times New Roman" w:hAnsi="Times New Roman" w:cs="Times New Roman"/>
          <w:i/>
          <w:iCs/>
        </w:rPr>
        <w:t>Mark Twain: Unsanctified Newspaper Reporter</w:t>
      </w:r>
      <w:r w:rsidRPr="0095558D">
        <w:rPr>
          <w:rFonts w:ascii="Times New Roman" w:hAnsi="Times New Roman" w:cs="Times New Roman"/>
        </w:rPr>
        <w:t>. University of Missouri Press, 2008.</w:t>
      </w:r>
    </w:p>
    <w:p w14:paraId="17F71CEC" w14:textId="77777777" w:rsidR="00EA0B0E" w:rsidRDefault="00EA0B0E" w:rsidP="00EA0B0E">
      <w:pPr>
        <w:spacing w:line="480" w:lineRule="auto"/>
        <w:ind w:left="720" w:hanging="720"/>
        <w:rPr>
          <w:rFonts w:ascii="Times New Roman" w:hAnsi="Times New Roman" w:cs="Times New Roman"/>
        </w:rPr>
      </w:pPr>
      <w:r w:rsidRPr="0095558D">
        <w:rPr>
          <w:rFonts w:ascii="Times New Roman" w:hAnsi="Times New Roman" w:cs="Times New Roman"/>
        </w:rPr>
        <w:t xml:space="preserve">Carpenter, Cari M. and Carolyn Sorisio. </w:t>
      </w:r>
      <w:r w:rsidRPr="0095558D">
        <w:rPr>
          <w:rFonts w:ascii="Times New Roman" w:hAnsi="Times New Roman" w:cs="Times New Roman"/>
          <w:i/>
          <w:iCs/>
        </w:rPr>
        <w:t>The Newspaper Warrior: Sarah Winnemucca Hopkins’s Campaign for American Indian Rights, 1864-1891</w:t>
      </w:r>
      <w:r w:rsidRPr="0095558D">
        <w:rPr>
          <w:rFonts w:ascii="Times New Roman" w:hAnsi="Times New Roman" w:cs="Times New Roman"/>
        </w:rPr>
        <w:t xml:space="preserve">. University of Nebraska Press, 2015. </w:t>
      </w:r>
    </w:p>
    <w:p w14:paraId="079A1A3C" w14:textId="3755F056" w:rsidR="00EA0B0E" w:rsidRPr="0095558D" w:rsidRDefault="00EA0B0E" w:rsidP="00EA0B0E">
      <w:pPr>
        <w:pStyle w:val="NormalWeb"/>
        <w:spacing w:before="0" w:beforeAutospacing="0" w:after="0" w:afterAutospacing="0" w:line="480" w:lineRule="auto"/>
        <w:ind w:left="720" w:hanging="720"/>
        <w:rPr>
          <w:color w:val="000000"/>
        </w:rPr>
      </w:pPr>
      <w:r w:rsidRPr="0095558D">
        <w:rPr>
          <w:color w:val="000000"/>
        </w:rPr>
        <w:t>Centers for Disease Control and Prevention (CDC). “Hansen’s Disease (Leprosy).” 2 Aug</w:t>
      </w:r>
      <w:r>
        <w:rPr>
          <w:color w:val="000000"/>
        </w:rPr>
        <w:t>.</w:t>
      </w:r>
      <w:r w:rsidRPr="0095558D">
        <w:rPr>
          <w:color w:val="000000"/>
        </w:rPr>
        <w:t xml:space="preserve"> 2023. </w:t>
      </w:r>
      <w:r w:rsidRPr="00EA0B0E">
        <w:rPr>
          <w:rFonts w:eastAsiaTheme="majorEastAsia"/>
        </w:rPr>
        <w:t>https://www.cdc.gov/leprosy/index.html</w:t>
      </w:r>
      <w:r w:rsidRPr="0095558D">
        <w:rPr>
          <w:color w:val="000000"/>
        </w:rPr>
        <w:t xml:space="preserve">. </w:t>
      </w:r>
      <w:r>
        <w:rPr>
          <w:color w:val="000000"/>
        </w:rPr>
        <w:t>Center for Disease Control. Accessed 10 Feb. 2024.</w:t>
      </w:r>
    </w:p>
    <w:p w14:paraId="5BB83818" w14:textId="77777777" w:rsidR="00EA0B0E" w:rsidRPr="0095558D" w:rsidRDefault="00EA0B0E" w:rsidP="00EA0B0E">
      <w:pPr>
        <w:pStyle w:val="NormalWeb"/>
        <w:spacing w:before="0" w:beforeAutospacing="0" w:after="0" w:afterAutospacing="0" w:line="480" w:lineRule="auto"/>
        <w:ind w:left="720" w:hanging="720"/>
        <w:rPr>
          <w:color w:val="000000"/>
        </w:rPr>
      </w:pPr>
      <w:r w:rsidRPr="0095558D">
        <w:rPr>
          <w:color w:val="000000"/>
        </w:rPr>
        <w:t xml:space="preserve">Chapman, Mary. “‘Living Pictures’: Women and </w:t>
      </w:r>
      <w:r w:rsidRPr="0095558D">
        <w:rPr>
          <w:i/>
          <w:iCs/>
          <w:color w:val="000000"/>
        </w:rPr>
        <w:t xml:space="preserve">Tableaux Vivants </w:t>
      </w:r>
      <w:r w:rsidRPr="0095558D">
        <w:rPr>
          <w:color w:val="000000"/>
        </w:rPr>
        <w:t xml:space="preserve">in Nineteenth-Century American Fiction and Culture.” </w:t>
      </w:r>
      <w:r w:rsidRPr="0095558D">
        <w:rPr>
          <w:i/>
          <w:iCs/>
          <w:color w:val="000000"/>
        </w:rPr>
        <w:t xml:space="preserve">Wide Angle </w:t>
      </w:r>
      <w:r w:rsidRPr="0095558D">
        <w:rPr>
          <w:color w:val="000000"/>
        </w:rPr>
        <w:t>18.3 (1996): 22-52.</w:t>
      </w:r>
    </w:p>
    <w:p w14:paraId="2E38FCC8" w14:textId="39DC1368"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lang w:val="de-DE"/>
        </w:rPr>
        <w:t xml:space="preserve">Clark, William Bedford. </w:t>
      </w:r>
      <w:r w:rsidRPr="008C073E">
        <w:rPr>
          <w:rStyle w:val="None"/>
          <w:rFonts w:ascii="Times New Roman" w:hAnsi="Times New Roman"/>
          <w:sz w:val="24"/>
          <w:szCs w:val="24"/>
        </w:rPr>
        <w:t xml:space="preserve">“How the West Won: Irving's Comic Inversion of the Westering Myth in </w:t>
      </w:r>
      <w:r w:rsidRPr="007C1487">
        <w:rPr>
          <w:rStyle w:val="None"/>
          <w:rFonts w:ascii="Times New Roman" w:hAnsi="Times New Roman"/>
          <w:i/>
          <w:iCs/>
          <w:sz w:val="24"/>
          <w:szCs w:val="24"/>
        </w:rPr>
        <w:t>A Tour on the Prairies</w:t>
      </w:r>
      <w:r w:rsidRPr="008C073E">
        <w:rPr>
          <w:rStyle w:val="None"/>
          <w:rFonts w:ascii="Times New Roman" w:hAnsi="Times New Roman"/>
          <w:sz w:val="24"/>
          <w:szCs w:val="24"/>
        </w:rPr>
        <w:t xml:space="preserve">,” </w:t>
      </w:r>
      <w:r w:rsidRPr="00B43522">
        <w:rPr>
          <w:rStyle w:val="None"/>
          <w:rFonts w:ascii="Times New Roman" w:hAnsi="Times New Roman"/>
          <w:i/>
          <w:iCs/>
          <w:sz w:val="24"/>
          <w:szCs w:val="24"/>
        </w:rPr>
        <w:t>American Literature</w:t>
      </w:r>
      <w:r w:rsidRPr="008C073E">
        <w:rPr>
          <w:rStyle w:val="None"/>
          <w:rFonts w:ascii="Times New Roman" w:hAnsi="Times New Roman"/>
          <w:sz w:val="24"/>
          <w:szCs w:val="24"/>
        </w:rPr>
        <w:t xml:space="preserve"> </w:t>
      </w:r>
      <w:r w:rsidR="00B43522">
        <w:rPr>
          <w:rStyle w:val="None"/>
          <w:rFonts w:ascii="Times New Roman" w:hAnsi="Times New Roman"/>
          <w:sz w:val="24"/>
          <w:szCs w:val="24"/>
        </w:rPr>
        <w:t xml:space="preserve">vol. </w:t>
      </w:r>
      <w:r w:rsidRPr="008C073E">
        <w:rPr>
          <w:rStyle w:val="None"/>
          <w:rFonts w:ascii="Times New Roman" w:hAnsi="Times New Roman"/>
          <w:sz w:val="24"/>
          <w:szCs w:val="24"/>
        </w:rPr>
        <w:t>50</w:t>
      </w:r>
      <w:r w:rsidR="00B43522">
        <w:rPr>
          <w:rStyle w:val="None"/>
          <w:rFonts w:ascii="Times New Roman" w:hAnsi="Times New Roman"/>
          <w:sz w:val="24"/>
          <w:szCs w:val="24"/>
        </w:rPr>
        <w:t xml:space="preserve">, no. </w:t>
      </w:r>
      <w:r w:rsidRPr="008C073E">
        <w:rPr>
          <w:rStyle w:val="None"/>
          <w:rFonts w:ascii="Times New Roman" w:hAnsi="Times New Roman"/>
          <w:sz w:val="24"/>
          <w:szCs w:val="24"/>
        </w:rPr>
        <w:t>3</w:t>
      </w:r>
      <w:r w:rsidR="00B43522">
        <w:rPr>
          <w:rStyle w:val="None"/>
          <w:rFonts w:ascii="Times New Roman" w:hAnsi="Times New Roman"/>
          <w:sz w:val="24"/>
          <w:szCs w:val="24"/>
        </w:rPr>
        <w:t>,</w:t>
      </w:r>
      <w:r w:rsidRPr="008C073E">
        <w:rPr>
          <w:rStyle w:val="None"/>
          <w:rFonts w:ascii="Times New Roman" w:hAnsi="Times New Roman"/>
          <w:sz w:val="24"/>
          <w:szCs w:val="24"/>
        </w:rPr>
        <w:t xml:space="preserve"> Nov. 1978</w:t>
      </w:r>
      <w:r w:rsidR="00B43522">
        <w:rPr>
          <w:rStyle w:val="None"/>
          <w:rFonts w:ascii="Times New Roman" w:hAnsi="Times New Roman"/>
          <w:sz w:val="24"/>
          <w:szCs w:val="24"/>
        </w:rPr>
        <w:t>,</w:t>
      </w:r>
      <w:r w:rsidRPr="008C073E">
        <w:rPr>
          <w:rStyle w:val="None"/>
          <w:rFonts w:ascii="Times New Roman" w:hAnsi="Times New Roman"/>
          <w:sz w:val="24"/>
          <w:szCs w:val="24"/>
        </w:rPr>
        <w:t xml:space="preserve"> </w:t>
      </w:r>
      <w:r w:rsidR="00B43522">
        <w:rPr>
          <w:rStyle w:val="None"/>
          <w:rFonts w:ascii="Times New Roman" w:hAnsi="Times New Roman"/>
          <w:sz w:val="24"/>
          <w:szCs w:val="24"/>
        </w:rPr>
        <w:t xml:space="preserve">pp. </w:t>
      </w:r>
      <w:r w:rsidRPr="008C073E">
        <w:rPr>
          <w:rStyle w:val="None"/>
          <w:rFonts w:ascii="Times New Roman" w:hAnsi="Times New Roman"/>
          <w:sz w:val="24"/>
          <w:szCs w:val="24"/>
        </w:rPr>
        <w:t xml:space="preserve">335-47.  </w:t>
      </w:r>
    </w:p>
    <w:p w14:paraId="47E56DC1" w14:textId="77777777" w:rsidR="00AC7D90" w:rsidRPr="00AC7D90" w:rsidRDefault="00AC7D90" w:rsidP="00EA0B0E">
      <w:pPr>
        <w:pBdr>
          <w:top w:val="nil"/>
          <w:left w:val="nil"/>
          <w:bottom w:val="nil"/>
          <w:right w:val="nil"/>
          <w:between w:val="nil"/>
          <w:bar w:val="nil"/>
        </w:pBdr>
        <w:spacing w:before="240" w:line="480" w:lineRule="auto"/>
        <w:ind w:left="720" w:hanging="720"/>
        <w:rPr>
          <w:rFonts w:ascii="Times New Roman"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Cohen, Matt.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The Networked Wilderness: Communicating in Early New England</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University of Minnesota Press, 2009.</w:t>
      </w:r>
    </w:p>
    <w:p w14:paraId="34734D85" w14:textId="744D4B17"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Colin G. Calloway. </w:t>
      </w:r>
      <w:r w:rsidRPr="00B43522">
        <w:rPr>
          <w:rStyle w:val="None"/>
          <w:rFonts w:ascii="Times New Roman" w:hAnsi="Times New Roman"/>
          <w:i/>
          <w:iCs/>
          <w:sz w:val="24"/>
          <w:szCs w:val="24"/>
        </w:rPr>
        <w:t>Pen and Ink Witchcraft: Treaties and Treaty Making in American Indian History</w:t>
      </w:r>
      <w:r w:rsidRPr="008C073E">
        <w:rPr>
          <w:rStyle w:val="None"/>
          <w:rFonts w:ascii="Times New Roman" w:hAnsi="Times New Roman"/>
          <w:sz w:val="24"/>
          <w:szCs w:val="24"/>
          <w:lang w:val="pt-PT"/>
        </w:rPr>
        <w:t>. Oxford U</w:t>
      </w:r>
      <w:r w:rsidR="00B43522">
        <w:rPr>
          <w:rStyle w:val="None"/>
          <w:rFonts w:ascii="Times New Roman" w:hAnsi="Times New Roman"/>
          <w:sz w:val="24"/>
          <w:szCs w:val="24"/>
          <w:lang w:val="pt-PT"/>
        </w:rPr>
        <w:t xml:space="preserve">niversity </w:t>
      </w:r>
      <w:r w:rsidRPr="008C073E">
        <w:rPr>
          <w:rStyle w:val="None"/>
          <w:rFonts w:ascii="Times New Roman" w:hAnsi="Times New Roman"/>
          <w:sz w:val="24"/>
          <w:szCs w:val="24"/>
          <w:lang w:val="pt-PT"/>
        </w:rPr>
        <w:t>P</w:t>
      </w:r>
      <w:r w:rsidR="00B43522">
        <w:rPr>
          <w:rStyle w:val="None"/>
          <w:rFonts w:ascii="Times New Roman" w:hAnsi="Times New Roman"/>
          <w:sz w:val="24"/>
          <w:szCs w:val="24"/>
          <w:lang w:val="pt-PT"/>
        </w:rPr>
        <w:t>ress</w:t>
      </w:r>
      <w:r w:rsidRPr="008C073E">
        <w:rPr>
          <w:rStyle w:val="None"/>
          <w:rFonts w:ascii="Times New Roman" w:hAnsi="Times New Roman"/>
          <w:sz w:val="24"/>
          <w:szCs w:val="24"/>
          <w:lang w:val="pt-PT"/>
        </w:rPr>
        <w:t xml:space="preserve">, 2013. </w:t>
      </w:r>
    </w:p>
    <w:p w14:paraId="11741697" w14:textId="77777777"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eastAsia="Times New Roman" w:hAnsi="Times New Roman" w:cs="Times New Roman"/>
          <w:sz w:val="24"/>
          <w:szCs w:val="24"/>
        </w:rPr>
        <w:t>Chiles, Katy. “William Apess’s Native Collaborations.” Unpublished manuscript. University of Tennessee, Knoxville.</w:t>
      </w:r>
    </w:p>
    <w:p w14:paraId="33280EFE" w14:textId="77777777" w:rsidR="00AC7D90" w:rsidRPr="00AC7D90" w:rsidRDefault="00AC7D90" w:rsidP="00EA0B0E">
      <w:pPr>
        <w:pBdr>
          <w:top w:val="nil"/>
          <w:left w:val="nil"/>
          <w:bottom w:val="nil"/>
          <w:right w:val="nil"/>
          <w:between w:val="nil"/>
          <w:bar w:val="nil"/>
        </w:pBdr>
        <w:spacing w:before="240" w:line="480" w:lineRule="auto"/>
        <w:ind w:left="720" w:hanging="720"/>
        <w:rPr>
          <w:rFonts w:ascii="Times New Roman"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Day, Donald.  “Life of George Washington Harris.”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Tennessee Historical Quarterly, </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6.1 (March 1947): 3-38.</w:t>
      </w:r>
    </w:p>
    <w:p w14:paraId="38EFE5EA" w14:textId="54BD8F51" w:rsidR="0030410F" w:rsidRPr="0030410F" w:rsidRDefault="0030410F" w:rsidP="00EA0B0E">
      <w:pPr>
        <w:pBdr>
          <w:top w:val="nil"/>
          <w:left w:val="nil"/>
          <w:bottom w:val="nil"/>
          <w:right w:val="nil"/>
          <w:between w:val="nil"/>
          <w:bar w:val="nil"/>
        </w:pBdr>
        <w:spacing w:before="240" w:line="480" w:lineRule="auto"/>
        <w:ind w:left="720" w:hanging="720"/>
        <w:rPr>
          <w:rFonts w:ascii="Times New Roman" w:eastAsia="Arial Unicode MS" w:hAnsi="Times New Roman" w:cs="Arial Unicode MS"/>
          <w:color w:val="000000"/>
          <w:u w:color="000000"/>
          <w:bdr w:val="nil"/>
          <w:lang w:val="nl-NL"/>
          <w14:textOutline w14:w="0" w14:cap="flat" w14:cmpd="sng" w14:algn="ctr">
            <w14:noFill/>
            <w14:prstDash w14:val="solid"/>
            <w14:bevel/>
          </w14:textOutline>
        </w:rPr>
      </w:pPr>
      <w:r>
        <w:rPr>
          <w:rFonts w:ascii="Times New Roman" w:eastAsia="Arial Unicode MS" w:hAnsi="Times New Roman" w:cs="Arial Unicode MS"/>
          <w:color w:val="000000"/>
          <w:u w:color="000000"/>
          <w:bdr w:val="nil"/>
          <w:lang w:val="nl-NL"/>
          <w14:textOutline w14:w="0" w14:cap="flat" w14:cmpd="sng" w14:algn="ctr">
            <w14:noFill/>
            <w14:prstDash w14:val="solid"/>
            <w14:bevel/>
          </w14:textOutline>
        </w:rPr>
        <w:lastRenderedPageBreak/>
        <w:t xml:space="preserve">Dickson-Carr, Darryl. </w:t>
      </w:r>
      <w:r>
        <w:rPr>
          <w:rFonts w:ascii="Times New Roman" w:eastAsia="Arial Unicode MS" w:hAnsi="Times New Roman" w:cs="Arial Unicode MS"/>
          <w:i/>
          <w:iCs/>
          <w:color w:val="000000"/>
          <w:u w:color="000000"/>
          <w:bdr w:val="nil"/>
          <w:lang w:val="nl-NL"/>
          <w14:textOutline w14:w="0" w14:cap="flat" w14:cmpd="sng" w14:algn="ctr">
            <w14:noFill/>
            <w14:prstDash w14:val="solid"/>
            <w14:bevel/>
          </w14:textOutline>
        </w:rPr>
        <w:t>African American Satire: The Sacredly Profane Novel</w:t>
      </w:r>
      <w:r>
        <w:rPr>
          <w:rFonts w:ascii="Times New Roman" w:eastAsia="Arial Unicode MS" w:hAnsi="Times New Roman" w:cs="Arial Unicode MS"/>
          <w:color w:val="000000"/>
          <w:u w:color="000000"/>
          <w:bdr w:val="nil"/>
          <w:lang w:val="nl-NL"/>
          <w14:textOutline w14:w="0" w14:cap="flat" w14:cmpd="sng" w14:algn="ctr">
            <w14:noFill/>
            <w14:prstDash w14:val="solid"/>
            <w14:bevel/>
          </w14:textOutline>
        </w:rPr>
        <w:t>. University of Missouri Press, 2001.</w:t>
      </w:r>
    </w:p>
    <w:p w14:paraId="273A7B8E" w14:textId="1B2D6E5F" w:rsidR="00AC7D90" w:rsidRPr="00AC7D90" w:rsidRDefault="00AC7D90" w:rsidP="00EA0B0E">
      <w:pPr>
        <w:pBdr>
          <w:top w:val="nil"/>
          <w:left w:val="nil"/>
          <w:bottom w:val="nil"/>
          <w:right w:val="nil"/>
          <w:between w:val="nil"/>
          <w:bar w:val="nil"/>
        </w:pBdr>
        <w:spacing w:before="240" w:line="480" w:lineRule="auto"/>
        <w:ind w:left="720" w:hanging="720"/>
        <w:rPr>
          <w:rFonts w:ascii="Times New Roman" w:eastAsia="Arial Unicode MS" w:hAnsi="Times New Roman" w:cs="Arial Unicode MS"/>
          <w:color w:val="000000"/>
          <w:u w:color="000000"/>
          <w:bdr w:val="nil"/>
          <w:lang w:val="nl-N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lang w:val="nl-NL"/>
          <w14:textOutline w14:w="0" w14:cap="flat" w14:cmpd="sng" w14:algn="ctr">
            <w14:noFill/>
            <w14:prstDash w14:val="solid"/>
            <w14:bevel/>
          </w14:textOutline>
        </w:rPr>
        <w:t xml:space="preserve">Donahue, Timothy. “Joaquin’s Head: Theatrical Punishment, Public Address, and Novelistic Politics in the United States—Mexico Borderlands.” </w:t>
      </w:r>
      <w:r w:rsidRPr="00AC7D90">
        <w:rPr>
          <w:rFonts w:ascii="Times New Roman" w:eastAsia="Arial Unicode MS" w:hAnsi="Times New Roman" w:cs="Arial Unicode MS"/>
          <w:i/>
          <w:iCs/>
          <w:color w:val="000000"/>
          <w:u w:color="000000"/>
          <w:bdr w:val="nil"/>
          <w:lang w:val="nl-NL"/>
          <w14:textOutline w14:w="0" w14:cap="flat" w14:cmpd="sng" w14:algn="ctr">
            <w14:noFill/>
            <w14:prstDash w14:val="solid"/>
            <w14:bevel/>
          </w14:textOutline>
        </w:rPr>
        <w:t>J19: The Journal of Nineteenth-Century Americanists</w:t>
      </w:r>
      <w:r w:rsidRPr="00AC7D90">
        <w:rPr>
          <w:rFonts w:ascii="Times New Roman" w:eastAsia="Arial Unicode MS" w:hAnsi="Times New Roman" w:cs="Arial Unicode MS"/>
          <w:color w:val="000000"/>
          <w:u w:color="000000"/>
          <w:bdr w:val="nil"/>
          <w:lang w:val="nl-NL"/>
          <w14:textOutline w14:w="0" w14:cap="flat" w14:cmpd="sng" w14:algn="ctr">
            <w14:noFill/>
            <w14:prstDash w14:val="solid"/>
            <w14:bevel/>
          </w14:textOutline>
        </w:rPr>
        <w:t xml:space="preserve"> 4.2 (2016): 391-417.</w:t>
      </w:r>
    </w:p>
    <w:p w14:paraId="6FA02912" w14:textId="77777777" w:rsidR="00AC7D90" w:rsidRPr="00AC7D90" w:rsidRDefault="00AC7D90" w:rsidP="00EA0B0E">
      <w:pPr>
        <w:pBdr>
          <w:top w:val="nil"/>
          <w:left w:val="nil"/>
          <w:bottom w:val="nil"/>
          <w:right w:val="nil"/>
          <w:between w:val="nil"/>
          <w:bar w:val="nil"/>
        </w:pBdr>
        <w:spacing w:before="240" w:line="480" w:lineRule="auto"/>
        <w:ind w:left="720" w:hanging="720"/>
        <w:rPr>
          <w:rFonts w:ascii="Times New Roman" w:hAnsi="Times New Roman" w:cs="Times New Roman"/>
          <w:color w:val="000000"/>
          <w:u w:color="000000"/>
          <w:bdr w:val="nil"/>
          <w14:textOutline w14:w="0" w14:cap="flat" w14:cmpd="sng" w14:algn="ctr">
            <w14:noFill/>
            <w14:prstDash w14:val="solid"/>
            <w14:bevel/>
          </w14:textOutline>
        </w:rPr>
      </w:pPr>
      <w:r w:rsidRPr="00AC7D90">
        <w:rPr>
          <w:rFonts w:ascii="Times New Roman" w:eastAsia="Arial Unicode MS" w:hAnsi="Times New Roman" w:cs="Arial Unicode MS"/>
          <w:color w:val="000000"/>
          <w:u w:color="000000"/>
          <w:bdr w:val="nil"/>
          <w:lang w:val="nl-NL"/>
          <w14:textOutline w14:w="0" w14:cap="flat" w14:cmpd="sng" w14:algn="ctr">
            <w14:noFill/>
            <w14:prstDash w14:val="solid"/>
            <w14:bevel/>
          </w14:textOutline>
        </w:rPr>
        <w:t xml:space="preserve">Doolen, Andy. </w:t>
      </w:r>
      <w:r w:rsidRPr="00AC7D90">
        <w:rPr>
          <w:rFonts w:ascii="Times New Roman" w:eastAsia="Arial Unicode MS" w:hAnsi="Times New Roman" w:cs="Arial Unicode MS"/>
          <w:i/>
          <w:iCs/>
          <w:color w:val="000000"/>
          <w:u w:color="000000"/>
          <w:bdr w:val="nil"/>
          <w14:textOutline w14:w="0" w14:cap="flat" w14:cmpd="sng" w14:algn="ctr">
            <w14:noFill/>
            <w14:prstDash w14:val="solid"/>
            <w14:bevel/>
          </w14:textOutline>
        </w:rPr>
        <w:t>Territories of Empire: U.S. Writing from the Louisiana Purchase to Mexican Independence</w:t>
      </w:r>
      <w:r w:rsidRPr="00AC7D90">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New York: Oxford UP, 2014. </w:t>
      </w:r>
    </w:p>
    <w:p w14:paraId="09E10080" w14:textId="3AC03B2A"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Edwards, Tai S. </w:t>
      </w:r>
      <w:r w:rsidRPr="00B43522">
        <w:rPr>
          <w:rStyle w:val="None"/>
          <w:rFonts w:ascii="Times New Roman" w:hAnsi="Times New Roman"/>
          <w:i/>
          <w:iCs/>
          <w:sz w:val="24"/>
          <w:szCs w:val="24"/>
        </w:rPr>
        <w:t>Osage Women and Empire: Gender and Power</w:t>
      </w:r>
      <w:r w:rsidRPr="008C073E">
        <w:rPr>
          <w:rStyle w:val="None"/>
          <w:rFonts w:ascii="Times New Roman" w:hAnsi="Times New Roman"/>
          <w:sz w:val="24"/>
          <w:szCs w:val="24"/>
        </w:rPr>
        <w:t xml:space="preserve">. University of Kansas Press, 2018. </w:t>
      </w:r>
    </w:p>
    <w:p w14:paraId="59B733B9" w14:textId="5A608CD4" w:rsidR="00274B3F"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Ellsworth, Henry L. </w:t>
      </w:r>
      <w:r w:rsidRPr="00B43522">
        <w:rPr>
          <w:rStyle w:val="None"/>
          <w:rFonts w:ascii="Times New Roman" w:hAnsi="Times New Roman"/>
          <w:i/>
          <w:iCs/>
          <w:sz w:val="24"/>
          <w:szCs w:val="24"/>
        </w:rPr>
        <w:t>Washington Irving on the Prairie, or A Narrative of a Tour of the Southwest in the Year 1832</w:t>
      </w:r>
      <w:r w:rsidR="00B43522">
        <w:rPr>
          <w:rStyle w:val="None"/>
          <w:rFonts w:ascii="Times New Roman" w:hAnsi="Times New Roman"/>
          <w:sz w:val="24"/>
          <w:szCs w:val="24"/>
        </w:rPr>
        <w:t xml:space="preserve">, edited by </w:t>
      </w:r>
      <w:r w:rsidRPr="008C073E">
        <w:rPr>
          <w:rStyle w:val="None"/>
          <w:rFonts w:ascii="Times New Roman" w:hAnsi="Times New Roman"/>
          <w:sz w:val="24"/>
          <w:szCs w:val="24"/>
        </w:rPr>
        <w:t>Stanley T. Williams and Barbara D. Simison</w:t>
      </w:r>
      <w:r w:rsidR="00B43522">
        <w:rPr>
          <w:rStyle w:val="None"/>
          <w:rFonts w:ascii="Times New Roman" w:hAnsi="Times New Roman"/>
          <w:sz w:val="24"/>
          <w:szCs w:val="24"/>
        </w:rPr>
        <w:t>,</w:t>
      </w:r>
      <w:r w:rsidRPr="008C073E">
        <w:rPr>
          <w:rStyle w:val="None"/>
          <w:rFonts w:ascii="Times New Roman" w:hAnsi="Times New Roman"/>
          <w:sz w:val="24"/>
          <w:szCs w:val="24"/>
        </w:rPr>
        <w:t xml:space="preserve"> American Book Company, 1937. </w:t>
      </w:r>
    </w:p>
    <w:p w14:paraId="7EB6001A" w14:textId="77777777" w:rsidR="006531BC" w:rsidRPr="006531BC" w:rsidRDefault="006531BC" w:rsidP="00EA0B0E">
      <w:pPr>
        <w:pBdr>
          <w:top w:val="nil"/>
          <w:left w:val="nil"/>
          <w:bottom w:val="nil"/>
          <w:right w:val="nil"/>
          <w:between w:val="nil"/>
          <w:bar w:val="nil"/>
        </w:pBdr>
        <w:spacing w:before="240" w:line="480" w:lineRule="auto"/>
        <w:ind w:left="720" w:hanging="720"/>
        <w:rPr>
          <w:rFonts w:ascii="Times New Roman" w:hAnsi="Times New Roman" w:cs="Times New Roman"/>
          <w:color w:val="000000"/>
          <w:u w:color="000000"/>
          <w:bdr w:val="nil"/>
          <w14:textOutline w14:w="0" w14:cap="flat" w14:cmpd="sng" w14:algn="ctr">
            <w14:noFill/>
            <w14:prstDash w14:val="solid"/>
            <w14:bevel/>
          </w14:textOutline>
        </w:rPr>
      </w:pPr>
      <w:r w:rsidRPr="006531BC">
        <w:rPr>
          <w:rFonts w:ascii="Times New Roman" w:eastAsia="Arial Unicode MS" w:hAnsi="Times New Roman" w:cs="Arial Unicode MS"/>
          <w:color w:val="000000"/>
          <w:u w:color="000000"/>
          <w:bdr w:val="nil"/>
          <w:lang w:val="da-DK"/>
          <w14:textOutline w14:w="0" w14:cap="flat" w14:cmpd="sng" w14:algn="ctr">
            <w14:noFill/>
            <w14:prstDash w14:val="solid"/>
            <w14:bevel/>
          </w14:textOutline>
        </w:rPr>
        <w:t xml:space="preserve">Emmerson, Phil. </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“Thinking laughter beyond humor: Atmospheric refrains and ethical indeterminacies in spaces of care.” </w:t>
      </w:r>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Environment and Planning A</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49.9 (2017): 2082-2098.</w:t>
      </w:r>
    </w:p>
    <w:p w14:paraId="33C64677" w14:textId="77777777" w:rsidR="006531BC" w:rsidRPr="006531BC" w:rsidRDefault="006531BC" w:rsidP="00EA0B0E">
      <w:pPr>
        <w:pBdr>
          <w:top w:val="nil"/>
          <w:left w:val="nil"/>
          <w:bottom w:val="nil"/>
          <w:right w:val="nil"/>
          <w:between w:val="nil"/>
          <w:bar w:val="nil"/>
        </w:pBdr>
        <w:spacing w:before="240" w:line="480" w:lineRule="auto"/>
        <w:ind w:left="720" w:hanging="720"/>
        <w:rPr>
          <w:rFonts w:ascii="Times New Roman" w:hAnsi="Times New Roman" w:cs="Times New Roman"/>
          <w:color w:val="000000"/>
          <w:u w:color="000000"/>
          <w:bdr w:val="nil"/>
          <w14:textOutline w14:w="0" w14:cap="flat" w14:cmpd="sng" w14:algn="ctr">
            <w14:noFill/>
            <w14:prstDash w14:val="solid"/>
            <w14:bevel/>
          </w14:textOutline>
        </w:rPr>
      </w:pP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Harris, George Washington. </w:t>
      </w:r>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Sut Lovingood’s Yarns</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Ed. M. Thomas Inge. New Haven: College &amp; University Press, 1966.</w:t>
      </w:r>
    </w:p>
    <w:p w14:paraId="6448364B" w14:textId="048588CC"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Hebard, Andrew. </w:t>
      </w:r>
      <w:r w:rsidRPr="00B43522">
        <w:rPr>
          <w:rStyle w:val="None"/>
          <w:rFonts w:ascii="Times New Roman" w:hAnsi="Times New Roman"/>
          <w:i/>
          <w:iCs/>
          <w:sz w:val="24"/>
          <w:szCs w:val="24"/>
        </w:rPr>
        <w:t>The Poetics of Sovereignty in American Literature</w:t>
      </w:r>
      <w:r w:rsidRPr="008C073E">
        <w:rPr>
          <w:rStyle w:val="None"/>
          <w:rFonts w:ascii="Times New Roman" w:hAnsi="Times New Roman"/>
          <w:sz w:val="24"/>
          <w:szCs w:val="24"/>
        </w:rPr>
        <w:t>. Cambridge U</w:t>
      </w:r>
      <w:r w:rsidR="00B43522">
        <w:rPr>
          <w:rStyle w:val="None"/>
          <w:rFonts w:ascii="Times New Roman" w:hAnsi="Times New Roman"/>
          <w:sz w:val="24"/>
          <w:szCs w:val="24"/>
        </w:rPr>
        <w:t xml:space="preserve">niversity </w:t>
      </w:r>
      <w:r w:rsidRPr="008C073E">
        <w:rPr>
          <w:rStyle w:val="None"/>
          <w:rFonts w:ascii="Times New Roman" w:hAnsi="Times New Roman"/>
          <w:sz w:val="24"/>
          <w:szCs w:val="24"/>
        </w:rPr>
        <w:t>P</w:t>
      </w:r>
      <w:r w:rsidR="00B43522">
        <w:rPr>
          <w:rStyle w:val="None"/>
          <w:rFonts w:ascii="Times New Roman" w:hAnsi="Times New Roman"/>
          <w:sz w:val="24"/>
          <w:szCs w:val="24"/>
        </w:rPr>
        <w:t>ress</w:t>
      </w:r>
      <w:r w:rsidRPr="008C073E">
        <w:rPr>
          <w:rStyle w:val="None"/>
          <w:rFonts w:ascii="Times New Roman" w:hAnsi="Times New Roman"/>
          <w:sz w:val="24"/>
          <w:szCs w:val="24"/>
        </w:rPr>
        <w:t>, 2012.</w:t>
      </w:r>
    </w:p>
    <w:p w14:paraId="6CC3D839" w14:textId="77777777" w:rsidR="006531BC" w:rsidRPr="006531BC" w:rsidRDefault="006531BC" w:rsidP="00EA0B0E">
      <w:pPr>
        <w:pBdr>
          <w:top w:val="nil"/>
          <w:left w:val="nil"/>
          <w:bottom w:val="nil"/>
          <w:right w:val="nil"/>
          <w:between w:val="nil"/>
          <w:bar w:val="nil"/>
        </w:pBdr>
        <w:spacing w:before="240" w:line="480" w:lineRule="auto"/>
        <w:ind w:left="720" w:hanging="720"/>
        <w:rPr>
          <w:rFonts w:ascii="Times New Roman" w:hAnsi="Times New Roman" w:cs="Times New Roman"/>
          <w:color w:val="000000"/>
          <w:u w:color="000000"/>
          <w:bdr w:val="nil"/>
          <w14:textOutline w14:w="0" w14:cap="flat" w14:cmpd="sng" w14:algn="ctr">
            <w14:noFill/>
            <w14:prstDash w14:val="solid"/>
            <w14:bevel/>
          </w14:textOutline>
        </w:rPr>
      </w:pPr>
      <w:r w:rsidRPr="006531BC">
        <w:rPr>
          <w:rFonts w:ascii="Times New Roman" w:eastAsia="Arial Unicode MS" w:hAnsi="Times New Roman" w:cs="Arial Unicode MS"/>
          <w:color w:val="000000"/>
          <w:u w:color="000000"/>
          <w:bdr w:val="nil"/>
          <w:lang w:val="da-DK"/>
          <w14:textOutline w14:w="0" w14:cap="flat" w14:cmpd="sng" w14:algn="ctr">
            <w14:noFill/>
            <w14:prstDash w14:val="solid"/>
            <w14:bevel/>
          </w14:textOutline>
        </w:rPr>
        <w:lastRenderedPageBreak/>
        <w:t xml:space="preserve">Inge, M. Thomas, </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“A Bibliography of George Washington Harris.” </w:t>
      </w:r>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Sut Lovingood’</w:t>
      </w:r>
      <w:r w:rsidRPr="006531BC">
        <w:rPr>
          <w:rFonts w:ascii="Times New Roman" w:eastAsia="Arial Unicode MS" w:hAnsi="Times New Roman" w:cs="Arial Unicode MS"/>
          <w:i/>
          <w:iCs/>
          <w:color w:val="000000"/>
          <w:u w:color="000000"/>
          <w:bdr w:val="nil"/>
          <w:lang w:val="pt-PT"/>
          <w14:textOutline w14:w="0" w14:cap="flat" w14:cmpd="sng" w14:algn="ctr">
            <w14:noFill/>
            <w14:prstDash w14:val="solid"/>
            <w14:bevel/>
          </w14:textOutline>
        </w:rPr>
        <w:t>s Nat</w:t>
      </w:r>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w:t>
      </w:r>
      <w:proofErr w:type="spellStart"/>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ral</w:t>
      </w:r>
      <w:proofErr w:type="spellEnd"/>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 Born </w:t>
      </w:r>
      <w:proofErr w:type="spellStart"/>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Yarnspinner</w:t>
      </w:r>
      <w:proofErr w:type="spellEnd"/>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 Essays on George Washington Harris</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Tuscaloosa, AL: University of Alabama Press, 1996.</w:t>
      </w:r>
    </w:p>
    <w:p w14:paraId="5E51CD13" w14:textId="1DDDD751" w:rsidR="00274B3F" w:rsidRPr="008C073E" w:rsidRDefault="00274B3F" w:rsidP="00EA0B0E">
      <w:pPr>
        <w:pStyle w:val="Body"/>
        <w:spacing w:line="480" w:lineRule="auto"/>
        <w:ind w:left="720" w:hanging="720"/>
        <w:rPr>
          <w:rStyle w:val="None"/>
          <w:rFonts w:ascii="Times New Roman" w:hAnsi="Times New Roman"/>
          <w:sz w:val="24"/>
          <w:szCs w:val="24"/>
        </w:rPr>
      </w:pPr>
      <w:r w:rsidRPr="008C073E">
        <w:rPr>
          <w:rStyle w:val="None"/>
          <w:rFonts w:ascii="Times New Roman" w:hAnsi="Times New Roman"/>
          <w:sz w:val="24"/>
          <w:szCs w:val="24"/>
        </w:rPr>
        <w:t xml:space="preserve">Irving, Washington. </w:t>
      </w:r>
      <w:r w:rsidRPr="00B43522">
        <w:rPr>
          <w:rStyle w:val="None"/>
          <w:rFonts w:ascii="Times New Roman" w:hAnsi="Times New Roman"/>
          <w:i/>
          <w:iCs/>
          <w:sz w:val="24"/>
          <w:szCs w:val="24"/>
        </w:rPr>
        <w:t>A Tour on the Prairie</w:t>
      </w:r>
      <w:r w:rsidR="007C1487">
        <w:rPr>
          <w:rStyle w:val="None"/>
          <w:rFonts w:ascii="Times New Roman" w:hAnsi="Times New Roman"/>
          <w:i/>
          <w:iCs/>
          <w:sz w:val="24"/>
          <w:szCs w:val="24"/>
        </w:rPr>
        <w:t>s</w:t>
      </w:r>
      <w:r w:rsidR="00B43522">
        <w:rPr>
          <w:rStyle w:val="None"/>
          <w:rFonts w:ascii="Times New Roman" w:hAnsi="Times New Roman"/>
          <w:sz w:val="24"/>
          <w:szCs w:val="24"/>
          <w:lang w:val="it-IT"/>
        </w:rPr>
        <w:t>.</w:t>
      </w:r>
      <w:r w:rsidRPr="008C073E">
        <w:rPr>
          <w:rStyle w:val="None"/>
          <w:rFonts w:ascii="Times New Roman" w:hAnsi="Times New Roman"/>
          <w:sz w:val="24"/>
          <w:szCs w:val="24"/>
          <w:lang w:val="it-IT"/>
        </w:rPr>
        <w:t xml:space="preserve"> </w:t>
      </w:r>
      <w:r w:rsidRPr="00B43522">
        <w:rPr>
          <w:rStyle w:val="None"/>
          <w:rFonts w:ascii="Times New Roman" w:hAnsi="Times New Roman"/>
          <w:i/>
          <w:iCs/>
          <w:sz w:val="24"/>
          <w:szCs w:val="24"/>
        </w:rPr>
        <w:t>The Complete Works of Washington Irving, Volume XXII: The Crayon Miscellany</w:t>
      </w:r>
      <w:r w:rsidR="00B43522">
        <w:rPr>
          <w:rStyle w:val="None"/>
          <w:rFonts w:ascii="Times New Roman" w:hAnsi="Times New Roman"/>
          <w:i/>
          <w:iCs/>
          <w:sz w:val="24"/>
          <w:szCs w:val="24"/>
        </w:rPr>
        <w:t>,</w:t>
      </w:r>
      <w:r w:rsidRPr="008C073E">
        <w:rPr>
          <w:rStyle w:val="None"/>
          <w:rFonts w:ascii="Times New Roman" w:hAnsi="Times New Roman"/>
          <w:sz w:val="24"/>
          <w:szCs w:val="24"/>
        </w:rPr>
        <w:t xml:space="preserve"> </w:t>
      </w:r>
      <w:r w:rsidR="00B43522">
        <w:rPr>
          <w:rStyle w:val="None"/>
          <w:rFonts w:ascii="Times New Roman" w:hAnsi="Times New Roman"/>
          <w:sz w:val="24"/>
          <w:szCs w:val="24"/>
        </w:rPr>
        <w:t>e</w:t>
      </w:r>
      <w:r w:rsidRPr="008C073E">
        <w:rPr>
          <w:rStyle w:val="None"/>
          <w:rFonts w:ascii="Times New Roman" w:hAnsi="Times New Roman"/>
          <w:sz w:val="24"/>
          <w:szCs w:val="24"/>
        </w:rPr>
        <w:t>dited by Dahlia Kirby Terrell</w:t>
      </w:r>
      <w:r w:rsidR="00B43522">
        <w:rPr>
          <w:rStyle w:val="None"/>
          <w:rFonts w:ascii="Times New Roman" w:hAnsi="Times New Roman"/>
          <w:sz w:val="24"/>
          <w:szCs w:val="24"/>
        </w:rPr>
        <w:t>,</w:t>
      </w:r>
      <w:r w:rsidRPr="008C073E">
        <w:rPr>
          <w:rStyle w:val="None"/>
          <w:rFonts w:ascii="Times New Roman" w:hAnsi="Times New Roman"/>
          <w:sz w:val="24"/>
          <w:szCs w:val="24"/>
        </w:rPr>
        <w:t xml:space="preserve"> Twayne Publishers, 1979</w:t>
      </w:r>
      <w:r w:rsidR="00B43522">
        <w:rPr>
          <w:rStyle w:val="None"/>
          <w:rFonts w:ascii="Times New Roman" w:hAnsi="Times New Roman"/>
          <w:sz w:val="24"/>
          <w:szCs w:val="24"/>
        </w:rPr>
        <w:t>, pp. 5-124.</w:t>
      </w:r>
    </w:p>
    <w:p w14:paraId="2C09909C" w14:textId="118182B5" w:rsidR="00274B3F" w:rsidRPr="008C073E" w:rsidRDefault="00EA0B0E"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w:t>
      </w:r>
      <w:r w:rsidR="00274B3F" w:rsidRPr="008C073E">
        <w:rPr>
          <w:rStyle w:val="None"/>
          <w:rFonts w:ascii="Times New Roman" w:hAnsi="Times New Roman"/>
          <w:sz w:val="24"/>
          <w:szCs w:val="24"/>
        </w:rPr>
        <w:t xml:space="preserve">. </w:t>
      </w:r>
      <w:proofErr w:type="spellStart"/>
      <w:r w:rsidR="00274B3F" w:rsidRPr="00B43522">
        <w:rPr>
          <w:rStyle w:val="None"/>
          <w:rFonts w:ascii="Times New Roman" w:hAnsi="Times New Roman"/>
          <w:i/>
          <w:iCs/>
          <w:sz w:val="24"/>
          <w:szCs w:val="24"/>
        </w:rPr>
        <w:t>Bracebridge</w:t>
      </w:r>
      <w:proofErr w:type="spellEnd"/>
      <w:r w:rsidR="00274B3F" w:rsidRPr="00B43522">
        <w:rPr>
          <w:rStyle w:val="None"/>
          <w:rFonts w:ascii="Times New Roman" w:hAnsi="Times New Roman"/>
          <w:i/>
          <w:iCs/>
          <w:sz w:val="24"/>
          <w:szCs w:val="24"/>
        </w:rPr>
        <w:t xml:space="preserve"> Hall: or the </w:t>
      </w:r>
      <w:proofErr w:type="spellStart"/>
      <w:r w:rsidR="00274B3F" w:rsidRPr="00B43522">
        <w:rPr>
          <w:rStyle w:val="None"/>
          <w:rFonts w:ascii="Times New Roman" w:hAnsi="Times New Roman"/>
          <w:i/>
          <w:iCs/>
          <w:sz w:val="24"/>
          <w:szCs w:val="24"/>
        </w:rPr>
        <w:t>Humourists</w:t>
      </w:r>
      <w:proofErr w:type="spellEnd"/>
      <w:r w:rsidR="00274B3F" w:rsidRPr="00B43522">
        <w:rPr>
          <w:rStyle w:val="None"/>
          <w:rFonts w:ascii="Times New Roman" w:hAnsi="Times New Roman"/>
          <w:i/>
          <w:iCs/>
          <w:sz w:val="24"/>
          <w:szCs w:val="24"/>
        </w:rPr>
        <w:t>: A Medley</w:t>
      </w:r>
      <w:r w:rsidR="00274B3F" w:rsidRPr="008C073E">
        <w:rPr>
          <w:rStyle w:val="None"/>
          <w:rFonts w:ascii="Times New Roman" w:hAnsi="Times New Roman"/>
          <w:sz w:val="24"/>
          <w:szCs w:val="24"/>
          <w:lang w:val="it-IT"/>
        </w:rPr>
        <w:t xml:space="preserve">. </w:t>
      </w:r>
      <w:r w:rsidR="00274B3F" w:rsidRPr="00B43522">
        <w:rPr>
          <w:rStyle w:val="None"/>
          <w:rFonts w:ascii="Times New Roman" w:hAnsi="Times New Roman"/>
          <w:i/>
          <w:iCs/>
          <w:sz w:val="24"/>
          <w:szCs w:val="24"/>
        </w:rPr>
        <w:t>The Complete Works of Washington Irving, Volume IX.</w:t>
      </w:r>
      <w:r w:rsidR="00274B3F" w:rsidRPr="008C073E">
        <w:rPr>
          <w:rStyle w:val="None"/>
          <w:rFonts w:ascii="Times New Roman" w:hAnsi="Times New Roman"/>
          <w:sz w:val="24"/>
          <w:szCs w:val="24"/>
        </w:rPr>
        <w:t xml:space="preserve"> Edited by Herbert F. Smith. Twayne Publishers, 1977.  </w:t>
      </w:r>
    </w:p>
    <w:p w14:paraId="65D264A6" w14:textId="0D7923F0"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 “Traits of Indian Character,” </w:t>
      </w:r>
      <w:r w:rsidRPr="00B43522">
        <w:rPr>
          <w:rStyle w:val="None"/>
          <w:rFonts w:ascii="Times New Roman" w:hAnsi="Times New Roman"/>
          <w:i/>
          <w:iCs/>
          <w:sz w:val="24"/>
          <w:szCs w:val="24"/>
        </w:rPr>
        <w:t>Analectic Magazine</w:t>
      </w:r>
      <w:r w:rsidRPr="008C073E">
        <w:rPr>
          <w:rStyle w:val="None"/>
          <w:rFonts w:ascii="Times New Roman" w:hAnsi="Times New Roman"/>
          <w:sz w:val="24"/>
          <w:szCs w:val="24"/>
        </w:rPr>
        <w:t xml:space="preserve">, 3. </w:t>
      </w:r>
      <w:proofErr w:type="gramStart"/>
      <w:r w:rsidRPr="008C073E">
        <w:rPr>
          <w:rStyle w:val="None"/>
          <w:rFonts w:ascii="Times New Roman" w:hAnsi="Times New Roman"/>
          <w:sz w:val="24"/>
          <w:szCs w:val="24"/>
        </w:rPr>
        <w:t>February,</w:t>
      </w:r>
      <w:proofErr w:type="gramEnd"/>
      <w:r w:rsidRPr="008C073E">
        <w:rPr>
          <w:rStyle w:val="None"/>
          <w:rFonts w:ascii="Times New Roman" w:hAnsi="Times New Roman"/>
          <w:sz w:val="24"/>
          <w:szCs w:val="24"/>
        </w:rPr>
        <w:t xml:space="preserve"> 1814</w:t>
      </w:r>
      <w:r w:rsidR="00B43522">
        <w:rPr>
          <w:rStyle w:val="None"/>
          <w:rFonts w:ascii="Times New Roman" w:hAnsi="Times New Roman"/>
          <w:sz w:val="24"/>
          <w:szCs w:val="24"/>
        </w:rPr>
        <w:t>,</w:t>
      </w:r>
      <w:r w:rsidRPr="008C073E">
        <w:rPr>
          <w:rStyle w:val="None"/>
          <w:rFonts w:ascii="Times New Roman" w:hAnsi="Times New Roman"/>
          <w:sz w:val="24"/>
          <w:szCs w:val="24"/>
        </w:rPr>
        <w:t xml:space="preserve"> </w:t>
      </w:r>
      <w:r w:rsidR="00B43522">
        <w:rPr>
          <w:rStyle w:val="None"/>
          <w:rFonts w:ascii="Times New Roman" w:hAnsi="Times New Roman"/>
          <w:sz w:val="24"/>
          <w:szCs w:val="24"/>
        </w:rPr>
        <w:t xml:space="preserve">p. </w:t>
      </w:r>
      <w:r w:rsidRPr="008C073E">
        <w:rPr>
          <w:rStyle w:val="None"/>
          <w:rFonts w:ascii="Times New Roman" w:hAnsi="Times New Roman"/>
          <w:sz w:val="24"/>
          <w:szCs w:val="24"/>
        </w:rPr>
        <w:t>145.</w:t>
      </w:r>
      <w:r w:rsidR="00B43522">
        <w:rPr>
          <w:rStyle w:val="None"/>
          <w:rFonts w:ascii="Times New Roman" w:hAnsi="Times New Roman"/>
          <w:sz w:val="24"/>
          <w:szCs w:val="24"/>
        </w:rPr>
        <w:t xml:space="preserve"> </w:t>
      </w:r>
    </w:p>
    <w:p w14:paraId="0B44279D" w14:textId="77777777" w:rsidR="006531BC" w:rsidRDefault="006531BC" w:rsidP="00EA0B0E">
      <w:pPr>
        <w:pBdr>
          <w:top w:val="nil"/>
          <w:left w:val="nil"/>
          <w:bottom w:val="nil"/>
          <w:right w:val="nil"/>
          <w:between w:val="nil"/>
          <w:bar w:val="nil"/>
        </w:pBdr>
        <w:spacing w:line="480" w:lineRule="auto"/>
        <w:ind w:left="720" w:hanging="720"/>
        <w:rPr>
          <w:rFonts w:ascii="Times New Roman" w:eastAsia="Arial Unicode MS" w:hAnsi="Times New Roman" w:cs="Arial Unicode MS"/>
          <w:color w:val="000000"/>
          <w:u w:color="000000"/>
          <w:bdr w:val="nil"/>
          <w14:textOutline w14:w="0" w14:cap="flat" w14:cmpd="sng" w14:algn="ctr">
            <w14:noFill/>
            <w14:prstDash w14:val="solid"/>
            <w14:bevel/>
          </w14:textOutline>
        </w:rPr>
      </w:pP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Jordan, Tracey. “</w:t>
      </w:r>
      <w:proofErr w:type="spellStart"/>
      <w:r w:rsidRPr="006531BC">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Joaquin</w:t>
      </w:r>
      <w:proofErr w:type="spellEnd"/>
      <w:r w:rsidRPr="006531BC">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t xml:space="preserve"> Murieta, </w:t>
      </w:r>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 xml:space="preserve">Cherokee </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Outlaw-Hero: Yellow Bird’s Vindication of Cherokee Nature.” </w:t>
      </w:r>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Arizona Quarterly: A Journal of American Literature, Culture, and Theory</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60.3 (Autumn 2004): 1-32.</w:t>
      </w:r>
    </w:p>
    <w:p w14:paraId="78F93A83" w14:textId="77777777" w:rsidR="006531BC" w:rsidRPr="006531BC" w:rsidRDefault="006531BC" w:rsidP="00EA0B0E">
      <w:pPr>
        <w:pBdr>
          <w:top w:val="nil"/>
          <w:left w:val="nil"/>
          <w:bottom w:val="nil"/>
          <w:right w:val="nil"/>
          <w:between w:val="nil"/>
          <w:bar w:val="nil"/>
        </w:pBdr>
        <w:spacing w:line="480" w:lineRule="auto"/>
        <w:ind w:left="720" w:hanging="720"/>
        <w:rPr>
          <w:rFonts w:ascii="Times New Roman" w:hAnsi="Times New Roman" w:cs="Times New Roman"/>
          <w:color w:val="000000"/>
          <w:u w:color="000000"/>
          <w:bdr w:val="nil"/>
          <w14:textOutline w14:w="0" w14:cap="flat" w14:cmpd="sng" w14:algn="ctr">
            <w14:noFill/>
            <w14:prstDash w14:val="solid"/>
            <w14:bevel/>
          </w14:textOutline>
        </w:rPr>
      </w:pP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Justus, James H. </w:t>
      </w:r>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Fetching the Old Southwest: Humorous Writing from Longstreet to Twain</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Columbia, MO: University of Missouri Press, 2004. </w:t>
      </w:r>
    </w:p>
    <w:p w14:paraId="76C8AC2F" w14:textId="1BD2BF06"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Killick, Tim. </w:t>
      </w:r>
      <w:r w:rsidRPr="00B43522">
        <w:rPr>
          <w:rStyle w:val="None"/>
          <w:rFonts w:ascii="Times New Roman" w:hAnsi="Times New Roman"/>
          <w:i/>
          <w:iCs/>
          <w:sz w:val="24"/>
          <w:szCs w:val="24"/>
        </w:rPr>
        <w:t>British Short Fiction in the Nineteenth Century: The Rise of the Tale</w:t>
      </w:r>
      <w:r w:rsidRPr="008C073E">
        <w:rPr>
          <w:rStyle w:val="None"/>
          <w:rFonts w:ascii="Times New Roman" w:hAnsi="Times New Roman"/>
          <w:sz w:val="24"/>
          <w:szCs w:val="24"/>
        </w:rPr>
        <w:t xml:space="preserve">. </w:t>
      </w:r>
      <w:r w:rsidR="00B43522">
        <w:rPr>
          <w:rStyle w:val="None"/>
          <w:rFonts w:ascii="Times New Roman" w:hAnsi="Times New Roman"/>
          <w:sz w:val="24"/>
          <w:szCs w:val="24"/>
        </w:rPr>
        <w:t>A</w:t>
      </w:r>
      <w:r w:rsidRPr="008C073E">
        <w:rPr>
          <w:rStyle w:val="None"/>
          <w:rFonts w:ascii="Times New Roman" w:hAnsi="Times New Roman"/>
          <w:sz w:val="24"/>
          <w:szCs w:val="24"/>
        </w:rPr>
        <w:t>shgate Publishing Company, 2008.</w:t>
      </w:r>
    </w:p>
    <w:p w14:paraId="278FB782" w14:textId="7051D51D"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Konkle, Maureen. </w:t>
      </w:r>
      <w:r w:rsidRPr="00B43522">
        <w:rPr>
          <w:rStyle w:val="None"/>
          <w:rFonts w:ascii="Times New Roman" w:hAnsi="Times New Roman"/>
          <w:i/>
          <w:iCs/>
          <w:sz w:val="24"/>
          <w:szCs w:val="24"/>
        </w:rPr>
        <w:t>Writing Indian Nations: Native Intellectuals and the Politics of Historiography, 1827-1863</w:t>
      </w:r>
      <w:r w:rsidRPr="008C073E">
        <w:rPr>
          <w:rStyle w:val="None"/>
          <w:rFonts w:ascii="Times New Roman" w:hAnsi="Times New Roman"/>
          <w:sz w:val="24"/>
          <w:szCs w:val="24"/>
          <w:lang w:val="pt-PT"/>
        </w:rPr>
        <w:t>. U</w:t>
      </w:r>
      <w:r w:rsidR="00B43522">
        <w:rPr>
          <w:rStyle w:val="None"/>
          <w:rFonts w:ascii="Times New Roman" w:hAnsi="Times New Roman"/>
          <w:sz w:val="24"/>
          <w:szCs w:val="24"/>
          <w:lang w:val="pt-PT"/>
        </w:rPr>
        <w:t xml:space="preserve">niversity of </w:t>
      </w:r>
      <w:r w:rsidRPr="008C073E">
        <w:rPr>
          <w:rStyle w:val="None"/>
          <w:rFonts w:ascii="Times New Roman" w:hAnsi="Times New Roman"/>
          <w:sz w:val="24"/>
          <w:szCs w:val="24"/>
          <w:lang w:val="pt-PT"/>
        </w:rPr>
        <w:t>N</w:t>
      </w:r>
      <w:r w:rsidR="00B43522">
        <w:rPr>
          <w:rStyle w:val="None"/>
          <w:rFonts w:ascii="Times New Roman" w:hAnsi="Times New Roman"/>
          <w:sz w:val="24"/>
          <w:szCs w:val="24"/>
          <w:lang w:val="pt-PT"/>
        </w:rPr>
        <w:t xml:space="preserve">orth </w:t>
      </w:r>
      <w:r w:rsidRPr="008C073E">
        <w:rPr>
          <w:rStyle w:val="None"/>
          <w:rFonts w:ascii="Times New Roman" w:hAnsi="Times New Roman"/>
          <w:sz w:val="24"/>
          <w:szCs w:val="24"/>
          <w:lang w:val="pt-PT"/>
        </w:rPr>
        <w:t>C</w:t>
      </w:r>
      <w:r w:rsidR="00B43522">
        <w:rPr>
          <w:rStyle w:val="None"/>
          <w:rFonts w:ascii="Times New Roman" w:hAnsi="Times New Roman"/>
          <w:sz w:val="24"/>
          <w:szCs w:val="24"/>
          <w:lang w:val="pt-PT"/>
        </w:rPr>
        <w:t>arolina</w:t>
      </w:r>
      <w:r w:rsidRPr="008C073E">
        <w:rPr>
          <w:rStyle w:val="None"/>
          <w:rFonts w:ascii="Times New Roman" w:hAnsi="Times New Roman"/>
          <w:sz w:val="24"/>
          <w:szCs w:val="24"/>
          <w:lang w:val="pt-PT"/>
        </w:rPr>
        <w:t xml:space="preserve"> Press, 2004.</w:t>
      </w:r>
    </w:p>
    <w:p w14:paraId="71B7B7E0" w14:textId="23D15609"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Leary, Lewis. “Irving and the Comic Imagination,” </w:t>
      </w:r>
      <w:r w:rsidRPr="00B43522">
        <w:rPr>
          <w:rStyle w:val="None"/>
          <w:rFonts w:ascii="Times New Roman" w:hAnsi="Times New Roman"/>
          <w:i/>
          <w:iCs/>
          <w:sz w:val="24"/>
          <w:szCs w:val="24"/>
        </w:rPr>
        <w:t>Critical Essays on Washington Irving</w:t>
      </w:r>
      <w:r w:rsidRPr="008C073E">
        <w:rPr>
          <w:rStyle w:val="None"/>
          <w:rFonts w:ascii="Times New Roman" w:hAnsi="Times New Roman"/>
          <w:sz w:val="24"/>
          <w:szCs w:val="24"/>
        </w:rPr>
        <w:t>, ed</w:t>
      </w:r>
      <w:r w:rsidR="00B43522">
        <w:rPr>
          <w:rStyle w:val="None"/>
          <w:rFonts w:ascii="Times New Roman" w:hAnsi="Times New Roman"/>
          <w:sz w:val="24"/>
          <w:szCs w:val="24"/>
        </w:rPr>
        <w:t xml:space="preserve">ited by </w:t>
      </w:r>
      <w:r w:rsidRPr="008C073E">
        <w:rPr>
          <w:rStyle w:val="None"/>
          <w:rFonts w:ascii="Times New Roman" w:hAnsi="Times New Roman"/>
          <w:sz w:val="24"/>
          <w:szCs w:val="24"/>
        </w:rPr>
        <w:t>Ralph M. Aderman</w:t>
      </w:r>
      <w:r w:rsidR="00B43522">
        <w:rPr>
          <w:rStyle w:val="None"/>
          <w:rFonts w:ascii="Times New Roman" w:hAnsi="Times New Roman"/>
          <w:sz w:val="24"/>
          <w:szCs w:val="24"/>
        </w:rPr>
        <w:t xml:space="preserve">, </w:t>
      </w:r>
      <w:r w:rsidRPr="008C073E">
        <w:rPr>
          <w:rStyle w:val="None"/>
          <w:rFonts w:ascii="Times New Roman" w:hAnsi="Times New Roman"/>
          <w:sz w:val="24"/>
          <w:szCs w:val="24"/>
        </w:rPr>
        <w:t>G.K. Hall &amp; Co., 1990.</w:t>
      </w:r>
    </w:p>
    <w:p w14:paraId="585AC208" w14:textId="77777777"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proofErr w:type="spellStart"/>
      <w:r w:rsidRPr="008C073E">
        <w:rPr>
          <w:rStyle w:val="None"/>
          <w:rFonts w:ascii="Times New Roman" w:hAnsi="Times New Roman"/>
          <w:sz w:val="24"/>
          <w:szCs w:val="24"/>
        </w:rPr>
        <w:lastRenderedPageBreak/>
        <w:t>Lopezina</w:t>
      </w:r>
      <w:proofErr w:type="spellEnd"/>
      <w:r w:rsidRPr="008C073E">
        <w:rPr>
          <w:rStyle w:val="None"/>
          <w:rFonts w:ascii="Times New Roman" w:hAnsi="Times New Roman"/>
          <w:sz w:val="24"/>
          <w:szCs w:val="24"/>
        </w:rPr>
        <w:t xml:space="preserve">, Drew. </w:t>
      </w:r>
      <w:r w:rsidRPr="00B43522">
        <w:rPr>
          <w:rStyle w:val="None"/>
          <w:rFonts w:ascii="Times New Roman" w:hAnsi="Times New Roman"/>
          <w:i/>
          <w:iCs/>
          <w:sz w:val="24"/>
          <w:szCs w:val="24"/>
        </w:rPr>
        <w:t>Through the Indian’s Looking-Glass:  A Cultural Biography of William Apess, Pequot</w:t>
      </w:r>
      <w:r w:rsidRPr="008C073E">
        <w:rPr>
          <w:rStyle w:val="None"/>
          <w:rFonts w:ascii="Times New Roman" w:hAnsi="Times New Roman"/>
          <w:sz w:val="24"/>
          <w:szCs w:val="24"/>
        </w:rPr>
        <w:t>. University of Massachusetts Press, 2017.</w:t>
      </w:r>
    </w:p>
    <w:p w14:paraId="26372027" w14:textId="77777777"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McCree, J. Woodrow. </w:t>
      </w:r>
      <w:r w:rsidRPr="00B43522">
        <w:rPr>
          <w:rStyle w:val="None"/>
          <w:rFonts w:ascii="Times New Roman" w:hAnsi="Times New Roman"/>
          <w:i/>
          <w:iCs/>
          <w:sz w:val="24"/>
          <w:szCs w:val="24"/>
        </w:rPr>
        <w:t>Washington Irving’s Critique of American Culture: Sketching a Vision of World Citizenship</w:t>
      </w:r>
      <w:r w:rsidRPr="008C073E">
        <w:rPr>
          <w:rStyle w:val="None"/>
          <w:rFonts w:ascii="Times New Roman" w:hAnsi="Times New Roman"/>
          <w:sz w:val="24"/>
          <w:szCs w:val="24"/>
        </w:rPr>
        <w:t xml:space="preserve">. Lexington Books, 2021. </w:t>
      </w:r>
    </w:p>
    <w:p w14:paraId="0F07F3C2" w14:textId="5BECE770" w:rsidR="003425DF" w:rsidRDefault="006531BC" w:rsidP="00EA0B0E">
      <w:pPr>
        <w:pBdr>
          <w:top w:val="nil"/>
          <w:left w:val="nil"/>
          <w:bottom w:val="nil"/>
          <w:right w:val="nil"/>
          <w:between w:val="nil"/>
          <w:bar w:val="nil"/>
        </w:pBdr>
        <w:spacing w:before="240" w:line="480" w:lineRule="auto"/>
        <w:ind w:left="720" w:hanging="720"/>
        <w:rPr>
          <w:rStyle w:val="None"/>
          <w:rFonts w:ascii="Times New Roman" w:hAnsi="Times New Roman"/>
          <w:lang w:val="nl-NL"/>
        </w:rPr>
      </w:pPr>
      <w:r w:rsidRPr="006531BC">
        <w:rPr>
          <w:rFonts w:ascii="Times New Roman" w:eastAsia="Arial Unicode MS" w:hAnsi="Times New Roman" w:cs="Arial Unicode MS"/>
          <w:color w:val="000000"/>
          <w:u w:color="000000"/>
          <w:bdr w:val="nil"/>
          <w:lang w:val="it-IT"/>
          <w14:textOutline w14:w="0" w14:cap="flat" w14:cmpd="sng" w14:algn="ctr">
            <w14:noFill/>
            <w14:prstDash w14:val="solid"/>
            <w14:bevel/>
          </w14:textOutline>
        </w:rPr>
        <w:t xml:space="preserve">Merish, Lori. </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“Print, Cultural Memory, and John Rollin Ridge’s </w:t>
      </w:r>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The Life and Adventures of Joaquin Murieta, the Celebrated California Bandit</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w:t>
      </w:r>
      <w:r w:rsidRPr="006531BC">
        <w:rPr>
          <w:rFonts w:ascii="Times New Roman" w:eastAsia="Arial Unicode MS" w:hAnsi="Times New Roman" w:cs="Arial Unicode MS"/>
          <w:i/>
          <w:iCs/>
          <w:color w:val="000000"/>
          <w:u w:color="000000"/>
          <w:bdr w:val="nil"/>
          <w:lang w:val="it-IT"/>
          <w14:textOutline w14:w="0" w14:cap="flat" w14:cmpd="sng" w14:algn="ctr">
            <w14:noFill/>
            <w14:prstDash w14:val="solid"/>
            <w14:bevel/>
          </w14:textOutline>
        </w:rPr>
        <w:t>Arizona Quarterly</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59.4 (Winter 2003): 31-70.</w:t>
      </w:r>
      <w:r w:rsidR="003425DF">
        <w:rPr>
          <w:color w:val="000000"/>
        </w:rPr>
        <w:t xml:space="preserve"> </w:t>
      </w:r>
    </w:p>
    <w:p w14:paraId="473AF5CB" w14:textId="2CDF568C"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lang w:val="nl-NL"/>
        </w:rPr>
        <w:t xml:space="preserve">Peters, Mwalim. </w:t>
      </w:r>
      <w:r w:rsidRPr="00B43522">
        <w:rPr>
          <w:rStyle w:val="None"/>
          <w:rFonts w:ascii="Times New Roman" w:hAnsi="Times New Roman"/>
          <w:i/>
          <w:iCs/>
          <w:sz w:val="24"/>
          <w:szCs w:val="24"/>
        </w:rPr>
        <w:t>A Mixed Medicine Bag: Original Black Wampanoag Folklore</w:t>
      </w:r>
      <w:r w:rsidRPr="008C073E">
        <w:rPr>
          <w:rStyle w:val="None"/>
          <w:rFonts w:ascii="Times New Roman" w:hAnsi="Times New Roman"/>
          <w:sz w:val="24"/>
          <w:szCs w:val="24"/>
        </w:rPr>
        <w:t xml:space="preserve">. Talking Drum Press, 2007.  </w:t>
      </w:r>
    </w:p>
    <w:p w14:paraId="23816E78" w14:textId="16B3ADE0"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 “Laughter Keepers: Exploring the Medicine Clown Tradition of the Wampanoag.” </w:t>
      </w:r>
      <w:r w:rsidRPr="0067114D">
        <w:rPr>
          <w:rStyle w:val="None"/>
          <w:rFonts w:ascii="Times New Roman" w:hAnsi="Times New Roman"/>
          <w:i/>
          <w:iCs/>
          <w:sz w:val="24"/>
          <w:szCs w:val="24"/>
        </w:rPr>
        <w:t>Moshe Cohen</w:t>
      </w:r>
      <w:r w:rsidR="0067114D">
        <w:rPr>
          <w:rStyle w:val="None"/>
          <w:rFonts w:ascii="Times New Roman" w:hAnsi="Times New Roman"/>
          <w:sz w:val="24"/>
          <w:szCs w:val="24"/>
        </w:rPr>
        <w:t>,</w:t>
      </w:r>
      <w:r w:rsidRPr="008C073E">
        <w:rPr>
          <w:rStyle w:val="None"/>
          <w:rFonts w:ascii="Times New Roman" w:hAnsi="Times New Roman"/>
          <w:sz w:val="24"/>
          <w:szCs w:val="24"/>
        </w:rPr>
        <w:t xml:space="preserve"> 28 May </w:t>
      </w:r>
      <w:r w:rsidRPr="00B43522">
        <w:rPr>
          <w:rStyle w:val="None"/>
          <w:rFonts w:ascii="Times New Roman" w:hAnsi="Times New Roman"/>
          <w:color w:val="auto"/>
          <w:sz w:val="24"/>
          <w:szCs w:val="24"/>
        </w:rPr>
        <w:t>2021</w:t>
      </w:r>
      <w:r w:rsidR="0067114D">
        <w:rPr>
          <w:rStyle w:val="None"/>
          <w:rFonts w:ascii="Times New Roman" w:hAnsi="Times New Roman"/>
          <w:color w:val="auto"/>
          <w:sz w:val="24"/>
          <w:szCs w:val="24"/>
        </w:rPr>
        <w:t>,</w:t>
      </w:r>
      <w:r w:rsidRPr="00B43522">
        <w:rPr>
          <w:rStyle w:val="None"/>
          <w:rFonts w:ascii="Times New Roman" w:hAnsi="Times New Roman"/>
          <w:color w:val="auto"/>
          <w:sz w:val="24"/>
          <w:szCs w:val="24"/>
        </w:rPr>
        <w:t xml:space="preserve"> </w:t>
      </w:r>
      <w:r w:rsidRPr="00B43522">
        <w:rPr>
          <w:rStyle w:val="Hyperlink2"/>
          <w:rFonts w:eastAsia="Arial Unicode MS"/>
          <w:color w:val="auto"/>
          <w:u w:val="none"/>
        </w:rPr>
        <w:t>https://moshecohen.net/laughter-keepers-exploring-the-medicine-clown-tradition-of-the-wampanoag-by-mwalim/</w:t>
      </w:r>
      <w:r w:rsidRPr="00B43522">
        <w:rPr>
          <w:rStyle w:val="None"/>
          <w:rFonts w:ascii="Times New Roman" w:hAnsi="Times New Roman"/>
          <w:color w:val="auto"/>
          <w:sz w:val="24"/>
          <w:szCs w:val="24"/>
        </w:rPr>
        <w:t xml:space="preserve">. </w:t>
      </w:r>
    </w:p>
    <w:p w14:paraId="08EC9CB3" w14:textId="1F95446B" w:rsidR="00274B3F" w:rsidRPr="008C073E" w:rsidRDefault="00274B3F" w:rsidP="00EA0B0E">
      <w:pPr>
        <w:pStyle w:val="Body"/>
        <w:spacing w:line="480" w:lineRule="auto"/>
        <w:ind w:left="720" w:hanging="720"/>
        <w:rPr>
          <w:rStyle w:val="None"/>
          <w:rFonts w:ascii="Times New Roman" w:hAnsi="Times New Roman"/>
          <w:sz w:val="24"/>
          <w:szCs w:val="24"/>
        </w:rPr>
      </w:pPr>
      <w:r w:rsidRPr="008C073E">
        <w:rPr>
          <w:rStyle w:val="None"/>
          <w:rFonts w:ascii="Times New Roman" w:hAnsi="Times New Roman"/>
          <w:sz w:val="24"/>
          <w:szCs w:val="24"/>
        </w:rPr>
        <w:t xml:space="preserve">Pinckney, Thomas. “Great Victory Over the Creek Indians.” </w:t>
      </w:r>
      <w:r w:rsidRPr="0067114D">
        <w:rPr>
          <w:rStyle w:val="None"/>
          <w:rFonts w:ascii="Times New Roman" w:hAnsi="Times New Roman"/>
          <w:i/>
          <w:iCs/>
          <w:sz w:val="24"/>
          <w:szCs w:val="24"/>
        </w:rPr>
        <w:t>The National Intelligencer</w:t>
      </w:r>
      <w:r w:rsidR="0067114D">
        <w:rPr>
          <w:rStyle w:val="None"/>
          <w:rFonts w:ascii="Times New Roman" w:hAnsi="Times New Roman"/>
          <w:sz w:val="24"/>
          <w:szCs w:val="24"/>
        </w:rPr>
        <w:t xml:space="preserve">, </w:t>
      </w:r>
      <w:r w:rsidRPr="008C073E">
        <w:rPr>
          <w:rStyle w:val="None"/>
          <w:rFonts w:ascii="Times New Roman" w:hAnsi="Times New Roman"/>
          <w:sz w:val="24"/>
          <w:szCs w:val="24"/>
        </w:rPr>
        <w:t>18 April 1814.</w:t>
      </w:r>
    </w:p>
    <w:p w14:paraId="6B946D8F" w14:textId="0135952D"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 xml:space="preserve">Reynolds, Guy. “The Winning of the West: Washington Irving’s </w:t>
      </w:r>
      <w:r w:rsidRPr="007C1487">
        <w:rPr>
          <w:rStyle w:val="None"/>
          <w:rFonts w:ascii="Times New Roman" w:hAnsi="Times New Roman"/>
          <w:i/>
          <w:iCs/>
          <w:sz w:val="24"/>
          <w:szCs w:val="24"/>
        </w:rPr>
        <w:t>A Tour on the Prairies</w:t>
      </w:r>
      <w:r w:rsidRPr="008C073E">
        <w:rPr>
          <w:rStyle w:val="None"/>
          <w:rFonts w:ascii="Times New Roman" w:hAnsi="Times New Roman"/>
          <w:sz w:val="24"/>
          <w:szCs w:val="24"/>
        </w:rPr>
        <w:t xml:space="preserve">.” </w:t>
      </w:r>
      <w:r w:rsidRPr="0067114D">
        <w:rPr>
          <w:rStyle w:val="None"/>
          <w:rFonts w:ascii="Times New Roman" w:hAnsi="Times New Roman"/>
          <w:i/>
          <w:iCs/>
          <w:sz w:val="24"/>
          <w:szCs w:val="24"/>
        </w:rPr>
        <w:t>The Yearbook of English Studies</w:t>
      </w:r>
      <w:r w:rsidRPr="008C073E">
        <w:rPr>
          <w:rStyle w:val="None"/>
          <w:rFonts w:ascii="Times New Roman" w:hAnsi="Times New Roman"/>
          <w:sz w:val="24"/>
          <w:szCs w:val="24"/>
          <w:lang w:val="ru-RU"/>
        </w:rPr>
        <w:t>,</w:t>
      </w:r>
      <w:r w:rsidR="0067114D">
        <w:rPr>
          <w:rStyle w:val="None"/>
          <w:rFonts w:ascii="Times New Roman" w:hAnsi="Times New Roman"/>
          <w:sz w:val="24"/>
          <w:szCs w:val="24"/>
        </w:rPr>
        <w:t xml:space="preserve"> vol.</w:t>
      </w:r>
      <w:r w:rsidRPr="008C073E">
        <w:rPr>
          <w:rStyle w:val="None"/>
          <w:rFonts w:ascii="Times New Roman" w:hAnsi="Times New Roman"/>
          <w:sz w:val="24"/>
          <w:szCs w:val="24"/>
          <w:lang w:val="ru-RU"/>
        </w:rPr>
        <w:t xml:space="preserve"> 34</w:t>
      </w:r>
      <w:r w:rsidR="0067114D">
        <w:rPr>
          <w:rStyle w:val="None"/>
          <w:rFonts w:ascii="Times New Roman" w:hAnsi="Times New Roman"/>
          <w:sz w:val="24"/>
          <w:szCs w:val="24"/>
        </w:rPr>
        <w:t>,</w:t>
      </w:r>
      <w:r w:rsidRPr="008C073E">
        <w:rPr>
          <w:rStyle w:val="None"/>
          <w:rFonts w:ascii="Times New Roman" w:hAnsi="Times New Roman"/>
          <w:sz w:val="24"/>
          <w:szCs w:val="24"/>
          <w:lang w:val="ru-RU"/>
        </w:rPr>
        <w:t xml:space="preserve"> </w:t>
      </w:r>
      <w:r w:rsidRPr="008C073E">
        <w:rPr>
          <w:rStyle w:val="None"/>
          <w:rFonts w:ascii="Times New Roman" w:hAnsi="Times New Roman"/>
          <w:sz w:val="24"/>
          <w:szCs w:val="24"/>
        </w:rPr>
        <w:t>“Nineteenth Century Travel Writing</w:t>
      </w:r>
      <w:r w:rsidR="0067114D">
        <w:rPr>
          <w:rStyle w:val="None"/>
          <w:rFonts w:ascii="Times New Roman" w:hAnsi="Times New Roman"/>
          <w:sz w:val="24"/>
          <w:szCs w:val="24"/>
        </w:rPr>
        <w:t>,</w:t>
      </w:r>
      <w:r w:rsidRPr="008C073E">
        <w:rPr>
          <w:rStyle w:val="None"/>
          <w:rFonts w:ascii="Times New Roman" w:hAnsi="Times New Roman"/>
          <w:sz w:val="24"/>
          <w:szCs w:val="24"/>
        </w:rPr>
        <w:t>” 2004</w:t>
      </w:r>
      <w:r w:rsidR="0067114D">
        <w:rPr>
          <w:rStyle w:val="None"/>
          <w:rFonts w:ascii="Times New Roman" w:hAnsi="Times New Roman"/>
          <w:sz w:val="24"/>
          <w:szCs w:val="24"/>
        </w:rPr>
        <w:t>, pp.</w:t>
      </w:r>
      <w:r w:rsidRPr="008C073E">
        <w:rPr>
          <w:rStyle w:val="None"/>
          <w:rFonts w:ascii="Times New Roman" w:hAnsi="Times New Roman"/>
          <w:sz w:val="24"/>
          <w:szCs w:val="24"/>
        </w:rPr>
        <w:t xml:space="preserve"> 88-99.</w:t>
      </w:r>
    </w:p>
    <w:p w14:paraId="0292291B" w14:textId="77777777" w:rsidR="006531BC" w:rsidRPr="006531BC" w:rsidRDefault="006531BC" w:rsidP="00EA0B0E">
      <w:pPr>
        <w:pBdr>
          <w:top w:val="nil"/>
          <w:left w:val="nil"/>
          <w:bottom w:val="nil"/>
          <w:right w:val="nil"/>
          <w:between w:val="nil"/>
          <w:bar w:val="nil"/>
        </w:pBdr>
        <w:spacing w:line="480" w:lineRule="auto"/>
        <w:ind w:left="720" w:hanging="720"/>
        <w:rPr>
          <w:rFonts w:ascii="Times New Roman" w:hAnsi="Times New Roman" w:cs="Times New Roman"/>
          <w:i/>
          <w:iCs/>
          <w:color w:val="000000"/>
          <w:u w:color="000000"/>
          <w:bdr w:val="nil"/>
          <w14:textOutline w14:w="0" w14:cap="flat" w14:cmpd="sng" w14:algn="ctr">
            <w14:noFill/>
            <w14:prstDash w14:val="solid"/>
            <w14:bevel/>
          </w14:textOutline>
        </w:rPr>
      </w:pP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Ridge, John Rollin to Sarah Bird Northup Ridge. Oct. 5, 1855. In </w:t>
      </w:r>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Cherokee Cavaliers: Forty Years of Cherokee History as Told in the Correspondence of the Ridge-Watie-Boudinot Family</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Eds. Edward Everett Dale and Gaston Litton. Norman: University of Oklahoma Press, 1939.</w:t>
      </w:r>
    </w:p>
    <w:p w14:paraId="3C3FA45C" w14:textId="77777777" w:rsidR="006531BC" w:rsidRPr="006531BC" w:rsidRDefault="006531BC" w:rsidP="00EA0B0E">
      <w:pPr>
        <w:pBdr>
          <w:top w:val="nil"/>
          <w:left w:val="nil"/>
          <w:bottom w:val="nil"/>
          <w:right w:val="nil"/>
          <w:between w:val="nil"/>
          <w:bar w:val="nil"/>
        </w:pBdr>
        <w:spacing w:before="240" w:line="480" w:lineRule="auto"/>
        <w:ind w:left="720" w:hanging="720"/>
        <w:rPr>
          <w:rFonts w:ascii="Times New Roman" w:hAnsi="Times New Roman" w:cs="Times New Roman"/>
          <w:color w:val="000000"/>
          <w:u w:color="000000"/>
          <w:bdr w:val="nil"/>
          <w14:textOutline w14:w="0" w14:cap="flat" w14:cmpd="sng" w14:algn="ctr">
            <w14:noFill/>
            <w14:prstDash w14:val="solid"/>
            <w14:bevel/>
          </w14:textOutline>
        </w:rPr>
      </w:pPr>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lastRenderedPageBreak/>
        <w:t>—.</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w:t>
      </w:r>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The Life and Adventures of Joaquin Murieta: The Celebrated California Bandit</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1854. Norman: University of Oklahoma Press, 1954.</w:t>
      </w:r>
    </w:p>
    <w:p w14:paraId="70913610" w14:textId="77777777" w:rsidR="006531BC" w:rsidRPr="006531BC" w:rsidRDefault="006531BC" w:rsidP="00EA0B0E">
      <w:pPr>
        <w:pBdr>
          <w:top w:val="nil"/>
          <w:left w:val="nil"/>
          <w:bottom w:val="nil"/>
          <w:right w:val="nil"/>
          <w:between w:val="nil"/>
          <w:bar w:val="nil"/>
        </w:pBdr>
        <w:spacing w:before="240" w:line="480" w:lineRule="auto"/>
        <w:ind w:left="720" w:hanging="720"/>
        <w:rPr>
          <w:rFonts w:ascii="Times New Roman" w:hAnsi="Times New Roman" w:cs="Times New Roman"/>
          <w:color w:val="000000"/>
          <w:u w:color="000000"/>
          <w:bdr w:val="nil"/>
          <w14:textOutline w14:w="0" w14:cap="flat" w14:cmpd="sng" w14:algn="ctr">
            <w14:noFill/>
            <w14:prstDash w14:val="solid"/>
            <w14:bevel/>
          </w14:textOutline>
        </w:rPr>
      </w:pP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Rifkin, Mark. ‘“For the wrongs of our bleeding country”: Sensation, Class, and Empire in Ridge’s </w:t>
      </w:r>
      <w:proofErr w:type="spellStart"/>
      <w:r w:rsidRPr="006531BC">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Joaquin</w:t>
      </w:r>
      <w:proofErr w:type="spellEnd"/>
      <w:r w:rsidRPr="006531BC">
        <w:rPr>
          <w:rFonts w:ascii="Times New Roman" w:eastAsia="Arial Unicode MS" w:hAnsi="Times New Roman" w:cs="Arial Unicode MS"/>
          <w:i/>
          <w:iCs/>
          <w:color w:val="000000"/>
          <w:u w:color="000000"/>
          <w:bdr w:val="nil"/>
          <w:lang w:val="es-ES_tradnl"/>
          <w14:textOutline w14:w="0" w14:cap="flat" w14:cmpd="sng" w14:algn="ctr">
            <w14:noFill/>
            <w14:prstDash w14:val="solid"/>
            <w14:bevel/>
          </w14:textOutline>
        </w:rPr>
        <w:t xml:space="preserve"> Murieta</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w:t>
      </w:r>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Arizona Quarterly: A Journal of American Literature, Culture, and Theory</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65.2 (Summer 2009): 27-56.</w:t>
      </w:r>
    </w:p>
    <w:p w14:paraId="652EAD7C" w14:textId="77777777" w:rsidR="00AC7D90" w:rsidRPr="004B4A8A" w:rsidRDefault="00AC7D90" w:rsidP="00EA0B0E">
      <w:pPr>
        <w:pStyle w:val="NormalWeb"/>
        <w:spacing w:before="240" w:beforeAutospacing="0" w:after="240" w:afterAutospacing="0" w:line="480" w:lineRule="auto"/>
        <w:ind w:left="720" w:hanging="720"/>
        <w:rPr>
          <w:color w:val="000000"/>
          <w:shd w:val="clear" w:color="auto" w:fill="FFFFFF"/>
        </w:rPr>
      </w:pPr>
      <w:r>
        <w:rPr>
          <w:color w:val="000000"/>
          <w:shd w:val="clear" w:color="auto" w:fill="FFFFFF"/>
        </w:rPr>
        <w:t xml:space="preserve">Ross, John. </w:t>
      </w:r>
      <w:r w:rsidRPr="004B4A8A">
        <w:rPr>
          <w:color w:val="000000"/>
          <w:shd w:val="clear" w:color="auto" w:fill="FFFFFF"/>
        </w:rPr>
        <w:t>Excerpt from “Letter from John Ross, principal Chief of the Cherokee Nation of Indians,” Digital Public Library of America,</w:t>
      </w:r>
      <w:r>
        <w:rPr>
          <w:color w:val="000000"/>
          <w:shd w:val="clear" w:color="auto" w:fill="FFFFFF"/>
        </w:rPr>
        <w:t xml:space="preserve"> </w:t>
      </w:r>
      <w:r w:rsidRPr="004B4A8A">
        <w:rPr>
          <w:color w:val="000000"/>
          <w:shd w:val="clear" w:color="auto" w:fill="FFFFFF"/>
        </w:rPr>
        <w:t>https://dp.la/item/71ae06db03ac5869432da505c6a75d45</w:t>
      </w:r>
    </w:p>
    <w:p w14:paraId="6F2814BA" w14:textId="5BAAF972" w:rsidR="00274B3F" w:rsidRPr="0067114D"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67114D">
        <w:rPr>
          <w:rStyle w:val="None"/>
          <w:rFonts w:ascii="Times New Roman" w:hAnsi="Times New Roman"/>
          <w:sz w:val="24"/>
          <w:szCs w:val="24"/>
        </w:rPr>
        <w:t xml:space="preserve">Rowlandson, Mary. </w:t>
      </w:r>
      <w:r w:rsidRPr="0067114D">
        <w:rPr>
          <w:rStyle w:val="None"/>
          <w:rFonts w:ascii="Times New Roman" w:hAnsi="Times New Roman"/>
          <w:i/>
          <w:iCs/>
          <w:sz w:val="24"/>
          <w:szCs w:val="24"/>
        </w:rPr>
        <w:t>The Sovereignty &amp; Goodness of God, Together, With the Faithfulness of His Promises Displayed; Being a Narrative of the Captivity and Restoration of Mrs. Mary Rowlandson</w:t>
      </w:r>
      <w:r w:rsidRPr="0067114D">
        <w:rPr>
          <w:rStyle w:val="None"/>
          <w:rFonts w:ascii="Times New Roman" w:hAnsi="Times New Roman"/>
          <w:sz w:val="24"/>
          <w:szCs w:val="24"/>
        </w:rPr>
        <w:t>. Samuel Green, 1682</w:t>
      </w:r>
      <w:r w:rsidR="0067114D">
        <w:rPr>
          <w:rStyle w:val="None"/>
          <w:rFonts w:ascii="Times New Roman" w:hAnsi="Times New Roman"/>
          <w:sz w:val="24"/>
          <w:szCs w:val="24"/>
        </w:rPr>
        <w:t xml:space="preserve">, </w:t>
      </w:r>
      <w:r w:rsidR="0067114D" w:rsidRPr="0067114D">
        <w:rPr>
          <w:rStyle w:val="None"/>
          <w:rFonts w:ascii="Times New Roman" w:hAnsi="Times New Roman"/>
          <w:sz w:val="24"/>
          <w:szCs w:val="24"/>
        </w:rPr>
        <w:t>https://www.gutenberg.org/cache/epub/851/pg851-images.html</w:t>
      </w:r>
      <w:r w:rsidR="0067114D">
        <w:rPr>
          <w:rStyle w:val="None"/>
          <w:rFonts w:ascii="Times New Roman" w:hAnsi="Times New Roman"/>
          <w:sz w:val="24"/>
          <w:szCs w:val="24"/>
        </w:rPr>
        <w:t>. Project Gutenberg.</w:t>
      </w:r>
    </w:p>
    <w:p w14:paraId="3AB5BA04" w14:textId="77777777" w:rsidR="006531BC" w:rsidRPr="006531BC" w:rsidRDefault="006531BC" w:rsidP="00EA0B0E">
      <w:pPr>
        <w:pBdr>
          <w:top w:val="nil"/>
          <w:left w:val="nil"/>
          <w:bottom w:val="nil"/>
          <w:right w:val="nil"/>
          <w:between w:val="nil"/>
          <w:bar w:val="nil"/>
        </w:pBdr>
        <w:spacing w:before="240" w:line="480" w:lineRule="auto"/>
        <w:ind w:left="720" w:hanging="720"/>
        <w:rPr>
          <w:rFonts w:ascii="Times New Roman" w:hAnsi="Times New Roman" w:cs="Times New Roman"/>
          <w:color w:val="000000"/>
          <w:u w:color="000000"/>
          <w:bdr w:val="nil"/>
          <w14:textOutline w14:w="0" w14:cap="flat" w14:cmpd="sng" w14:algn="ctr">
            <w14:noFill/>
            <w14:prstDash w14:val="solid"/>
            <w14:bevel/>
          </w14:textOutline>
        </w:rPr>
      </w:pP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Rowe, John Carlos. </w:t>
      </w:r>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Literary Culture and U.S. Imperialism: From the Revolution to World War II.</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New York: Oxford University Press, 2000.</w:t>
      </w:r>
    </w:p>
    <w:p w14:paraId="3ED58A30" w14:textId="77777777" w:rsidR="006531BC" w:rsidRPr="006531BC" w:rsidRDefault="006531BC" w:rsidP="00EA0B0E">
      <w:pPr>
        <w:pBdr>
          <w:top w:val="nil"/>
          <w:left w:val="nil"/>
          <w:bottom w:val="nil"/>
          <w:right w:val="nil"/>
          <w:between w:val="nil"/>
          <w:bar w:val="nil"/>
        </w:pBdr>
        <w:spacing w:before="240" w:line="480" w:lineRule="auto"/>
        <w:ind w:left="720" w:hanging="720"/>
        <w:rPr>
          <w:rFonts w:ascii="Times New Roman" w:eastAsia="Arial Unicode MS" w:hAnsi="Times New Roman" w:cs="Arial Unicode MS"/>
          <w:color w:val="000000"/>
          <w:u w:color="000000"/>
          <w:bdr w:val="nil"/>
          <w14:textOutline w14:w="0" w14:cap="flat" w14:cmpd="sng" w14:algn="ctr">
            <w14:noFill/>
            <w14:prstDash w14:val="solid"/>
            <w14:bevel/>
          </w14:textOutline>
        </w:rPr>
      </w:pP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Saunt, Claudio. </w:t>
      </w:r>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Unworthy Republic: The Dispossession of Native Americans and the Road to Indian Territory</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Norton, 2020.</w:t>
      </w:r>
    </w:p>
    <w:p w14:paraId="0FB9EA1B" w14:textId="77777777" w:rsidR="006531BC" w:rsidRPr="006531BC" w:rsidRDefault="006531BC" w:rsidP="00EA0B0E">
      <w:pPr>
        <w:pBdr>
          <w:top w:val="nil"/>
          <w:left w:val="nil"/>
          <w:bottom w:val="nil"/>
          <w:right w:val="nil"/>
          <w:between w:val="nil"/>
          <w:bar w:val="nil"/>
        </w:pBdr>
        <w:spacing w:before="240" w:line="480" w:lineRule="auto"/>
        <w:ind w:left="720" w:hanging="720"/>
        <w:rPr>
          <w:rFonts w:ascii="Times New Roman" w:hAnsi="Times New Roman" w:cs="Times New Roman"/>
          <w:color w:val="000000"/>
          <w:u w:color="000000"/>
          <w:bdr w:val="nil"/>
          <w14:textOutline w14:w="0" w14:cap="flat" w14:cmpd="sng" w14:algn="ctr">
            <w14:noFill/>
            <w14:prstDash w14:val="solid"/>
            <w14:bevel/>
          </w14:textOutline>
        </w:rPr>
      </w:pP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Silver, Andrew. </w:t>
      </w:r>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Minstrelsy and Murder: The Crisis of Southern Humor, 1835-1925</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Baton Rouge: Louisiana State UP, 2006.</w:t>
      </w:r>
    </w:p>
    <w:p w14:paraId="6433A1DD" w14:textId="77777777" w:rsidR="006531BC" w:rsidRPr="006531BC" w:rsidRDefault="006531BC" w:rsidP="00EA0B0E">
      <w:pPr>
        <w:pBdr>
          <w:top w:val="nil"/>
          <w:left w:val="nil"/>
          <w:bottom w:val="nil"/>
          <w:right w:val="nil"/>
          <w:between w:val="nil"/>
          <w:bar w:val="nil"/>
        </w:pBdr>
        <w:spacing w:before="240" w:line="480" w:lineRule="auto"/>
        <w:ind w:left="720" w:hanging="720"/>
        <w:rPr>
          <w:rFonts w:ascii="Times New Roman" w:hAnsi="Times New Roman" w:cs="Times New Roman"/>
          <w:color w:val="000000"/>
          <w:u w:color="000000"/>
          <w:bdr w:val="nil"/>
          <w14:textOutline w14:w="0" w14:cap="flat" w14:cmpd="sng" w14:algn="ctr">
            <w14:noFill/>
            <w14:prstDash w14:val="solid"/>
            <w14:bevel/>
          </w14:textOutline>
        </w:rPr>
      </w:pP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lastRenderedPageBreak/>
        <w:t xml:space="preserve">Twain, Mark. </w:t>
      </w:r>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The Celebrated Jumping Frog of Calaveras County, and Other Sketches</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xml:space="preserve">. 1867. New York: Oxford University Press, 1996. </w:t>
      </w:r>
    </w:p>
    <w:p w14:paraId="51062F5F" w14:textId="4C22A5F7" w:rsidR="00274B3F" w:rsidRPr="008C073E"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rPr>
        <w:t>Wallace, Anthony F. C. and Timothy B.</w:t>
      </w:r>
      <w:r w:rsidR="0067114D">
        <w:rPr>
          <w:rStyle w:val="None"/>
          <w:rFonts w:ascii="Times New Roman" w:hAnsi="Times New Roman"/>
          <w:sz w:val="24"/>
          <w:szCs w:val="24"/>
        </w:rPr>
        <w:t xml:space="preserve"> Powell.</w:t>
      </w:r>
      <w:r w:rsidRPr="008C073E">
        <w:rPr>
          <w:rStyle w:val="None"/>
          <w:rFonts w:ascii="Times New Roman" w:hAnsi="Times New Roman"/>
          <w:sz w:val="24"/>
          <w:szCs w:val="24"/>
        </w:rPr>
        <w:t xml:space="preserve"> “How to Buy a Continent: The Protocol of Indian Treaties as Developed by Benjamin Franklin and Other Members of the American Philosophical Society.” </w:t>
      </w:r>
      <w:r w:rsidRPr="0067114D">
        <w:rPr>
          <w:rStyle w:val="None"/>
          <w:rFonts w:ascii="Times New Roman" w:hAnsi="Times New Roman"/>
          <w:i/>
          <w:iCs/>
          <w:sz w:val="24"/>
          <w:szCs w:val="24"/>
        </w:rPr>
        <w:t>Proceedings of the American Philosophical Society</w:t>
      </w:r>
      <w:r w:rsidRPr="008C073E">
        <w:rPr>
          <w:rStyle w:val="None"/>
          <w:rFonts w:ascii="Times New Roman" w:hAnsi="Times New Roman"/>
          <w:sz w:val="24"/>
          <w:szCs w:val="24"/>
        </w:rPr>
        <w:t>,</w:t>
      </w:r>
      <w:r w:rsidR="0067114D">
        <w:rPr>
          <w:rStyle w:val="None"/>
          <w:rFonts w:ascii="Times New Roman" w:hAnsi="Times New Roman"/>
          <w:sz w:val="24"/>
          <w:szCs w:val="24"/>
        </w:rPr>
        <w:t xml:space="preserve"> vol.</w:t>
      </w:r>
      <w:r w:rsidRPr="008C073E">
        <w:rPr>
          <w:rStyle w:val="None"/>
          <w:rFonts w:ascii="Times New Roman" w:hAnsi="Times New Roman"/>
          <w:sz w:val="24"/>
          <w:szCs w:val="24"/>
        </w:rPr>
        <w:t xml:space="preserve"> 159</w:t>
      </w:r>
      <w:r w:rsidR="0067114D">
        <w:rPr>
          <w:rStyle w:val="None"/>
          <w:rFonts w:ascii="Times New Roman" w:hAnsi="Times New Roman"/>
          <w:sz w:val="24"/>
          <w:szCs w:val="24"/>
        </w:rPr>
        <w:t xml:space="preserve">, no. </w:t>
      </w:r>
      <w:r w:rsidRPr="008C073E">
        <w:rPr>
          <w:rStyle w:val="None"/>
          <w:rFonts w:ascii="Times New Roman" w:hAnsi="Times New Roman"/>
          <w:sz w:val="24"/>
          <w:szCs w:val="24"/>
        </w:rPr>
        <w:t>3</w:t>
      </w:r>
      <w:r w:rsidR="0067114D">
        <w:rPr>
          <w:rStyle w:val="None"/>
          <w:rFonts w:ascii="Times New Roman" w:hAnsi="Times New Roman"/>
          <w:sz w:val="24"/>
          <w:szCs w:val="24"/>
        </w:rPr>
        <w:t>,</w:t>
      </w:r>
      <w:r w:rsidRPr="008C073E">
        <w:rPr>
          <w:rStyle w:val="None"/>
          <w:rFonts w:ascii="Times New Roman" w:hAnsi="Times New Roman"/>
          <w:sz w:val="24"/>
          <w:szCs w:val="24"/>
        </w:rPr>
        <w:t xml:space="preserve"> September 201</w:t>
      </w:r>
      <w:r w:rsidR="0067114D">
        <w:rPr>
          <w:rStyle w:val="None"/>
          <w:rFonts w:ascii="Times New Roman" w:hAnsi="Times New Roman"/>
          <w:sz w:val="24"/>
          <w:szCs w:val="24"/>
        </w:rPr>
        <w:t>5, pp.</w:t>
      </w:r>
      <w:r w:rsidRPr="008C073E">
        <w:rPr>
          <w:rStyle w:val="None"/>
          <w:rFonts w:ascii="Times New Roman" w:hAnsi="Times New Roman"/>
          <w:sz w:val="24"/>
          <w:szCs w:val="24"/>
        </w:rPr>
        <w:t xml:space="preserve"> 251-28.</w:t>
      </w:r>
    </w:p>
    <w:p w14:paraId="27B1B8DC" w14:textId="77777777" w:rsidR="006531BC" w:rsidRPr="006531BC" w:rsidRDefault="006531BC" w:rsidP="00EA0B0E">
      <w:pPr>
        <w:pBdr>
          <w:top w:val="nil"/>
          <w:left w:val="nil"/>
          <w:bottom w:val="nil"/>
          <w:right w:val="nil"/>
          <w:between w:val="nil"/>
          <w:bar w:val="nil"/>
        </w:pBdr>
        <w:spacing w:before="240" w:line="480" w:lineRule="auto"/>
        <w:ind w:left="720" w:hanging="720"/>
        <w:rPr>
          <w:rFonts w:ascii="Times New Roman" w:hAnsi="Times New Roman" w:cs="Times New Roman"/>
          <w:color w:val="000000"/>
          <w:u w:color="000000"/>
          <w:bdr w:val="nil"/>
          <w14:textOutline w14:w="0" w14:cap="flat" w14:cmpd="sng" w14:algn="ctr">
            <w14:noFill/>
            <w14:prstDash w14:val="solid"/>
            <w14:bevel/>
          </w14:textOutline>
        </w:rPr>
      </w:pPr>
      <w:r w:rsidRPr="006531BC">
        <w:rPr>
          <w:rFonts w:ascii="Times New Roman" w:eastAsia="Arial Unicode MS" w:hAnsi="Times New Roman" w:cs="Arial Unicode MS"/>
          <w:color w:val="000000"/>
          <w:u w:color="000000"/>
          <w:bdr w:val="nil"/>
          <w:lang w:val="pt-PT"/>
          <w14:textOutline w14:w="0" w14:cap="flat" w14:cmpd="sng" w14:algn="ctr">
            <w14:noFill/>
            <w14:prstDash w14:val="solid"/>
            <w14:bevel/>
          </w14:textOutline>
        </w:rPr>
        <w:t xml:space="preserve">Vizenor, Gerald. </w:t>
      </w:r>
      <w:r w:rsidRPr="006531BC">
        <w:rPr>
          <w:rFonts w:ascii="Times New Roman" w:eastAsia="Arial Unicode MS" w:hAnsi="Times New Roman" w:cs="Arial Unicode MS"/>
          <w:i/>
          <w:iCs/>
          <w:color w:val="000000"/>
          <w:u w:color="000000"/>
          <w:bdr w:val="nil"/>
          <w14:textOutline w14:w="0" w14:cap="flat" w14:cmpd="sng" w14:algn="ctr">
            <w14:noFill/>
            <w14:prstDash w14:val="solid"/>
            <w14:bevel/>
          </w14:textOutline>
        </w:rPr>
        <w:t>Manifest Manners: Narratives on Postindian Survivance</w:t>
      </w:r>
      <w:r w:rsidRPr="006531BC">
        <w:rPr>
          <w:rFonts w:ascii="Times New Roman" w:eastAsia="Arial Unicode MS" w:hAnsi="Times New Roman" w:cs="Arial Unicode MS"/>
          <w:color w:val="000000"/>
          <w:u w:color="000000"/>
          <w:bdr w:val="nil"/>
          <w14:textOutline w14:w="0" w14:cap="flat" w14:cmpd="sng" w14:algn="ctr">
            <w14:noFill/>
            <w14:prstDash w14:val="solid"/>
            <w14:bevel/>
          </w14:textOutline>
        </w:rPr>
        <w:t>. Lincoln: University of Nebraska Press, 1994.</w:t>
      </w:r>
    </w:p>
    <w:p w14:paraId="3A10A45E" w14:textId="43BCBAF7" w:rsidR="00274B3F" w:rsidRPr="008C073E" w:rsidRDefault="00274B3F" w:rsidP="00EA0B0E">
      <w:pPr>
        <w:pStyle w:val="Body"/>
        <w:spacing w:line="480" w:lineRule="auto"/>
        <w:ind w:left="720" w:hanging="720"/>
        <w:rPr>
          <w:rStyle w:val="None"/>
          <w:rFonts w:ascii="Times New Roman" w:hAnsi="Times New Roman"/>
          <w:sz w:val="24"/>
          <w:szCs w:val="24"/>
        </w:rPr>
      </w:pPr>
      <w:r w:rsidRPr="008C073E">
        <w:rPr>
          <w:rStyle w:val="None"/>
          <w:rFonts w:ascii="Times New Roman" w:hAnsi="Times New Roman"/>
          <w:sz w:val="24"/>
          <w:szCs w:val="24"/>
        </w:rPr>
        <w:t xml:space="preserve">Williams, Stanley T. </w:t>
      </w:r>
      <w:r w:rsidRPr="0067114D">
        <w:rPr>
          <w:rStyle w:val="None"/>
          <w:rFonts w:ascii="Times New Roman" w:hAnsi="Times New Roman"/>
          <w:i/>
          <w:iCs/>
          <w:sz w:val="24"/>
          <w:szCs w:val="24"/>
        </w:rPr>
        <w:t>Life of Washington Irving</w:t>
      </w:r>
      <w:r w:rsidRPr="008C073E">
        <w:rPr>
          <w:rStyle w:val="None"/>
          <w:rFonts w:ascii="Times New Roman" w:hAnsi="Times New Roman"/>
          <w:sz w:val="24"/>
          <w:szCs w:val="24"/>
        </w:rPr>
        <w:t>, vols. 1-2</w:t>
      </w:r>
      <w:r w:rsidR="0067114D">
        <w:rPr>
          <w:rStyle w:val="None"/>
          <w:rFonts w:ascii="Times New Roman" w:hAnsi="Times New Roman"/>
          <w:sz w:val="24"/>
          <w:szCs w:val="24"/>
        </w:rPr>
        <w:t>.</w:t>
      </w:r>
      <w:r w:rsidRPr="008C073E">
        <w:rPr>
          <w:rStyle w:val="None"/>
          <w:rFonts w:ascii="Times New Roman" w:hAnsi="Times New Roman"/>
          <w:sz w:val="24"/>
          <w:szCs w:val="24"/>
        </w:rPr>
        <w:t xml:space="preserve"> Oxford University Press, 1935.</w:t>
      </w:r>
    </w:p>
    <w:p w14:paraId="2CE8719F" w14:textId="42AF0558" w:rsidR="00274B3F" w:rsidRDefault="00274B3F" w:rsidP="00EA0B0E">
      <w:pPr>
        <w:pStyle w:val="Body"/>
        <w:spacing w:line="480" w:lineRule="auto"/>
        <w:ind w:left="720" w:hanging="720"/>
        <w:rPr>
          <w:rStyle w:val="None"/>
          <w:rFonts w:ascii="Times New Roman" w:eastAsia="Times New Roman" w:hAnsi="Times New Roman" w:cs="Times New Roman"/>
          <w:sz w:val="24"/>
          <w:szCs w:val="24"/>
        </w:rPr>
      </w:pPr>
      <w:r w:rsidRPr="008C073E">
        <w:rPr>
          <w:rStyle w:val="None"/>
          <w:rFonts w:ascii="Times New Roman" w:hAnsi="Times New Roman"/>
          <w:sz w:val="24"/>
          <w:szCs w:val="24"/>
          <w:lang w:val="de-DE"/>
        </w:rPr>
        <w:t xml:space="preserve">Zuck, Rochelle Raineri. </w:t>
      </w:r>
      <w:r w:rsidRPr="008C073E">
        <w:rPr>
          <w:rStyle w:val="None"/>
          <w:rFonts w:ascii="Times New Roman" w:hAnsi="Times New Roman"/>
          <w:sz w:val="24"/>
          <w:szCs w:val="24"/>
        </w:rPr>
        <w:t>“</w:t>
      </w:r>
      <w:r w:rsidRPr="008C073E">
        <w:rPr>
          <w:rStyle w:val="None"/>
          <w:rFonts w:ascii="Times New Roman" w:hAnsi="Times New Roman"/>
          <w:sz w:val="24"/>
          <w:szCs w:val="24"/>
          <w:lang w:val="pt-PT"/>
        </w:rPr>
        <w:t>William Apess</w:t>
      </w:r>
      <w:r w:rsidRPr="008C073E">
        <w:rPr>
          <w:rStyle w:val="None"/>
          <w:rFonts w:ascii="Times New Roman" w:hAnsi="Times New Roman"/>
          <w:sz w:val="24"/>
          <w:szCs w:val="24"/>
        </w:rPr>
        <w:t xml:space="preserve">’s </w:t>
      </w:r>
      <w:r w:rsidRPr="008C073E">
        <w:rPr>
          <w:rStyle w:val="None"/>
          <w:rFonts w:ascii="Times New Roman" w:hAnsi="Times New Roman"/>
          <w:sz w:val="24"/>
          <w:szCs w:val="24"/>
          <w:lang w:val="it-IT"/>
        </w:rPr>
        <w:t>Indian Nullification</w:t>
      </w:r>
      <w:r w:rsidRPr="008C073E">
        <w:rPr>
          <w:rStyle w:val="None"/>
          <w:rFonts w:ascii="Times New Roman" w:hAnsi="Times New Roman"/>
          <w:sz w:val="24"/>
          <w:szCs w:val="24"/>
        </w:rPr>
        <w:t xml:space="preserve">: Narrating Mashpee Wampanoag Sovereignty in </w:t>
      </w:r>
      <w:proofErr w:type="gramStart"/>
      <w:r w:rsidRPr="008C073E">
        <w:rPr>
          <w:rStyle w:val="None"/>
          <w:rFonts w:ascii="Times New Roman" w:hAnsi="Times New Roman"/>
          <w:sz w:val="24"/>
          <w:szCs w:val="24"/>
        </w:rPr>
        <w:t>Nineteenth-Century America</w:t>
      </w:r>
      <w:proofErr w:type="gramEnd"/>
      <w:r w:rsidRPr="008C073E">
        <w:rPr>
          <w:rStyle w:val="None"/>
          <w:rFonts w:ascii="Times New Roman" w:hAnsi="Times New Roman"/>
          <w:sz w:val="24"/>
          <w:szCs w:val="24"/>
        </w:rPr>
        <w:t xml:space="preserve"> and Beyond.” </w:t>
      </w:r>
      <w:r w:rsidRPr="0067114D">
        <w:rPr>
          <w:rStyle w:val="None"/>
          <w:rFonts w:ascii="Times New Roman" w:hAnsi="Times New Roman"/>
          <w:i/>
          <w:iCs/>
          <w:sz w:val="24"/>
          <w:szCs w:val="24"/>
        </w:rPr>
        <w:t>Early American Literature</w:t>
      </w:r>
      <w:r w:rsidRPr="008C073E">
        <w:rPr>
          <w:rStyle w:val="None"/>
          <w:rFonts w:ascii="Times New Roman" w:hAnsi="Times New Roman"/>
          <w:sz w:val="24"/>
          <w:szCs w:val="24"/>
        </w:rPr>
        <w:t xml:space="preserve">, </w:t>
      </w:r>
      <w:r w:rsidR="0067114D">
        <w:rPr>
          <w:rStyle w:val="None"/>
          <w:rFonts w:ascii="Times New Roman" w:hAnsi="Times New Roman"/>
          <w:sz w:val="24"/>
          <w:szCs w:val="24"/>
        </w:rPr>
        <w:t xml:space="preserve">vol. </w:t>
      </w:r>
      <w:r w:rsidRPr="008C073E">
        <w:rPr>
          <w:rStyle w:val="None"/>
          <w:rFonts w:ascii="Times New Roman" w:hAnsi="Times New Roman"/>
          <w:sz w:val="24"/>
          <w:szCs w:val="24"/>
        </w:rPr>
        <w:t>58</w:t>
      </w:r>
      <w:r w:rsidR="0067114D">
        <w:rPr>
          <w:rStyle w:val="None"/>
          <w:rFonts w:ascii="Times New Roman" w:hAnsi="Times New Roman"/>
          <w:sz w:val="24"/>
          <w:szCs w:val="24"/>
        </w:rPr>
        <w:t xml:space="preserve">, no. </w:t>
      </w:r>
      <w:r w:rsidRPr="008C073E">
        <w:rPr>
          <w:rStyle w:val="None"/>
          <w:rFonts w:ascii="Times New Roman" w:hAnsi="Times New Roman"/>
          <w:sz w:val="24"/>
          <w:szCs w:val="24"/>
        </w:rPr>
        <w:t>2</w:t>
      </w:r>
      <w:r w:rsidR="0067114D">
        <w:rPr>
          <w:rStyle w:val="None"/>
          <w:rFonts w:ascii="Times New Roman" w:hAnsi="Times New Roman"/>
          <w:sz w:val="24"/>
          <w:szCs w:val="24"/>
        </w:rPr>
        <w:t>,</w:t>
      </w:r>
      <w:r w:rsidRPr="008C073E">
        <w:rPr>
          <w:rStyle w:val="None"/>
          <w:rFonts w:ascii="Times New Roman" w:hAnsi="Times New Roman"/>
          <w:sz w:val="24"/>
          <w:szCs w:val="24"/>
        </w:rPr>
        <w:t xml:space="preserve"> 2023</w:t>
      </w:r>
      <w:r w:rsidR="0067114D">
        <w:rPr>
          <w:rStyle w:val="None"/>
          <w:rFonts w:ascii="Times New Roman" w:hAnsi="Times New Roman"/>
          <w:sz w:val="24"/>
          <w:szCs w:val="24"/>
        </w:rPr>
        <w:t>, pp.</w:t>
      </w:r>
      <w:r w:rsidRPr="008C073E">
        <w:rPr>
          <w:rStyle w:val="None"/>
          <w:rFonts w:ascii="Times New Roman" w:hAnsi="Times New Roman"/>
          <w:sz w:val="24"/>
          <w:szCs w:val="24"/>
        </w:rPr>
        <w:t xml:space="preserve"> 395-422.</w:t>
      </w:r>
    </w:p>
    <w:p w14:paraId="6C5BB1C2" w14:textId="77777777" w:rsidR="00274B3F" w:rsidRDefault="00274B3F" w:rsidP="00EA0B0E">
      <w:pPr>
        <w:pStyle w:val="Body"/>
        <w:ind w:left="720" w:hanging="720"/>
        <w:rPr>
          <w:rStyle w:val="None"/>
          <w:rFonts w:ascii="Times New Roman" w:eastAsia="Times New Roman" w:hAnsi="Times New Roman" w:cs="Times New Roman"/>
          <w:sz w:val="24"/>
          <w:szCs w:val="24"/>
        </w:rPr>
      </w:pPr>
    </w:p>
    <w:p w14:paraId="14BF46E1" w14:textId="77777777" w:rsidR="00274B3F" w:rsidRDefault="00274B3F" w:rsidP="00EA0B0E">
      <w:pPr>
        <w:pStyle w:val="Body"/>
        <w:ind w:left="720" w:hanging="720"/>
        <w:rPr>
          <w:rStyle w:val="None"/>
          <w:rFonts w:ascii="Times New Roman" w:eastAsia="Times New Roman" w:hAnsi="Times New Roman" w:cs="Times New Roman"/>
          <w:sz w:val="24"/>
          <w:szCs w:val="24"/>
        </w:rPr>
      </w:pPr>
    </w:p>
    <w:p w14:paraId="090EF2B1" w14:textId="77777777" w:rsidR="00274B3F" w:rsidRDefault="00274B3F" w:rsidP="00EA0B0E">
      <w:pPr>
        <w:pStyle w:val="Body"/>
        <w:ind w:left="720" w:hanging="720"/>
      </w:pPr>
    </w:p>
    <w:p w14:paraId="578F8340" w14:textId="77777777" w:rsidR="00274B3F" w:rsidRPr="00274B3F" w:rsidRDefault="00274B3F" w:rsidP="00EA0B0E">
      <w:pPr>
        <w:tabs>
          <w:tab w:val="left" w:pos="180"/>
        </w:tabs>
        <w:ind w:left="720" w:hanging="720"/>
        <w:jc w:val="center"/>
        <w:rPr>
          <w:rFonts w:ascii="Times New Roman" w:hAnsi="Times New Roman" w:cs="Times New Roman"/>
          <w:b/>
        </w:rPr>
      </w:pPr>
    </w:p>
    <w:p w14:paraId="147FF95F" w14:textId="77777777" w:rsidR="00274B3F" w:rsidRPr="00274B3F" w:rsidRDefault="00274B3F" w:rsidP="00EA0B0E">
      <w:pPr>
        <w:tabs>
          <w:tab w:val="left" w:pos="180"/>
        </w:tabs>
        <w:ind w:left="720" w:hanging="720"/>
        <w:jc w:val="center"/>
        <w:rPr>
          <w:rFonts w:ascii="Times New Roman" w:hAnsi="Times New Roman" w:cs="Times New Roman"/>
          <w:b/>
        </w:rPr>
      </w:pPr>
    </w:p>
    <w:p w14:paraId="0FC70471" w14:textId="77777777" w:rsidR="00C8068E" w:rsidRDefault="00C8068E" w:rsidP="00EA0B0E">
      <w:pPr>
        <w:tabs>
          <w:tab w:val="left" w:pos="180"/>
        </w:tabs>
        <w:ind w:left="720" w:hanging="720"/>
        <w:rPr>
          <w:rFonts w:ascii="Times New Roman" w:hAnsi="Times New Roman" w:cs="Times New Roman"/>
          <w:bCs/>
        </w:rPr>
      </w:pPr>
    </w:p>
    <w:p w14:paraId="1EC70649" w14:textId="77777777" w:rsidR="00C8068E" w:rsidRPr="00C8068E" w:rsidRDefault="00C8068E" w:rsidP="00EA0B0E">
      <w:pPr>
        <w:tabs>
          <w:tab w:val="left" w:pos="180"/>
        </w:tabs>
        <w:ind w:left="720" w:hanging="720"/>
        <w:rPr>
          <w:rFonts w:ascii="Times New Roman" w:hAnsi="Times New Roman" w:cs="Times New Roman"/>
          <w:bCs/>
        </w:rPr>
      </w:pPr>
    </w:p>
    <w:p w14:paraId="47A8482E" w14:textId="77777777" w:rsidR="00AF1014" w:rsidRDefault="00AF1014" w:rsidP="00EA0B0E">
      <w:pPr>
        <w:ind w:left="720" w:hanging="720"/>
        <w:jc w:val="center"/>
        <w:rPr>
          <w:rFonts w:ascii="Times New Roman" w:hAnsi="Times New Roman" w:cs="Times New Roman"/>
        </w:rPr>
      </w:pPr>
    </w:p>
    <w:p w14:paraId="3FADAE63" w14:textId="77777777" w:rsidR="00AF1014" w:rsidRDefault="00AF1014" w:rsidP="00EA0B0E">
      <w:pPr>
        <w:ind w:left="720" w:hanging="720"/>
        <w:jc w:val="center"/>
        <w:rPr>
          <w:rFonts w:ascii="Times New Roman" w:hAnsi="Times New Roman" w:cs="Times New Roman"/>
        </w:rPr>
      </w:pPr>
    </w:p>
    <w:p w14:paraId="42080AB1" w14:textId="77777777" w:rsidR="00AF1014" w:rsidRDefault="00AF1014" w:rsidP="00EA0B0E">
      <w:pPr>
        <w:ind w:left="720" w:hanging="720"/>
        <w:jc w:val="center"/>
        <w:rPr>
          <w:rFonts w:ascii="Times New Roman" w:hAnsi="Times New Roman" w:cs="Times New Roman"/>
        </w:rPr>
      </w:pPr>
    </w:p>
    <w:p w14:paraId="0FA8015D" w14:textId="77777777" w:rsidR="00AF1014" w:rsidRPr="00AF1014" w:rsidRDefault="00AF1014" w:rsidP="0022470F">
      <w:pPr>
        <w:jc w:val="center"/>
        <w:rPr>
          <w:rFonts w:ascii="Times New Roman" w:hAnsi="Times New Roman" w:cs="Times New Roman"/>
        </w:rPr>
      </w:pPr>
    </w:p>
    <w:sectPr w:rsidR="00AF1014" w:rsidRPr="00AF1014" w:rsidSect="00EA0B0E">
      <w:headerReference w:type="first" r:id="rId17"/>
      <w:pgSz w:w="12240" w:h="15840"/>
      <w:pgMar w:top="2160" w:right="1800" w:bottom="1872" w:left="1800" w:header="144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0" w:author="Coleman, Dawn Davina" w:date="2024-01-15T17:55:00Z" w:initials="DC">
    <w:p w14:paraId="1AD9F69E" w14:textId="77777777" w:rsidR="00274B3F" w:rsidRDefault="00274B3F" w:rsidP="00274B3F">
      <w:r>
        <w:rPr>
          <w:rStyle w:val="CommentReference"/>
        </w:rPr>
        <w:annotationRef/>
      </w:r>
      <w:r>
        <w:rPr>
          <w:color w:val="000000"/>
          <w:sz w:val="20"/>
          <w:szCs w:val="20"/>
        </w:rPr>
        <w:t>What seems interesting (to me) about this scene is that the whites are each concerned for their own private property, whereas the Natives immediately work together to address the threat.</w:t>
      </w:r>
    </w:p>
  </w:comment>
  <w:comment w:id="20" w:author="Chiles, Katherine Leigh" w:date="2024-03-12T19:11:00Z" w:initials="KC">
    <w:p w14:paraId="71A92B5C" w14:textId="77777777" w:rsidR="00287C65" w:rsidRDefault="00287C65" w:rsidP="00287C65">
      <w:r>
        <w:rPr>
          <w:rStyle w:val="CommentReference"/>
          <w:rFonts w:eastAsiaTheme="majorEastAsia"/>
        </w:rPr>
        <w:annotationRef/>
      </w:r>
      <w:r>
        <w:rPr>
          <w:color w:val="000000"/>
          <w:sz w:val="20"/>
          <w:szCs w:val="20"/>
        </w:rPr>
        <w:t>I’m curious if anyone/scholars call her Winnemucca Hopkins?</w:t>
      </w:r>
    </w:p>
  </w:comment>
  <w:comment w:id="22" w:author="Chiles, Katherine Leigh" w:date="2024-03-12T19:44:00Z" w:initials="KC">
    <w:p w14:paraId="21ACDD76" w14:textId="77777777" w:rsidR="00287C65" w:rsidRDefault="00287C65" w:rsidP="00287C65">
      <w:r>
        <w:rPr>
          <w:rStyle w:val="CommentReference"/>
          <w:rFonts w:eastAsiaTheme="majorEastAsia"/>
        </w:rPr>
        <w:annotationRef/>
      </w:r>
      <w:r>
        <w:rPr>
          <w:color w:val="000000"/>
          <w:sz w:val="20"/>
          <w:szCs w:val="20"/>
        </w:rPr>
        <w:t>WHAT?!?  Is this your own discovery?</w:t>
      </w:r>
    </w:p>
  </w:comment>
  <w:comment w:id="23" w:author="Chiles, Katherine Leigh" w:date="2024-03-12T19:45:00Z" w:initials="KC">
    <w:p w14:paraId="7FB8CB56" w14:textId="77777777" w:rsidR="00287C65" w:rsidRDefault="00287C65" w:rsidP="00287C65">
      <w:r>
        <w:rPr>
          <w:rStyle w:val="CommentReference"/>
          <w:rFonts w:eastAsiaTheme="majorEastAsia"/>
        </w:rPr>
        <w:annotationRef/>
      </w:r>
      <w:r>
        <w:rPr>
          <w:color w:val="000000"/>
          <w:sz w:val="20"/>
          <w:szCs w:val="20"/>
        </w:rPr>
        <w:t>and offensive?</w:t>
      </w:r>
    </w:p>
  </w:comment>
  <w:comment w:id="24" w:author="Chiles, Katherine Leigh" w:date="2024-03-12T19:48:00Z" w:initials="KC">
    <w:p w14:paraId="6F5DA06B" w14:textId="77777777" w:rsidR="00287C65" w:rsidRDefault="00287C65" w:rsidP="00287C65">
      <w:r>
        <w:rPr>
          <w:rStyle w:val="CommentReference"/>
          <w:rFonts w:eastAsiaTheme="majorEastAsia"/>
        </w:rPr>
        <w:annotationRef/>
      </w:r>
      <w:r>
        <w:rPr>
          <w:color w:val="000000"/>
          <w:sz w:val="20"/>
          <w:szCs w:val="20"/>
        </w:rPr>
        <w:t>an important complication to mark here</w:t>
      </w:r>
    </w:p>
  </w:comment>
  <w:comment w:id="25" w:author="Chiles, Katherine Leigh" w:date="2024-03-12T19:49:00Z" w:initials="KC">
    <w:p w14:paraId="75E02493" w14:textId="77777777" w:rsidR="00287C65" w:rsidRDefault="00287C65" w:rsidP="00287C65">
      <w:r>
        <w:rPr>
          <w:rStyle w:val="CommentReference"/>
          <w:rFonts w:eastAsiaTheme="majorEastAsia"/>
        </w:rPr>
        <w:annotationRef/>
      </w:r>
      <w:r>
        <w:rPr>
          <w:color w:val="000000"/>
          <w:sz w:val="20"/>
          <w:szCs w:val="20"/>
        </w:rPr>
        <w:t>Is a word missing here?</w:t>
      </w:r>
    </w:p>
  </w:comment>
  <w:comment w:id="26" w:author="Chiles, Katherine Leigh" w:date="2024-03-12T19:52:00Z" w:initials="KC">
    <w:p w14:paraId="32E81769" w14:textId="77777777" w:rsidR="00287C65" w:rsidRDefault="00287C65" w:rsidP="00287C65">
      <w:r>
        <w:rPr>
          <w:rStyle w:val="CommentReference"/>
          <w:rFonts w:eastAsiaTheme="majorEastAsia"/>
        </w:rPr>
        <w:annotationRef/>
      </w:r>
      <w:r>
        <w:rPr>
          <w:color w:val="000000"/>
          <w:sz w:val="20"/>
          <w:szCs w:val="20"/>
        </w:rPr>
        <w:t>How did you piece all of this together?  Is this taken from a biography, or did you piece it together from primary sources?</w:t>
      </w:r>
    </w:p>
  </w:comment>
  <w:comment w:id="27" w:author="Chiles, Katherine Leigh" w:date="2024-03-12T19:52:00Z" w:initials="KC">
    <w:p w14:paraId="0CD6E24D" w14:textId="77777777" w:rsidR="00287C65" w:rsidRDefault="00287C65" w:rsidP="00287C65">
      <w:r>
        <w:rPr>
          <w:rStyle w:val="CommentReference"/>
          <w:rFonts w:eastAsiaTheme="majorEastAsia"/>
        </w:rPr>
        <w:annotationRef/>
      </w:r>
      <w:r>
        <w:rPr>
          <w:color w:val="000000"/>
          <w:sz w:val="20"/>
          <w:szCs w:val="20"/>
        </w:rPr>
        <w:t>Wow!</w:t>
      </w:r>
    </w:p>
  </w:comment>
  <w:comment w:id="31" w:author="Chiles, Katherine Leigh" w:date="2024-03-12T19:57:00Z" w:initials="KC">
    <w:p w14:paraId="2AB45E91" w14:textId="77777777" w:rsidR="00287C65" w:rsidRDefault="00287C65" w:rsidP="00287C65">
      <w:r>
        <w:rPr>
          <w:rStyle w:val="CommentReference"/>
          <w:rFonts w:eastAsiaTheme="majorEastAsia"/>
        </w:rPr>
        <w:annotationRef/>
      </w:r>
      <w:r>
        <w:rPr>
          <w:color w:val="000000"/>
          <w:sz w:val="20"/>
          <w:szCs w:val="20"/>
        </w:rPr>
        <w:t>Maybe move some of this up to the first mention of tableaux vivants</w:t>
      </w:r>
    </w:p>
  </w:comment>
  <w:comment w:id="33" w:author="Chiles, Katherine Leigh" w:date="2024-03-12T20:14:00Z" w:initials="KC">
    <w:p w14:paraId="649CBC29" w14:textId="77777777" w:rsidR="00287C65" w:rsidRDefault="00287C65" w:rsidP="00287C65">
      <w:r>
        <w:rPr>
          <w:rStyle w:val="CommentReference"/>
          <w:rFonts w:eastAsiaTheme="majorEastAsia"/>
        </w:rPr>
        <w:annotationRef/>
      </w:r>
      <w:r>
        <w:rPr>
          <w:color w:val="000000"/>
          <w:sz w:val="20"/>
          <w:szCs w:val="20"/>
        </w:rPr>
        <w:t>qtd. in?</w:t>
      </w:r>
    </w:p>
  </w:comment>
  <w:comment w:id="34" w:author="Chiles, Katherine Leigh" w:date="2024-03-17T16:59:00Z" w:initials="KC">
    <w:p w14:paraId="6BEB68C7" w14:textId="77777777" w:rsidR="00287C65" w:rsidRDefault="00287C65" w:rsidP="00287C65">
      <w:r>
        <w:rPr>
          <w:rStyle w:val="CommentReference"/>
          <w:rFonts w:eastAsiaTheme="majorEastAsia"/>
        </w:rPr>
        <w:annotationRef/>
      </w:r>
      <w:r>
        <w:rPr>
          <w:color w:val="000000"/>
          <w:sz w:val="20"/>
          <w:szCs w:val="20"/>
        </w:rPr>
        <w:t>Great use of a Native primary source!</w:t>
      </w:r>
    </w:p>
  </w:comment>
  <w:comment w:id="37" w:author="Chiles, Katherine Leigh" w:date="2024-03-17T17:25:00Z" w:initials="KC">
    <w:p w14:paraId="411F8C1C" w14:textId="77777777" w:rsidR="00287C65" w:rsidRDefault="00287C65" w:rsidP="00287C65">
      <w:r>
        <w:rPr>
          <w:rStyle w:val="CommentReference"/>
          <w:rFonts w:eastAsiaTheme="majorEastAsia"/>
        </w:rPr>
        <w:annotationRef/>
      </w:r>
      <w:r>
        <w:rPr>
          <w:color w:val="000000"/>
          <w:sz w:val="20"/>
          <w:szCs w:val="20"/>
        </w:rPr>
        <w:t>WOW</w:t>
      </w:r>
    </w:p>
  </w:comment>
  <w:comment w:id="38" w:author="Chiles, Katherine Leigh" w:date="2024-03-17T17:26:00Z" w:initials="KC">
    <w:p w14:paraId="724EE4B6" w14:textId="77777777" w:rsidR="00287C65" w:rsidRDefault="00287C65" w:rsidP="00287C65">
      <w:r>
        <w:rPr>
          <w:rStyle w:val="CommentReference"/>
          <w:rFonts w:eastAsiaTheme="majorEastAsia"/>
        </w:rPr>
        <w:annotationRef/>
      </w:r>
      <w:r>
        <w:rPr>
          <w:color w:val="000000"/>
          <w:sz w:val="20"/>
          <w:szCs w:val="20"/>
        </w:rPr>
        <w:t>yes</w:t>
      </w:r>
    </w:p>
  </w:comment>
  <w:comment w:id="39" w:author="Chiles, Katherine Leigh" w:date="2024-03-17T17:27:00Z" w:initials="KC">
    <w:p w14:paraId="57A91273" w14:textId="77777777" w:rsidR="00287C65" w:rsidRDefault="00287C65" w:rsidP="00287C65">
      <w:r>
        <w:rPr>
          <w:rStyle w:val="CommentReference"/>
          <w:rFonts w:eastAsiaTheme="majorEastAsia"/>
        </w:rPr>
        <w:annotationRef/>
      </w:r>
      <w:r>
        <w:rPr>
          <w:color w:val="000000"/>
          <w:sz w:val="20"/>
          <w:szCs w:val="20"/>
        </w:rPr>
        <w:t>Yep</w:t>
      </w:r>
    </w:p>
  </w:comment>
  <w:comment w:id="40" w:author="Chiles, Katherine Leigh" w:date="2024-03-17T17:30:00Z" w:initials="KC">
    <w:p w14:paraId="0C35BB32" w14:textId="77777777" w:rsidR="00287C65" w:rsidRDefault="00287C65" w:rsidP="00287C65">
      <w:r>
        <w:rPr>
          <w:rStyle w:val="CommentReference"/>
          <w:rFonts w:eastAsiaTheme="majorEastAsia"/>
        </w:rPr>
        <w:annotationRef/>
      </w:r>
      <w:r>
        <w:rPr>
          <w:color w:val="000000"/>
          <w:sz w:val="20"/>
          <w:szCs w:val="20"/>
        </w:rPr>
        <w:t>I really like this</w:t>
      </w:r>
    </w:p>
  </w:comment>
  <w:comment w:id="41" w:author="Chiles, Katherine Leigh" w:date="2024-03-17T17:30:00Z" w:initials="KC">
    <w:p w14:paraId="045B127B" w14:textId="77777777" w:rsidR="00287C65" w:rsidRDefault="00287C65" w:rsidP="00287C65">
      <w:r>
        <w:rPr>
          <w:rStyle w:val="CommentReference"/>
          <w:rFonts w:eastAsiaTheme="majorEastAsia"/>
        </w:rPr>
        <w:annotationRef/>
      </w:r>
      <w:r>
        <w:rPr>
          <w:color w:val="000000"/>
          <w:sz w:val="20"/>
          <w:szCs w:val="20"/>
        </w:rPr>
        <w:t>Great</w:t>
      </w:r>
    </w:p>
  </w:comment>
  <w:comment w:id="42" w:author="Chiles, Katherine Leigh" w:date="2024-03-17T17:33:00Z" w:initials="KC">
    <w:p w14:paraId="34E0BDB2" w14:textId="77777777" w:rsidR="00287C65" w:rsidRDefault="00287C65" w:rsidP="00287C65">
      <w:r>
        <w:rPr>
          <w:rStyle w:val="CommentReference"/>
          <w:rFonts w:eastAsiaTheme="majorEastAsia"/>
        </w:rPr>
        <w:annotationRef/>
      </w:r>
      <w:r>
        <w:rPr>
          <w:color w:val="000000"/>
          <w:sz w:val="20"/>
          <w:szCs w:val="20"/>
        </w:rPr>
        <w:t>a horrible and impossible situation and choice</w:t>
      </w:r>
    </w:p>
  </w:comment>
  <w:comment w:id="44" w:author="Chiles, Katherine Leigh" w:date="2024-03-17T17:38:00Z" w:initials="KC">
    <w:p w14:paraId="2CDA144E" w14:textId="77777777" w:rsidR="00287C65" w:rsidRDefault="00287C65" w:rsidP="00287C65">
      <w:r>
        <w:rPr>
          <w:rStyle w:val="CommentReference"/>
          <w:rFonts w:eastAsiaTheme="majorEastAsia"/>
        </w:rPr>
        <w:annotationRef/>
      </w:r>
      <w:r>
        <w:rPr>
          <w:color w:val="000000"/>
          <w:sz w:val="20"/>
          <w:szCs w:val="20"/>
        </w:rPr>
        <w:t>I love this reading!</w:t>
      </w:r>
    </w:p>
  </w:comment>
  <w:comment w:id="45" w:author="Chiles, Katherine Leigh" w:date="2024-03-17T17:44:00Z" w:initials="KC">
    <w:p w14:paraId="4549C87B" w14:textId="77777777" w:rsidR="00287C65" w:rsidRDefault="00287C65" w:rsidP="00287C65">
      <w:r>
        <w:rPr>
          <w:rStyle w:val="CommentReference"/>
          <w:rFonts w:eastAsiaTheme="majorEastAsia"/>
        </w:rPr>
        <w:annotationRef/>
      </w:r>
      <w:r>
        <w:rPr>
          <w:color w:val="000000"/>
          <w:sz w:val="20"/>
          <w:szCs w:val="20"/>
        </w:rPr>
        <w:t>I really like this reading</w:t>
      </w:r>
    </w:p>
  </w:comment>
  <w:comment w:id="46" w:author="Chiles, Katherine Leigh" w:date="2024-03-17T17:45:00Z" w:initials="KC">
    <w:p w14:paraId="3A9CEFD9" w14:textId="77777777" w:rsidR="00287C65" w:rsidRDefault="00287C65" w:rsidP="00287C65">
      <w:r>
        <w:rPr>
          <w:rStyle w:val="CommentReference"/>
          <w:rFonts w:eastAsiaTheme="majorEastAsia"/>
        </w:rPr>
        <w:annotationRef/>
      </w:r>
      <w:r>
        <w:rPr>
          <w:color w:val="000000"/>
          <w:sz w:val="20"/>
          <w:szCs w:val="20"/>
        </w:rPr>
        <w:t>YES</w:t>
      </w:r>
    </w:p>
  </w:comment>
  <w:comment w:id="47" w:author="Chiles, Katherine Leigh" w:date="2024-03-17T17:46:00Z" w:initials="KC">
    <w:p w14:paraId="31AA3784" w14:textId="77777777" w:rsidR="00287C65" w:rsidRDefault="00287C65" w:rsidP="00287C65">
      <w:r>
        <w:rPr>
          <w:rStyle w:val="CommentReference"/>
          <w:rFonts w:eastAsiaTheme="majorEastAsia"/>
        </w:rPr>
        <w:annotationRef/>
      </w:r>
      <w:r>
        <w:rPr>
          <w:color w:val="000000"/>
          <w:sz w:val="20"/>
          <w:szCs w:val="20"/>
        </w:rPr>
        <w:t>nice</w:t>
      </w:r>
    </w:p>
  </w:comment>
  <w:comment w:id="48" w:author="Chiles, Katherine Leigh" w:date="2024-03-17T17:49:00Z" w:initials="KC">
    <w:p w14:paraId="6A209B11" w14:textId="77777777" w:rsidR="00287C65" w:rsidRDefault="00287C65" w:rsidP="00287C65">
      <w:r>
        <w:rPr>
          <w:rStyle w:val="CommentReference"/>
          <w:rFonts w:eastAsiaTheme="majorEastAsia"/>
        </w:rPr>
        <w:annotationRef/>
      </w:r>
      <w:r>
        <w:rPr>
          <w:color w:val="000000"/>
          <w:sz w:val="20"/>
          <w:szCs w:val="20"/>
        </w:rPr>
        <w:t>this verbiage comes out of the Dred Scott decision, just fwiw</w:t>
      </w:r>
    </w:p>
  </w:comment>
  <w:comment w:id="49" w:author="Chiles, Katherine Leigh" w:date="2024-03-17T17:50:00Z" w:initials="KC">
    <w:p w14:paraId="7FE9CC64" w14:textId="77777777" w:rsidR="00287C65" w:rsidRDefault="00287C65" w:rsidP="00287C65">
      <w:r>
        <w:rPr>
          <w:rStyle w:val="CommentReference"/>
          <w:rFonts w:eastAsiaTheme="majorEastAsia"/>
        </w:rPr>
        <w:annotationRef/>
      </w:r>
      <w:r>
        <w:rPr>
          <w:sz w:val="20"/>
          <w:szCs w:val="20"/>
        </w:rPr>
        <w:t>agreed.  She was not able to eradicate settler colonialism, but she did manage to ameliorate the lived conditions of some of her people, which is also an accomplishment</w:t>
      </w:r>
    </w:p>
  </w:comment>
  <w:comment w:id="51" w:author="Chiles, Katherine Leigh" w:date="2024-03-23T13:16:00Z" w:initials="CKL">
    <w:p w14:paraId="475303C6" w14:textId="77777777" w:rsidR="00287C65" w:rsidRDefault="00287C65" w:rsidP="00287C65">
      <w:r>
        <w:rPr>
          <w:rStyle w:val="CommentReference"/>
          <w:rFonts w:eastAsiaTheme="majorEastAsia"/>
        </w:rPr>
        <w:annotationRef/>
      </w:r>
      <w:r>
        <w:rPr>
          <w:color w:val="000000"/>
          <w:sz w:val="20"/>
          <w:szCs w:val="20"/>
        </w:rPr>
        <w:t>also covers up the initial land theft and further extraction of Native labor and natural rsources</w:t>
      </w:r>
    </w:p>
  </w:comment>
  <w:comment w:id="52" w:author="Chiles, Katherine Leigh" w:date="2024-03-23T13:19:00Z" w:initials="CKL">
    <w:p w14:paraId="56C4AF0D" w14:textId="77777777" w:rsidR="00287C65" w:rsidRDefault="00287C65" w:rsidP="00287C65">
      <w:r>
        <w:rPr>
          <w:rStyle w:val="CommentReference"/>
          <w:rFonts w:eastAsiaTheme="majorEastAsia"/>
        </w:rPr>
        <w:annotationRef/>
      </w:r>
      <w:r>
        <w:rPr>
          <w:color w:val="000000"/>
          <w:sz w:val="20"/>
          <w:szCs w:val="20"/>
        </w:rPr>
        <w:t>say more about this concept and cite sources</w:t>
      </w:r>
    </w:p>
  </w:comment>
  <w:comment w:id="53" w:author="Chiles, Katherine Leigh" w:date="2024-03-23T13:19:00Z" w:initials="CKL">
    <w:p w14:paraId="527C63AF" w14:textId="77777777" w:rsidR="00287C65" w:rsidRDefault="00287C65" w:rsidP="00287C65">
      <w:r>
        <w:rPr>
          <w:rStyle w:val="CommentReference"/>
          <w:rFonts w:eastAsiaTheme="majorEastAsia"/>
        </w:rPr>
        <w:annotationRef/>
      </w:r>
      <w:r>
        <w:rPr>
          <w:color w:val="000000"/>
          <w:sz w:val="20"/>
          <w:szCs w:val="20"/>
        </w:rPr>
        <w:t>nice</w:t>
      </w:r>
    </w:p>
  </w:comment>
  <w:comment w:id="54" w:author="Chiles, Katherine Leigh" w:date="2024-03-23T13:20:00Z" w:initials="CKL">
    <w:p w14:paraId="090901E0" w14:textId="77777777" w:rsidR="00287C65" w:rsidRDefault="00287C65" w:rsidP="00287C65">
      <w:r>
        <w:rPr>
          <w:rStyle w:val="CommentReference"/>
          <w:rFonts w:eastAsiaTheme="majorEastAsia"/>
        </w:rPr>
        <w:annotationRef/>
      </w:r>
      <w:r>
        <w:rPr>
          <w:color w:val="000000"/>
          <w:sz w:val="20"/>
          <w:szCs w:val="20"/>
        </w:rPr>
        <w:t>interesting</w:t>
      </w:r>
    </w:p>
  </w:comment>
  <w:comment w:id="55" w:author="Chiles, Katherine Leigh" w:date="2024-03-23T13:22:00Z" w:initials="CKL">
    <w:p w14:paraId="3999A4EC" w14:textId="77777777" w:rsidR="00287C65" w:rsidRDefault="00287C65" w:rsidP="00287C65">
      <w:r>
        <w:rPr>
          <w:rStyle w:val="CommentReference"/>
          <w:rFonts w:eastAsiaTheme="majorEastAsia"/>
        </w:rPr>
        <w:annotationRef/>
      </w:r>
      <w:r>
        <w:rPr>
          <w:color w:val="000000"/>
          <w:sz w:val="20"/>
          <w:szCs w:val="20"/>
        </w:rPr>
        <w:t>Also interesting how for some scholars a critique of American imperialism does not need to intersect with a critique of at-home settler colonialism</w:t>
      </w:r>
    </w:p>
  </w:comment>
  <w:comment w:id="56" w:author="Chiles, Katherine Leigh" w:date="2024-03-23T13:32:00Z" w:initials="CKL">
    <w:p w14:paraId="5658D490" w14:textId="77777777" w:rsidR="00287C65" w:rsidRDefault="00287C65" w:rsidP="00287C65">
      <w:r>
        <w:rPr>
          <w:rStyle w:val="CommentReference"/>
          <w:rFonts w:eastAsiaTheme="majorEastAsia"/>
        </w:rPr>
        <w:annotationRef/>
      </w:r>
      <w:r>
        <w:rPr>
          <w:color w:val="000000"/>
          <w:sz w:val="20"/>
          <w:szCs w:val="20"/>
        </w:rPr>
        <w:t>important point!</w:t>
      </w:r>
    </w:p>
  </w:comment>
  <w:comment w:id="58" w:author="Chiles, Katherine Leigh" w:date="2024-03-23T13:43:00Z" w:initials="CKL">
    <w:p w14:paraId="28DF888F" w14:textId="77777777" w:rsidR="00287C65" w:rsidRDefault="00287C65" w:rsidP="00287C65">
      <w:r>
        <w:rPr>
          <w:rStyle w:val="CommentReference"/>
          <w:rFonts w:eastAsiaTheme="majorEastAsia"/>
        </w:rPr>
        <w:annotationRef/>
      </w:r>
      <w:r>
        <w:rPr>
          <w:color w:val="000000"/>
          <w:sz w:val="20"/>
          <w:szCs w:val="20"/>
        </w:rPr>
        <w:t>Good</w:t>
      </w:r>
    </w:p>
  </w:comment>
  <w:comment w:id="59" w:author="Chiles, Katherine Leigh" w:date="2024-03-23T13:47:00Z" w:initials="CKL">
    <w:p w14:paraId="22868D2C" w14:textId="77777777" w:rsidR="00287C65" w:rsidRDefault="00287C65" w:rsidP="00287C65">
      <w:r>
        <w:rPr>
          <w:rStyle w:val="CommentReference"/>
          <w:rFonts w:eastAsiaTheme="majorEastAsia"/>
        </w:rPr>
        <w:annotationRef/>
      </w:r>
      <w:r>
        <w:rPr>
          <w:color w:val="000000"/>
          <w:sz w:val="20"/>
          <w:szCs w:val="20"/>
        </w:rPr>
        <w:t>there it is</w:t>
      </w:r>
    </w:p>
  </w:comment>
  <w:comment w:id="60" w:author="Chiles, Katherine Leigh" w:date="2024-03-23T14:10:00Z" w:initials="CKL">
    <w:p w14:paraId="1EE2A5CE" w14:textId="77777777" w:rsidR="00287C65" w:rsidRDefault="00287C65" w:rsidP="00287C65">
      <w:r>
        <w:rPr>
          <w:rStyle w:val="CommentReference"/>
          <w:rFonts w:eastAsiaTheme="majorEastAsia"/>
        </w:rPr>
        <w:annotationRef/>
      </w:r>
      <w:r>
        <w:rPr>
          <w:color w:val="000000"/>
          <w:sz w:val="20"/>
          <w:szCs w:val="20"/>
        </w:rPr>
        <w:t>important point</w:t>
      </w:r>
    </w:p>
  </w:comment>
  <w:comment w:id="61" w:author="Chiles, Katherine Leigh" w:date="2024-03-23T14:12:00Z" w:initials="CKL">
    <w:p w14:paraId="77FF9AFC" w14:textId="77777777" w:rsidR="00287C65" w:rsidRDefault="00287C65" w:rsidP="00287C65">
      <w:r>
        <w:rPr>
          <w:rStyle w:val="CommentReference"/>
          <w:rFonts w:eastAsiaTheme="majorEastAsia"/>
        </w:rPr>
        <w:annotationRef/>
      </w:r>
      <w:r>
        <w:rPr>
          <w:color w:val="000000"/>
          <w:sz w:val="20"/>
          <w:szCs w:val="20"/>
        </w:rPr>
        <w:t>nice</w:t>
      </w:r>
    </w:p>
  </w:comment>
  <w:comment w:id="62" w:author="Chiles, Katherine Leigh" w:date="2024-03-23T14:16:00Z" w:initials="CKL">
    <w:p w14:paraId="23E9BCDF" w14:textId="77777777" w:rsidR="00287C65" w:rsidRDefault="00287C65" w:rsidP="00287C65">
      <w:r>
        <w:rPr>
          <w:rStyle w:val="CommentReference"/>
          <w:rFonts w:eastAsiaTheme="majorEastAsia"/>
        </w:rPr>
        <w:annotationRef/>
      </w:r>
      <w:r>
        <w:rPr>
          <w:color w:val="000000"/>
          <w:sz w:val="20"/>
          <w:szCs w:val="20"/>
        </w:rPr>
        <w:t>great historical contextualization, Henry.</w:t>
      </w:r>
    </w:p>
  </w:comment>
  <w:comment w:id="63" w:author="Chiles, Katherine Leigh" w:date="2024-03-23T14:17:00Z" w:initials="CKL">
    <w:p w14:paraId="58FF6C49" w14:textId="77777777" w:rsidR="00287C65" w:rsidRDefault="00287C65" w:rsidP="00287C65">
      <w:r>
        <w:rPr>
          <w:rStyle w:val="CommentReference"/>
          <w:rFonts w:eastAsiaTheme="majorEastAsia"/>
        </w:rPr>
        <w:annotationRef/>
      </w:r>
      <w:r>
        <w:rPr>
          <w:color w:val="000000"/>
          <w:sz w:val="20"/>
          <w:szCs w:val="20"/>
        </w:rPr>
        <w:t>great analysis of imposition of setttler colonial gender norms onto Native lives</w:t>
      </w:r>
    </w:p>
  </w:comment>
  <w:comment w:id="64" w:author="Chiles, Katherine Leigh" w:date="2024-03-23T14:18:00Z" w:initials="CKL">
    <w:p w14:paraId="59EA0BFA" w14:textId="77777777" w:rsidR="00287C65" w:rsidRDefault="00287C65" w:rsidP="00287C65">
      <w:r>
        <w:rPr>
          <w:rStyle w:val="CommentReference"/>
          <w:rFonts w:eastAsiaTheme="majorEastAsia"/>
        </w:rPr>
        <w:annotationRef/>
      </w:r>
      <w:r>
        <w:rPr>
          <w:color w:val="000000"/>
          <w:sz w:val="20"/>
          <w:szCs w:val="20"/>
        </w:rPr>
        <w:t>I’m very impressed with your use of NAIS methodologies in which to frame Twain</w:t>
      </w:r>
    </w:p>
  </w:comment>
  <w:comment w:id="65" w:author="Chiles, Katherine Leigh" w:date="2024-03-23T14:21:00Z" w:initials="CKL">
    <w:p w14:paraId="02DA5F66" w14:textId="77777777" w:rsidR="00287C65" w:rsidRDefault="00287C65" w:rsidP="00287C65">
      <w:r>
        <w:rPr>
          <w:rStyle w:val="CommentReference"/>
          <w:rFonts w:eastAsiaTheme="majorEastAsia"/>
        </w:rPr>
        <w:annotationRef/>
      </w:r>
      <w:r>
        <w:rPr>
          <w:color w:val="000000"/>
          <w:sz w:val="20"/>
          <w:szCs w:val="20"/>
        </w:rPr>
        <w:t>great</w:t>
      </w:r>
    </w:p>
  </w:comment>
  <w:comment w:id="66" w:author="Chiles, Katherine Leigh" w:date="2024-03-23T14:22:00Z" w:initials="CKL">
    <w:p w14:paraId="0E8A7CE9" w14:textId="77777777" w:rsidR="00287C65" w:rsidRDefault="00287C65" w:rsidP="00287C65">
      <w:r>
        <w:rPr>
          <w:rStyle w:val="CommentReference"/>
          <w:rFonts w:eastAsiaTheme="majorEastAsia"/>
        </w:rPr>
        <w:annotationRef/>
      </w:r>
      <w:r>
        <w:rPr>
          <w:color w:val="000000"/>
          <w:sz w:val="20"/>
          <w:szCs w:val="20"/>
        </w:rPr>
        <w:t>nicely done</w:t>
      </w:r>
    </w:p>
  </w:comment>
  <w:comment w:id="67" w:author="Chiles, Katherine Leigh" w:date="2024-03-23T14:24:00Z" w:initials="CKL">
    <w:p w14:paraId="71E6BA9B" w14:textId="77777777" w:rsidR="00287C65" w:rsidRDefault="00287C65" w:rsidP="00287C65">
      <w:r>
        <w:rPr>
          <w:rStyle w:val="CommentReference"/>
          <w:rFonts w:eastAsiaTheme="majorEastAsia"/>
        </w:rPr>
        <w:annotationRef/>
      </w:r>
      <w:r>
        <w:rPr>
          <w:color w:val="000000"/>
          <w:sz w:val="20"/>
          <w:szCs w:val="20"/>
        </w:rPr>
        <w:t>I wonder what this means to Twain?</w:t>
      </w:r>
    </w:p>
  </w:comment>
  <w:comment w:id="68" w:author="Chiles, Katherine Leigh" w:date="2024-03-23T17:34:00Z" w:initials="CKL">
    <w:p w14:paraId="3B91B37C" w14:textId="77777777" w:rsidR="00287C65" w:rsidRDefault="00287C65" w:rsidP="00287C65">
      <w:r>
        <w:rPr>
          <w:rStyle w:val="CommentReference"/>
          <w:rFonts w:eastAsiaTheme="majorEastAsia"/>
        </w:rPr>
        <w:annotationRef/>
      </w:r>
      <w:r>
        <w:rPr>
          <w:color w:val="000000"/>
          <w:sz w:val="20"/>
          <w:szCs w:val="20"/>
        </w:rPr>
        <w:t>This is a great claim, but it tends to get a little repetitive toward the end.</w:t>
      </w:r>
    </w:p>
  </w:comment>
  <w:comment w:id="69" w:author="Chiles, Katherine Leigh" w:date="2024-03-23T17:36:00Z" w:initials="CKL">
    <w:p w14:paraId="5F9F7A88" w14:textId="77777777" w:rsidR="00287C65" w:rsidRDefault="00287C65" w:rsidP="00287C65">
      <w:r>
        <w:rPr>
          <w:rStyle w:val="CommentReference"/>
          <w:rFonts w:eastAsiaTheme="majorEastAsia"/>
        </w:rPr>
        <w:annotationRef/>
      </w:r>
      <w:r>
        <w:rPr>
          <w:color w:val="000000"/>
          <w:sz w:val="20"/>
          <w:szCs w:val="20"/>
        </w:rPr>
        <w:t>wow</w:t>
      </w:r>
    </w:p>
  </w:comment>
  <w:comment w:id="70" w:author="Chiles, Katherine Leigh" w:date="2024-03-23T17:36:00Z" w:initials="CKL">
    <w:p w14:paraId="042C8F1F" w14:textId="77777777" w:rsidR="00287C65" w:rsidRDefault="00287C65" w:rsidP="00287C65">
      <w:r>
        <w:rPr>
          <w:rStyle w:val="CommentReference"/>
          <w:rFonts w:eastAsiaTheme="majorEastAsia"/>
        </w:rPr>
        <w:annotationRef/>
      </w:r>
      <w:r>
        <w:rPr>
          <w:color w:val="000000"/>
          <w:sz w:val="20"/>
          <w:szCs w:val="20"/>
        </w:rPr>
        <w:t>wow</w:t>
      </w:r>
    </w:p>
  </w:comment>
  <w:comment w:id="71" w:author="Chiles, Katherine Leigh" w:date="2024-03-23T17:38:00Z" w:initials="CKL">
    <w:p w14:paraId="3C7B5853" w14:textId="77777777" w:rsidR="00287C65" w:rsidRDefault="00287C65" w:rsidP="00287C65">
      <w:r>
        <w:rPr>
          <w:rStyle w:val="CommentReference"/>
          <w:rFonts w:eastAsiaTheme="majorEastAsia"/>
        </w:rPr>
        <w:annotationRef/>
      </w:r>
      <w:r>
        <w:rPr>
          <w:color w:val="000000"/>
          <w:sz w:val="20"/>
          <w:szCs w:val="20"/>
        </w:rPr>
        <w:t>bastardized?</w:t>
      </w:r>
    </w:p>
  </w:comment>
  <w:comment w:id="72" w:author="Chiles, Katherine Leigh" w:date="2024-03-23T17:40:00Z" w:initials="CKL">
    <w:p w14:paraId="62F84D9A" w14:textId="77777777" w:rsidR="00287C65" w:rsidRDefault="00287C65" w:rsidP="00287C65">
      <w:r>
        <w:rPr>
          <w:rStyle w:val="CommentReference"/>
          <w:rFonts w:eastAsiaTheme="majorEastAsia"/>
        </w:rPr>
        <w:annotationRef/>
      </w:r>
      <w:r>
        <w:rPr>
          <w:color w:val="000000"/>
          <w:sz w:val="20"/>
          <w:szCs w:val="20"/>
        </w:rPr>
        <w:t>talented at cultivating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AD9F69E" w15:done="0"/>
  <w15:commentEx w15:paraId="71A92B5C" w15:done="1"/>
  <w15:commentEx w15:paraId="21ACDD76" w15:done="1"/>
  <w15:commentEx w15:paraId="7FB8CB56" w15:done="1"/>
  <w15:commentEx w15:paraId="6F5DA06B" w15:done="1"/>
  <w15:commentEx w15:paraId="75E02493" w15:done="1"/>
  <w15:commentEx w15:paraId="32E81769" w15:done="1"/>
  <w15:commentEx w15:paraId="0CD6E24D" w15:done="1"/>
  <w15:commentEx w15:paraId="2AB45E91" w15:done="1"/>
  <w15:commentEx w15:paraId="649CBC29" w15:done="1"/>
  <w15:commentEx w15:paraId="6BEB68C7" w15:done="1"/>
  <w15:commentEx w15:paraId="411F8C1C" w15:done="1"/>
  <w15:commentEx w15:paraId="724EE4B6" w15:done="1"/>
  <w15:commentEx w15:paraId="57A91273" w15:done="1"/>
  <w15:commentEx w15:paraId="0C35BB32" w15:done="1"/>
  <w15:commentEx w15:paraId="045B127B" w15:done="1"/>
  <w15:commentEx w15:paraId="34E0BDB2" w15:done="1"/>
  <w15:commentEx w15:paraId="2CDA144E" w15:done="1"/>
  <w15:commentEx w15:paraId="4549C87B" w15:done="1"/>
  <w15:commentEx w15:paraId="3A9CEFD9" w15:done="1"/>
  <w15:commentEx w15:paraId="31AA3784" w15:done="1"/>
  <w15:commentEx w15:paraId="6A209B11" w15:done="1"/>
  <w15:commentEx w15:paraId="7FE9CC64" w15:done="1"/>
  <w15:commentEx w15:paraId="475303C6" w15:done="1"/>
  <w15:commentEx w15:paraId="56C4AF0D" w15:done="1"/>
  <w15:commentEx w15:paraId="527C63AF" w15:done="1"/>
  <w15:commentEx w15:paraId="090901E0" w15:done="1"/>
  <w15:commentEx w15:paraId="3999A4EC" w15:done="1"/>
  <w15:commentEx w15:paraId="5658D490" w15:done="1"/>
  <w15:commentEx w15:paraId="28DF888F" w15:done="1"/>
  <w15:commentEx w15:paraId="22868D2C" w15:done="1"/>
  <w15:commentEx w15:paraId="1EE2A5CE" w15:done="1"/>
  <w15:commentEx w15:paraId="77FF9AFC" w15:done="1"/>
  <w15:commentEx w15:paraId="23E9BCDF" w15:done="1"/>
  <w15:commentEx w15:paraId="58FF6C49" w15:done="1"/>
  <w15:commentEx w15:paraId="59EA0BFA" w15:done="1"/>
  <w15:commentEx w15:paraId="02DA5F66" w15:done="1"/>
  <w15:commentEx w15:paraId="0E8A7CE9" w15:done="1"/>
  <w15:commentEx w15:paraId="71E6BA9B" w15:done="1"/>
  <w15:commentEx w15:paraId="3B91B37C" w15:done="1"/>
  <w15:commentEx w15:paraId="5F9F7A88" w15:done="1"/>
  <w15:commentEx w15:paraId="042C8F1F" w15:done="1"/>
  <w15:commentEx w15:paraId="3C7B5853" w15:done="1"/>
  <w15:commentEx w15:paraId="62F84D9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298DD26" w16cex:dateUtc="2024-01-15T22:55:00Z"/>
  <w16cex:commentExtensible w16cex:durableId="4C6EBF09" w16cex:dateUtc="2024-03-12T23:11:00Z"/>
  <w16cex:commentExtensible w16cex:durableId="7FD674E5" w16cex:dateUtc="2024-03-12T23:44:00Z"/>
  <w16cex:commentExtensible w16cex:durableId="1E9CB7FC" w16cex:dateUtc="2024-03-12T23:45:00Z"/>
  <w16cex:commentExtensible w16cex:durableId="603DAC5C" w16cex:dateUtc="2024-03-12T23:48:00Z"/>
  <w16cex:commentExtensible w16cex:durableId="50F935AF" w16cex:dateUtc="2024-03-12T23:49:00Z"/>
  <w16cex:commentExtensible w16cex:durableId="68DB696C" w16cex:dateUtc="2024-03-12T23:52:00Z"/>
  <w16cex:commentExtensible w16cex:durableId="310D1811" w16cex:dateUtc="2024-03-12T23:52:00Z"/>
  <w16cex:commentExtensible w16cex:durableId="55433026" w16cex:dateUtc="2024-03-12T23:57:00Z"/>
  <w16cex:commentExtensible w16cex:durableId="0BAAF6CE" w16cex:dateUtc="2024-03-13T00:14:00Z"/>
  <w16cex:commentExtensible w16cex:durableId="6BD02F30" w16cex:dateUtc="2024-03-17T20:59:00Z"/>
  <w16cex:commentExtensible w16cex:durableId="4F984159" w16cex:dateUtc="2024-03-17T21:25:00Z"/>
  <w16cex:commentExtensible w16cex:durableId="7DEFE5FB" w16cex:dateUtc="2024-03-17T21:26:00Z"/>
  <w16cex:commentExtensible w16cex:durableId="591C9B44" w16cex:dateUtc="2024-03-17T21:27:00Z"/>
  <w16cex:commentExtensible w16cex:durableId="6BF3C8BD" w16cex:dateUtc="2024-03-17T21:30:00Z"/>
  <w16cex:commentExtensible w16cex:durableId="4B4B8337" w16cex:dateUtc="2024-03-17T21:30:00Z"/>
  <w16cex:commentExtensible w16cex:durableId="404D9DE6" w16cex:dateUtc="2024-03-17T21:33:00Z"/>
  <w16cex:commentExtensible w16cex:durableId="28A07B2B" w16cex:dateUtc="2024-03-17T21:38:00Z"/>
  <w16cex:commentExtensible w16cex:durableId="0766CBD1" w16cex:dateUtc="2024-03-17T21:44:00Z"/>
  <w16cex:commentExtensible w16cex:durableId="197EA381" w16cex:dateUtc="2024-03-17T21:45:00Z"/>
  <w16cex:commentExtensible w16cex:durableId="5D876B7F" w16cex:dateUtc="2024-03-17T21:46:00Z"/>
  <w16cex:commentExtensible w16cex:durableId="783357B3" w16cex:dateUtc="2024-03-17T21:49:00Z"/>
  <w16cex:commentExtensible w16cex:durableId="36351568" w16cex:dateUtc="2024-03-17T21:50:00Z"/>
  <w16cex:commentExtensible w16cex:durableId="5DD5CC4D" w16cex:dateUtc="2024-03-23T17:16:00Z"/>
  <w16cex:commentExtensible w16cex:durableId="703F9C3E" w16cex:dateUtc="2024-03-23T17:19:00Z"/>
  <w16cex:commentExtensible w16cex:durableId="0A7FBDDC" w16cex:dateUtc="2024-03-23T17:19:00Z"/>
  <w16cex:commentExtensible w16cex:durableId="058D7822" w16cex:dateUtc="2024-03-23T17:20:00Z"/>
  <w16cex:commentExtensible w16cex:durableId="43A00A70" w16cex:dateUtc="2024-03-23T17:22:00Z"/>
  <w16cex:commentExtensible w16cex:durableId="161589A7" w16cex:dateUtc="2024-03-23T17:32:00Z"/>
  <w16cex:commentExtensible w16cex:durableId="08A62A37" w16cex:dateUtc="2024-03-23T17:43:00Z"/>
  <w16cex:commentExtensible w16cex:durableId="0A12AB94" w16cex:dateUtc="2024-03-23T17:47:00Z"/>
  <w16cex:commentExtensible w16cex:durableId="513DEA74" w16cex:dateUtc="2024-03-23T18:10:00Z"/>
  <w16cex:commentExtensible w16cex:durableId="6F26E9D2" w16cex:dateUtc="2024-03-23T18:12:00Z"/>
  <w16cex:commentExtensible w16cex:durableId="2ADB1088" w16cex:dateUtc="2024-03-23T18:16:00Z"/>
  <w16cex:commentExtensible w16cex:durableId="2F937028" w16cex:dateUtc="2024-03-23T18:17:00Z"/>
  <w16cex:commentExtensible w16cex:durableId="0CFCC669" w16cex:dateUtc="2024-03-23T18:18:00Z"/>
  <w16cex:commentExtensible w16cex:durableId="6C30BCC0" w16cex:dateUtc="2024-03-23T18:21:00Z"/>
  <w16cex:commentExtensible w16cex:durableId="14A316D4" w16cex:dateUtc="2024-03-23T18:22:00Z"/>
  <w16cex:commentExtensible w16cex:durableId="7BFCFEDC" w16cex:dateUtc="2024-03-23T18:24:00Z"/>
  <w16cex:commentExtensible w16cex:durableId="54533B0B" w16cex:dateUtc="2024-03-23T21:34:00Z"/>
  <w16cex:commentExtensible w16cex:durableId="0E5D7173" w16cex:dateUtc="2024-03-23T21:36:00Z"/>
  <w16cex:commentExtensible w16cex:durableId="21401838" w16cex:dateUtc="2024-03-23T21:36:00Z"/>
  <w16cex:commentExtensible w16cex:durableId="0094A7D4" w16cex:dateUtc="2024-03-23T21:38:00Z"/>
  <w16cex:commentExtensible w16cex:durableId="3344E7D8" w16cex:dateUtc="2024-03-23T21: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AD9F69E" w16cid:durableId="5298DD26"/>
  <w16cid:commentId w16cid:paraId="71A92B5C" w16cid:durableId="4C6EBF09"/>
  <w16cid:commentId w16cid:paraId="21ACDD76" w16cid:durableId="7FD674E5"/>
  <w16cid:commentId w16cid:paraId="7FB8CB56" w16cid:durableId="1E9CB7FC"/>
  <w16cid:commentId w16cid:paraId="6F5DA06B" w16cid:durableId="603DAC5C"/>
  <w16cid:commentId w16cid:paraId="75E02493" w16cid:durableId="50F935AF"/>
  <w16cid:commentId w16cid:paraId="32E81769" w16cid:durableId="68DB696C"/>
  <w16cid:commentId w16cid:paraId="0CD6E24D" w16cid:durableId="310D1811"/>
  <w16cid:commentId w16cid:paraId="2AB45E91" w16cid:durableId="55433026"/>
  <w16cid:commentId w16cid:paraId="649CBC29" w16cid:durableId="0BAAF6CE"/>
  <w16cid:commentId w16cid:paraId="6BEB68C7" w16cid:durableId="6BD02F30"/>
  <w16cid:commentId w16cid:paraId="411F8C1C" w16cid:durableId="4F984159"/>
  <w16cid:commentId w16cid:paraId="724EE4B6" w16cid:durableId="7DEFE5FB"/>
  <w16cid:commentId w16cid:paraId="57A91273" w16cid:durableId="591C9B44"/>
  <w16cid:commentId w16cid:paraId="0C35BB32" w16cid:durableId="6BF3C8BD"/>
  <w16cid:commentId w16cid:paraId="045B127B" w16cid:durableId="4B4B8337"/>
  <w16cid:commentId w16cid:paraId="34E0BDB2" w16cid:durableId="404D9DE6"/>
  <w16cid:commentId w16cid:paraId="2CDA144E" w16cid:durableId="28A07B2B"/>
  <w16cid:commentId w16cid:paraId="4549C87B" w16cid:durableId="0766CBD1"/>
  <w16cid:commentId w16cid:paraId="3A9CEFD9" w16cid:durableId="197EA381"/>
  <w16cid:commentId w16cid:paraId="31AA3784" w16cid:durableId="5D876B7F"/>
  <w16cid:commentId w16cid:paraId="6A209B11" w16cid:durableId="783357B3"/>
  <w16cid:commentId w16cid:paraId="7FE9CC64" w16cid:durableId="36351568"/>
  <w16cid:commentId w16cid:paraId="475303C6" w16cid:durableId="5DD5CC4D"/>
  <w16cid:commentId w16cid:paraId="56C4AF0D" w16cid:durableId="703F9C3E"/>
  <w16cid:commentId w16cid:paraId="527C63AF" w16cid:durableId="0A7FBDDC"/>
  <w16cid:commentId w16cid:paraId="090901E0" w16cid:durableId="058D7822"/>
  <w16cid:commentId w16cid:paraId="3999A4EC" w16cid:durableId="43A00A70"/>
  <w16cid:commentId w16cid:paraId="5658D490" w16cid:durableId="161589A7"/>
  <w16cid:commentId w16cid:paraId="28DF888F" w16cid:durableId="08A62A37"/>
  <w16cid:commentId w16cid:paraId="22868D2C" w16cid:durableId="0A12AB94"/>
  <w16cid:commentId w16cid:paraId="1EE2A5CE" w16cid:durableId="513DEA74"/>
  <w16cid:commentId w16cid:paraId="77FF9AFC" w16cid:durableId="6F26E9D2"/>
  <w16cid:commentId w16cid:paraId="23E9BCDF" w16cid:durableId="2ADB1088"/>
  <w16cid:commentId w16cid:paraId="58FF6C49" w16cid:durableId="2F937028"/>
  <w16cid:commentId w16cid:paraId="59EA0BFA" w16cid:durableId="0CFCC669"/>
  <w16cid:commentId w16cid:paraId="02DA5F66" w16cid:durableId="6C30BCC0"/>
  <w16cid:commentId w16cid:paraId="0E8A7CE9" w16cid:durableId="14A316D4"/>
  <w16cid:commentId w16cid:paraId="71E6BA9B" w16cid:durableId="7BFCFEDC"/>
  <w16cid:commentId w16cid:paraId="3B91B37C" w16cid:durableId="54533B0B"/>
  <w16cid:commentId w16cid:paraId="5F9F7A88" w16cid:durableId="0E5D7173"/>
  <w16cid:commentId w16cid:paraId="042C8F1F" w16cid:durableId="21401838"/>
  <w16cid:commentId w16cid:paraId="3C7B5853" w16cid:durableId="0094A7D4"/>
  <w16cid:commentId w16cid:paraId="62F84D9A" w16cid:durableId="3344E7D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DD9A26" w14:textId="77777777" w:rsidR="00866A08" w:rsidRDefault="00866A08" w:rsidP="00AF1014">
      <w:r>
        <w:separator/>
      </w:r>
    </w:p>
  </w:endnote>
  <w:endnote w:type="continuationSeparator" w:id="0">
    <w:p w14:paraId="20690E5E" w14:textId="77777777" w:rsidR="00866A08" w:rsidRDefault="00866A08" w:rsidP="00AF1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39533" w14:textId="77777777" w:rsidR="00866A08" w:rsidRDefault="00866A08" w:rsidP="00AF1014">
      <w:r>
        <w:separator/>
      </w:r>
    </w:p>
  </w:footnote>
  <w:footnote w:type="continuationSeparator" w:id="0">
    <w:p w14:paraId="48A168AE" w14:textId="77777777" w:rsidR="00866A08" w:rsidRDefault="00866A08" w:rsidP="00AF1014">
      <w:r>
        <w:continuationSeparator/>
      </w:r>
    </w:p>
  </w:footnote>
  <w:footnote w:id="1">
    <w:p w14:paraId="69D2589D" w14:textId="1D077E3A" w:rsidR="00274B3F" w:rsidRPr="00F8213A" w:rsidRDefault="00274B3F" w:rsidP="00274B3F">
      <w:pPr>
        <w:pStyle w:val="Body"/>
        <w:spacing w:line="240" w:lineRule="auto"/>
        <w:rPr>
          <w:rFonts w:ascii="Times New Roman" w:hAnsi="Times New Roman" w:cs="Times New Roman"/>
          <w:sz w:val="20"/>
          <w:szCs w:val="20"/>
        </w:rPr>
      </w:pPr>
      <w:r w:rsidRPr="00F8213A">
        <w:rPr>
          <w:rFonts w:ascii="Times New Roman" w:eastAsia="Times New Roman" w:hAnsi="Times New Roman" w:cs="Times New Roman"/>
          <w:sz w:val="20"/>
          <w:szCs w:val="20"/>
          <w:vertAlign w:val="superscript"/>
        </w:rPr>
        <w:footnoteRef/>
      </w:r>
      <w:r w:rsidRPr="00F8213A">
        <w:rPr>
          <w:rFonts w:ascii="Times New Roman" w:hAnsi="Times New Roman" w:cs="Times New Roman"/>
          <w:sz w:val="20"/>
          <w:szCs w:val="20"/>
        </w:rPr>
        <w:t xml:space="preserve"> Further references to this text will be cited as </w:t>
      </w:r>
      <w:r w:rsidRPr="00F8213A">
        <w:rPr>
          <w:rFonts w:ascii="Times New Roman" w:hAnsi="Times New Roman" w:cs="Times New Roman"/>
          <w:i/>
          <w:iCs/>
          <w:sz w:val="20"/>
          <w:szCs w:val="20"/>
          <w:lang w:val="fr-FR"/>
        </w:rPr>
        <w:t>Nullification</w:t>
      </w:r>
      <w:r w:rsidR="00F8213A">
        <w:rPr>
          <w:rFonts w:ascii="Times New Roman" w:hAnsi="Times New Roman" w:cs="Times New Roman"/>
          <w:i/>
          <w:iCs/>
          <w:sz w:val="20"/>
          <w:szCs w:val="20"/>
          <w:lang w:val="fr-FR"/>
        </w:rPr>
        <w:t>.</w:t>
      </w:r>
    </w:p>
  </w:footnote>
  <w:footnote w:id="2">
    <w:p w14:paraId="459E5F3E" w14:textId="77777777" w:rsidR="00274B3F" w:rsidRPr="00F8213A" w:rsidRDefault="00274B3F" w:rsidP="00274B3F">
      <w:pPr>
        <w:pStyle w:val="Body"/>
        <w:spacing w:line="240" w:lineRule="auto"/>
        <w:rPr>
          <w:rFonts w:ascii="Times New Roman" w:hAnsi="Times New Roman" w:cs="Times New Roman"/>
          <w:sz w:val="20"/>
          <w:szCs w:val="20"/>
        </w:rPr>
      </w:pPr>
      <w:r w:rsidRPr="00F8213A">
        <w:rPr>
          <w:rFonts w:ascii="Times New Roman" w:eastAsia="Times New Roman" w:hAnsi="Times New Roman" w:cs="Times New Roman"/>
          <w:sz w:val="20"/>
          <w:szCs w:val="20"/>
          <w:vertAlign w:val="superscript"/>
        </w:rPr>
        <w:footnoteRef/>
      </w:r>
      <w:r w:rsidRPr="00F8213A">
        <w:rPr>
          <w:rFonts w:ascii="Times New Roman" w:hAnsi="Times New Roman" w:cs="Times New Roman"/>
          <w:sz w:val="20"/>
          <w:szCs w:val="20"/>
        </w:rPr>
        <w:t xml:space="preserve"> Irving would later revise “Traits of Indian Character” for inclusion as one of the two so-called “Indian sketches” (alongside “Philip of Pokanoket”) in his famous </w:t>
      </w:r>
      <w:r w:rsidRPr="00F8213A">
        <w:rPr>
          <w:rFonts w:ascii="Times New Roman" w:hAnsi="Times New Roman" w:cs="Times New Roman"/>
          <w:i/>
          <w:iCs/>
          <w:sz w:val="20"/>
          <w:szCs w:val="20"/>
        </w:rPr>
        <w:t xml:space="preserve">Sketch Book of Geoffrey Crayon </w:t>
      </w:r>
      <w:r w:rsidRPr="00F8213A">
        <w:rPr>
          <w:rFonts w:ascii="Times New Roman" w:hAnsi="Times New Roman" w:cs="Times New Roman"/>
          <w:sz w:val="20"/>
          <w:szCs w:val="20"/>
        </w:rPr>
        <w:t xml:space="preserve">(1820). Prior to Irving’s representation of the revised essay in </w:t>
      </w:r>
      <w:r w:rsidRPr="00F8213A">
        <w:rPr>
          <w:rFonts w:ascii="Times New Roman" w:hAnsi="Times New Roman" w:cs="Times New Roman"/>
          <w:i/>
          <w:iCs/>
          <w:sz w:val="20"/>
          <w:szCs w:val="20"/>
        </w:rPr>
        <w:t>The Sketch Book</w:t>
      </w:r>
      <w:r w:rsidRPr="00F8213A">
        <w:rPr>
          <w:rFonts w:ascii="Times New Roman" w:hAnsi="Times New Roman" w:cs="Times New Roman"/>
          <w:sz w:val="20"/>
          <w:szCs w:val="20"/>
        </w:rPr>
        <w:t>, however, missionary Elias Boudinot of the American Bible Commission quoted portions of the 1814 “</w:t>
      </w:r>
      <w:r w:rsidRPr="00F8213A">
        <w:rPr>
          <w:rFonts w:ascii="Times New Roman" w:hAnsi="Times New Roman" w:cs="Times New Roman"/>
          <w:sz w:val="20"/>
          <w:szCs w:val="20"/>
          <w:lang w:val="fr-FR"/>
        </w:rPr>
        <w:t>Traits</w:t>
      </w:r>
      <w:r w:rsidRPr="00F8213A">
        <w:rPr>
          <w:rFonts w:ascii="Times New Roman" w:hAnsi="Times New Roman" w:cs="Times New Roman"/>
          <w:sz w:val="20"/>
          <w:szCs w:val="20"/>
        </w:rPr>
        <w:t xml:space="preserve">” in </w:t>
      </w:r>
      <w:r w:rsidRPr="00F8213A">
        <w:rPr>
          <w:rFonts w:ascii="Times New Roman" w:hAnsi="Times New Roman" w:cs="Times New Roman"/>
          <w:i/>
          <w:iCs/>
          <w:sz w:val="20"/>
          <w:szCs w:val="20"/>
        </w:rPr>
        <w:t xml:space="preserve">Star in the West </w:t>
      </w:r>
      <w:r w:rsidRPr="00F8213A">
        <w:rPr>
          <w:rFonts w:ascii="Times New Roman" w:hAnsi="Times New Roman" w:cs="Times New Roman"/>
          <w:sz w:val="20"/>
          <w:szCs w:val="20"/>
        </w:rPr>
        <w:t xml:space="preserve">(1816), in which he forwarded the hypothesis that Indigenous peoples of North America were descendants of the lost tribes of Israel in the Old Testament. The Cherokee intellectual Elias Boudinot (Buck Watie), who adopted his name in honor of the missionary Boudinot and who served as the first editor of </w:t>
      </w:r>
      <w:r w:rsidRPr="00F8213A">
        <w:rPr>
          <w:rFonts w:ascii="Times New Roman" w:hAnsi="Times New Roman" w:cs="Times New Roman"/>
          <w:i/>
          <w:iCs/>
          <w:sz w:val="20"/>
          <w:szCs w:val="20"/>
        </w:rPr>
        <w:t>The Cherokee Phoenix</w:t>
      </w:r>
      <w:r w:rsidRPr="00F8213A">
        <w:rPr>
          <w:rFonts w:ascii="Times New Roman" w:hAnsi="Times New Roman" w:cs="Times New Roman"/>
          <w:sz w:val="20"/>
          <w:szCs w:val="20"/>
        </w:rPr>
        <w:t xml:space="preserve"> newspaper, probably reprinted “</w:t>
      </w:r>
      <w:r w:rsidRPr="00F8213A">
        <w:rPr>
          <w:rFonts w:ascii="Times New Roman" w:hAnsi="Times New Roman" w:cs="Times New Roman"/>
          <w:sz w:val="20"/>
          <w:szCs w:val="20"/>
          <w:lang w:val="fr-FR"/>
        </w:rPr>
        <w:t>Traits</w:t>
      </w:r>
      <w:r w:rsidRPr="00F8213A">
        <w:rPr>
          <w:rFonts w:ascii="Times New Roman" w:hAnsi="Times New Roman" w:cs="Times New Roman"/>
          <w:sz w:val="20"/>
          <w:szCs w:val="20"/>
        </w:rPr>
        <w:t xml:space="preserve">” from </w:t>
      </w:r>
      <w:r w:rsidRPr="00F8213A">
        <w:rPr>
          <w:rFonts w:ascii="Times New Roman" w:hAnsi="Times New Roman" w:cs="Times New Roman"/>
          <w:i/>
          <w:iCs/>
          <w:sz w:val="20"/>
          <w:szCs w:val="20"/>
        </w:rPr>
        <w:t>Star in the West</w:t>
      </w:r>
      <w:r w:rsidRPr="00F8213A">
        <w:rPr>
          <w:rFonts w:ascii="Times New Roman" w:hAnsi="Times New Roman" w:cs="Times New Roman"/>
          <w:sz w:val="20"/>
          <w:szCs w:val="20"/>
        </w:rPr>
        <w:t xml:space="preserve"> rather than directly from </w:t>
      </w:r>
      <w:r w:rsidRPr="00F8213A">
        <w:rPr>
          <w:rFonts w:ascii="Times New Roman" w:hAnsi="Times New Roman" w:cs="Times New Roman"/>
          <w:i/>
          <w:iCs/>
          <w:sz w:val="20"/>
          <w:szCs w:val="20"/>
        </w:rPr>
        <w:t xml:space="preserve">Analectic </w:t>
      </w:r>
      <w:r w:rsidRPr="00F8213A">
        <w:rPr>
          <w:rFonts w:ascii="Times New Roman" w:hAnsi="Times New Roman" w:cs="Times New Roman"/>
          <w:sz w:val="20"/>
          <w:szCs w:val="20"/>
        </w:rPr>
        <w:t xml:space="preserve">or the more recent version in </w:t>
      </w:r>
      <w:r w:rsidRPr="00F8213A">
        <w:rPr>
          <w:rFonts w:ascii="Times New Roman" w:hAnsi="Times New Roman" w:cs="Times New Roman"/>
          <w:i/>
          <w:iCs/>
          <w:sz w:val="20"/>
          <w:szCs w:val="20"/>
        </w:rPr>
        <w:t>The Sketch Book</w:t>
      </w:r>
      <w:r w:rsidRPr="00F8213A">
        <w:rPr>
          <w:rFonts w:ascii="Times New Roman" w:hAnsi="Times New Roman" w:cs="Times New Roman"/>
          <w:sz w:val="20"/>
          <w:szCs w:val="20"/>
        </w:rPr>
        <w:t>, but it is impossible to know for sure.</w:t>
      </w:r>
    </w:p>
  </w:footnote>
  <w:footnote w:id="3">
    <w:p w14:paraId="67B8B00D" w14:textId="03B2FD52" w:rsidR="00274B3F" w:rsidRPr="00F8213A" w:rsidRDefault="00274B3F" w:rsidP="00274B3F">
      <w:pPr>
        <w:pStyle w:val="Body"/>
        <w:spacing w:line="240" w:lineRule="auto"/>
        <w:rPr>
          <w:rFonts w:ascii="Times New Roman" w:hAnsi="Times New Roman" w:cs="Times New Roman"/>
          <w:sz w:val="20"/>
          <w:szCs w:val="20"/>
        </w:rPr>
      </w:pPr>
      <w:r w:rsidRPr="00F8213A">
        <w:rPr>
          <w:rFonts w:ascii="Times New Roman" w:eastAsia="Times New Roman" w:hAnsi="Times New Roman" w:cs="Times New Roman"/>
          <w:sz w:val="20"/>
          <w:szCs w:val="20"/>
          <w:vertAlign w:val="superscript"/>
        </w:rPr>
        <w:footnoteRef/>
      </w:r>
      <w:r w:rsidRPr="00F8213A">
        <w:rPr>
          <w:rFonts w:ascii="Times New Roman" w:hAnsi="Times New Roman" w:cs="Times New Roman"/>
          <w:sz w:val="20"/>
          <w:szCs w:val="20"/>
        </w:rPr>
        <w:t xml:space="preserve"> The website for the Mashpee Wampanoag tribal government contains brief character sketches of their past leaders. According to them, Chief Sly Fox (Vernon </w:t>
      </w:r>
      <w:proofErr w:type="spellStart"/>
      <w:r w:rsidRPr="00F8213A">
        <w:rPr>
          <w:rFonts w:ascii="Times New Roman" w:hAnsi="Times New Roman" w:cs="Times New Roman"/>
          <w:sz w:val="20"/>
          <w:szCs w:val="20"/>
        </w:rPr>
        <w:t>Pocknett</w:t>
      </w:r>
      <w:proofErr w:type="spellEnd"/>
      <w:r w:rsidRPr="00F8213A">
        <w:rPr>
          <w:rFonts w:ascii="Times New Roman" w:hAnsi="Times New Roman" w:cs="Times New Roman"/>
          <w:sz w:val="20"/>
          <w:szCs w:val="20"/>
        </w:rPr>
        <w:t>) was “</w:t>
      </w:r>
      <w:r w:rsidRPr="00F8213A">
        <w:rPr>
          <w:rFonts w:ascii="Times New Roman" w:hAnsi="Times New Roman" w:cs="Times New Roman"/>
          <w:sz w:val="20"/>
          <w:szCs w:val="20"/>
          <w:shd w:val="clear" w:color="auto" w:fill="FFFFFF"/>
        </w:rPr>
        <w:t xml:space="preserve">Always at the center of the storm, Vernon </w:t>
      </w:r>
      <w:proofErr w:type="spellStart"/>
      <w:r w:rsidRPr="00F8213A">
        <w:rPr>
          <w:rFonts w:ascii="Times New Roman" w:hAnsi="Times New Roman" w:cs="Times New Roman"/>
          <w:sz w:val="20"/>
          <w:szCs w:val="20"/>
          <w:shd w:val="clear" w:color="auto" w:fill="FFFFFF"/>
        </w:rPr>
        <w:t>Pocknett</w:t>
      </w:r>
      <w:proofErr w:type="spellEnd"/>
      <w:r w:rsidRPr="00F8213A">
        <w:rPr>
          <w:rFonts w:ascii="Times New Roman" w:hAnsi="Times New Roman" w:cs="Times New Roman"/>
          <w:sz w:val="20"/>
          <w:szCs w:val="20"/>
          <w:shd w:val="clear" w:color="auto" w:fill="FFFFFF"/>
        </w:rPr>
        <w:t xml:space="preserve"> partnered with Tribal Chairman to keep the pressure on for the fledging Mashpee Wampanoag. Whether the land suit, fishing rights, or the quest for recognition, "Sly Fox" was in the mix. Outspoken and unabashed, Vernon was a sharp contrast to many Mashpee leaders who would sooner ignore you than confront you. He would set you straight in a hurry. A master fisherman and hunter in the </w:t>
      </w:r>
      <w:proofErr w:type="spellStart"/>
      <w:r w:rsidRPr="00F8213A">
        <w:rPr>
          <w:rFonts w:ascii="Times New Roman" w:hAnsi="Times New Roman" w:cs="Times New Roman"/>
          <w:sz w:val="20"/>
          <w:szCs w:val="20"/>
          <w:shd w:val="clear" w:color="auto" w:fill="FFFFFF"/>
        </w:rPr>
        <w:t>Pocknett</w:t>
      </w:r>
      <w:proofErr w:type="spellEnd"/>
      <w:r w:rsidRPr="00F8213A">
        <w:rPr>
          <w:rFonts w:ascii="Times New Roman" w:hAnsi="Times New Roman" w:cs="Times New Roman"/>
          <w:sz w:val="20"/>
          <w:szCs w:val="20"/>
          <w:shd w:val="clear" w:color="auto" w:fill="FFFFFF"/>
        </w:rPr>
        <w:t xml:space="preserve"> tradition, the Chief would take tribal children on camping trips </w:t>
      </w:r>
      <w:r w:rsidRPr="00F70CD9">
        <w:rPr>
          <w:rFonts w:ascii="Times New Roman" w:hAnsi="Times New Roman" w:cs="Times New Roman"/>
          <w:color w:val="auto"/>
          <w:sz w:val="20"/>
          <w:szCs w:val="20"/>
          <w:shd w:val="clear" w:color="auto" w:fill="FFFFFF"/>
        </w:rPr>
        <w:t xml:space="preserve">and excursions to remind each generation of their unique heritage and valued place in the world.” See “Past Leaders,” </w:t>
      </w:r>
      <w:r w:rsidRPr="00F70CD9">
        <w:rPr>
          <w:rStyle w:val="Hyperlink0"/>
          <w:rFonts w:eastAsia="Arial Unicode MS"/>
          <w:color w:val="auto"/>
          <w:sz w:val="20"/>
          <w:szCs w:val="20"/>
          <w:u w:val="none"/>
        </w:rPr>
        <w:t>https://mashpeewampanoagtribe-nsn.gov/past-leaders#:~:text=Vernon%20%27Sly%20Fox%27%20Pocknett%2C%20Chief&amp;text=Whether%20the%20land%20suit%2C%20fishing,you%20straight%20in%20a%20hurry.</w:t>
      </w:r>
      <w:r w:rsidRPr="00F70CD9">
        <w:rPr>
          <w:rStyle w:val="None"/>
          <w:rFonts w:ascii="Times New Roman" w:hAnsi="Times New Roman" w:cs="Times New Roman"/>
          <w:color w:val="auto"/>
          <w:sz w:val="20"/>
          <w:szCs w:val="20"/>
        </w:rPr>
        <w:t xml:space="preserve"> </w:t>
      </w:r>
    </w:p>
  </w:footnote>
  <w:footnote w:id="4">
    <w:p w14:paraId="3346DD75" w14:textId="0B22E334" w:rsidR="00274B3F" w:rsidRPr="00F8213A" w:rsidRDefault="00274B3F" w:rsidP="00274B3F">
      <w:pPr>
        <w:pStyle w:val="Body"/>
        <w:spacing w:line="240" w:lineRule="auto"/>
        <w:rPr>
          <w:rFonts w:ascii="Times New Roman" w:hAnsi="Times New Roman" w:cs="Times New Roman"/>
          <w:sz w:val="20"/>
          <w:szCs w:val="20"/>
        </w:rPr>
      </w:pPr>
      <w:r w:rsidRPr="00F8213A">
        <w:rPr>
          <w:rStyle w:val="None"/>
          <w:rFonts w:ascii="Times New Roman" w:eastAsia="Times New Roman" w:hAnsi="Times New Roman" w:cs="Times New Roman"/>
          <w:sz w:val="20"/>
          <w:szCs w:val="20"/>
          <w:vertAlign w:val="superscript"/>
        </w:rPr>
        <w:footnoteRef/>
      </w:r>
      <w:r w:rsidRPr="00F8213A">
        <w:rPr>
          <w:rFonts w:ascii="Times New Roman" w:hAnsi="Times New Roman" w:cs="Times New Roman"/>
          <w:sz w:val="20"/>
          <w:szCs w:val="20"/>
        </w:rPr>
        <w:t xml:space="preserve"> </w:t>
      </w:r>
      <w:r w:rsidRPr="00F8213A">
        <w:rPr>
          <w:rStyle w:val="None"/>
          <w:rFonts w:ascii="Times New Roman" w:hAnsi="Times New Roman" w:cs="Times New Roman"/>
          <w:sz w:val="20"/>
          <w:szCs w:val="20"/>
          <w:shd w:val="clear" w:color="auto" w:fill="FFFFFF"/>
        </w:rPr>
        <w:t>By this, I do not mean to suggest that Fish was a Puritan in the sectarian sense. I mean that narratives of Natives</w:t>
      </w:r>
      <w:r w:rsidRPr="00F8213A">
        <w:rPr>
          <w:rStyle w:val="None"/>
          <w:rFonts w:ascii="Times New Roman" w:hAnsi="Times New Roman" w:cs="Times New Roman"/>
          <w:sz w:val="20"/>
          <w:szCs w:val="20"/>
          <w:shd w:val="clear" w:color="auto" w:fill="FFFFFF"/>
          <w:rtl/>
        </w:rPr>
        <w:t xml:space="preserve">’ </w:t>
      </w:r>
      <w:r w:rsidRPr="00F8213A">
        <w:rPr>
          <w:rStyle w:val="None"/>
          <w:rFonts w:ascii="Times New Roman" w:hAnsi="Times New Roman" w:cs="Times New Roman"/>
          <w:sz w:val="20"/>
          <w:szCs w:val="20"/>
          <w:shd w:val="clear" w:color="auto" w:fill="FFFFFF"/>
        </w:rPr>
        <w:t xml:space="preserve">devil-worship originating in the Puritan era continued to shape ideas about Native character in the colonial imagination well past the seventeenth century. </w:t>
      </w:r>
      <w:r w:rsidRPr="000D3488">
        <w:rPr>
          <w:rStyle w:val="None"/>
          <w:rFonts w:ascii="Times New Roman" w:hAnsi="Times New Roman" w:cs="Times New Roman"/>
          <w:color w:val="auto"/>
          <w:sz w:val="20"/>
          <w:szCs w:val="20"/>
          <w:shd w:val="clear" w:color="auto" w:fill="FFFFFF"/>
        </w:rPr>
        <w:t xml:space="preserve">According to the Native Northeast Portal, Fish was a </w:t>
      </w:r>
      <w:r w:rsidRPr="000D3488">
        <w:rPr>
          <w:rStyle w:val="None"/>
          <w:rFonts w:ascii="Times New Roman" w:hAnsi="Times New Roman" w:cs="Times New Roman"/>
          <w:color w:val="auto"/>
          <w:sz w:val="20"/>
          <w:szCs w:val="20"/>
          <w:shd w:val="clear" w:color="auto" w:fill="FFFFFF"/>
          <w:rtl/>
          <w:lang w:val="ar-SA"/>
        </w:rPr>
        <w:t>“</w:t>
      </w:r>
      <w:r w:rsidRPr="000D3488">
        <w:rPr>
          <w:rStyle w:val="None"/>
          <w:rFonts w:ascii="Times New Roman" w:hAnsi="Times New Roman" w:cs="Times New Roman"/>
          <w:color w:val="auto"/>
          <w:sz w:val="20"/>
          <w:szCs w:val="20"/>
          <w:shd w:val="clear" w:color="auto" w:fill="FFFFFF"/>
        </w:rPr>
        <w:t xml:space="preserve">liberal Congregationalist with heavily rationalist, anti-Calvinist with Unitarian tendencies.” See </w:t>
      </w:r>
      <w:r w:rsidRPr="000D3488">
        <w:rPr>
          <w:rStyle w:val="None"/>
          <w:rFonts w:ascii="Times New Roman" w:hAnsi="Times New Roman" w:cs="Times New Roman"/>
          <w:color w:val="auto"/>
          <w:sz w:val="20"/>
          <w:szCs w:val="20"/>
          <w:shd w:val="clear" w:color="auto" w:fill="FFFFFF"/>
          <w:rtl/>
          <w:lang w:val="ar-SA"/>
        </w:rPr>
        <w:t>“</w:t>
      </w:r>
      <w:r w:rsidRPr="000D3488">
        <w:rPr>
          <w:rStyle w:val="None"/>
          <w:rFonts w:ascii="Times New Roman" w:hAnsi="Times New Roman" w:cs="Times New Roman"/>
          <w:color w:val="auto"/>
          <w:sz w:val="20"/>
          <w:szCs w:val="20"/>
          <w:shd w:val="clear" w:color="auto" w:fill="FFFFFF"/>
        </w:rPr>
        <w:t xml:space="preserve">Fish, Phineas, 1785-1854,” Native Northeast Portal, </w:t>
      </w:r>
      <w:r w:rsidRPr="000D3488">
        <w:rPr>
          <w:rStyle w:val="Hyperlink1"/>
          <w:rFonts w:ascii="Times New Roman" w:hAnsi="Times New Roman" w:cs="Times New Roman"/>
          <w:color w:val="auto"/>
          <w:sz w:val="20"/>
          <w:szCs w:val="20"/>
          <w:u w:val="none"/>
        </w:rPr>
        <w:t>https://nativenortheastportal.com/bio/bibliography/fish-phineas</w:t>
      </w:r>
      <w:r w:rsidRPr="000D3488">
        <w:rPr>
          <w:rStyle w:val="None"/>
          <w:rFonts w:ascii="Times New Roman" w:hAnsi="Times New Roman" w:cs="Times New Roman"/>
          <w:color w:val="auto"/>
          <w:sz w:val="20"/>
          <w:szCs w:val="20"/>
          <w:shd w:val="clear" w:color="auto" w:fill="FFFFFF"/>
        </w:rPr>
        <w:t>.</w:t>
      </w:r>
    </w:p>
  </w:footnote>
  <w:footnote w:id="5">
    <w:p w14:paraId="40AA9936" w14:textId="77777777" w:rsidR="00274B3F" w:rsidRPr="00F8213A" w:rsidRDefault="00274B3F" w:rsidP="00274B3F">
      <w:pPr>
        <w:pStyle w:val="Body"/>
        <w:spacing w:line="240" w:lineRule="auto"/>
        <w:rPr>
          <w:rFonts w:ascii="Times New Roman" w:hAnsi="Times New Roman" w:cs="Times New Roman"/>
          <w:sz w:val="20"/>
          <w:szCs w:val="20"/>
        </w:rPr>
      </w:pPr>
      <w:r w:rsidRPr="00F8213A">
        <w:rPr>
          <w:rStyle w:val="None"/>
          <w:rFonts w:ascii="Times New Roman" w:eastAsia="Times New Roman" w:hAnsi="Times New Roman" w:cs="Times New Roman"/>
          <w:sz w:val="20"/>
          <w:szCs w:val="20"/>
          <w:vertAlign w:val="superscript"/>
        </w:rPr>
        <w:footnoteRef/>
      </w:r>
      <w:r w:rsidRPr="00F8213A">
        <w:rPr>
          <w:rStyle w:val="None"/>
          <w:rFonts w:ascii="Times New Roman" w:hAnsi="Times New Roman" w:cs="Times New Roman"/>
          <w:sz w:val="20"/>
          <w:szCs w:val="20"/>
        </w:rPr>
        <w:t xml:space="preserve"> It is unclear whether Apess was aware that Irving was the author of “Traits of Indian Character.” In both the 1829 and 1831 editions of A Son of the Forest, Apess presents the essay as coming from Analectic Magazine, in which “</w:t>
      </w:r>
      <w:r w:rsidRPr="00F8213A">
        <w:rPr>
          <w:rStyle w:val="None"/>
          <w:rFonts w:ascii="Times New Roman" w:hAnsi="Times New Roman" w:cs="Times New Roman"/>
          <w:sz w:val="20"/>
          <w:szCs w:val="20"/>
          <w:lang w:val="fr-FR"/>
        </w:rPr>
        <w:t>Traits</w:t>
      </w:r>
      <w:r w:rsidRPr="00F8213A">
        <w:rPr>
          <w:rStyle w:val="None"/>
          <w:rFonts w:ascii="Times New Roman" w:hAnsi="Times New Roman" w:cs="Times New Roman"/>
          <w:sz w:val="20"/>
          <w:szCs w:val="20"/>
        </w:rPr>
        <w:t>” was published as an editorial to which Irving found it unnecessary to sign his name. Likely Apess quoted Irving’s work from Boudinot’s Star in the West (where Boudinot also introduces  “</w:t>
      </w:r>
      <w:r w:rsidRPr="00F8213A">
        <w:rPr>
          <w:rStyle w:val="None"/>
          <w:rFonts w:ascii="Times New Roman" w:hAnsi="Times New Roman" w:cs="Times New Roman"/>
          <w:sz w:val="20"/>
          <w:szCs w:val="20"/>
          <w:lang w:val="fr-FR"/>
        </w:rPr>
        <w:t>Traits</w:t>
      </w:r>
      <w:r w:rsidRPr="00F8213A">
        <w:rPr>
          <w:rStyle w:val="None"/>
          <w:rFonts w:ascii="Times New Roman" w:hAnsi="Times New Roman" w:cs="Times New Roman"/>
          <w:sz w:val="20"/>
          <w:szCs w:val="20"/>
        </w:rPr>
        <w:t>” anonymously) rather than quoting it from the Cherokee Elias Boudinot’s reprinting of “</w:t>
      </w:r>
      <w:r w:rsidRPr="00F8213A">
        <w:rPr>
          <w:rStyle w:val="None"/>
          <w:rFonts w:ascii="Times New Roman" w:hAnsi="Times New Roman" w:cs="Times New Roman"/>
          <w:sz w:val="20"/>
          <w:szCs w:val="20"/>
          <w:lang w:val="fr-FR"/>
        </w:rPr>
        <w:t>Traits</w:t>
      </w:r>
      <w:r w:rsidRPr="00F8213A">
        <w:rPr>
          <w:rStyle w:val="None"/>
          <w:rFonts w:ascii="Times New Roman" w:hAnsi="Times New Roman" w:cs="Times New Roman"/>
          <w:sz w:val="20"/>
          <w:szCs w:val="20"/>
        </w:rPr>
        <w:t xml:space="preserve">” in the Cherokee Phoenix in 1828, where Boudinot does attribute the essay to Irving (though he quotes the 1814 version from </w:t>
      </w:r>
      <w:proofErr w:type="spellStart"/>
      <w:r w:rsidRPr="00F8213A">
        <w:rPr>
          <w:rStyle w:val="None"/>
          <w:rFonts w:ascii="Times New Roman" w:hAnsi="Times New Roman" w:cs="Times New Roman"/>
          <w:sz w:val="20"/>
          <w:szCs w:val="20"/>
          <w:lang w:val="fr-FR"/>
        </w:rPr>
        <w:t>Analectic</w:t>
      </w:r>
      <w:proofErr w:type="spellEnd"/>
      <w:r w:rsidRPr="00F8213A">
        <w:rPr>
          <w:rStyle w:val="None"/>
          <w:rFonts w:ascii="Times New Roman" w:hAnsi="Times New Roman" w:cs="Times New Roman"/>
          <w:sz w:val="20"/>
          <w:szCs w:val="20"/>
        </w:rPr>
        <w:t>, rather than the revised 1820 version from The Sketch Book.)</w:t>
      </w:r>
    </w:p>
  </w:footnote>
  <w:footnote w:id="6">
    <w:p w14:paraId="6BC47FEF" w14:textId="77777777" w:rsidR="00274B3F" w:rsidRPr="00F8213A" w:rsidRDefault="00274B3F" w:rsidP="00274B3F">
      <w:pPr>
        <w:pStyle w:val="Body"/>
        <w:spacing w:line="240" w:lineRule="auto"/>
        <w:rPr>
          <w:rFonts w:ascii="Times New Roman" w:hAnsi="Times New Roman" w:cs="Times New Roman"/>
          <w:sz w:val="20"/>
          <w:szCs w:val="20"/>
        </w:rPr>
      </w:pPr>
      <w:r w:rsidRPr="00F8213A">
        <w:rPr>
          <w:rStyle w:val="None"/>
          <w:rFonts w:ascii="Times New Roman" w:eastAsia="Times New Roman" w:hAnsi="Times New Roman" w:cs="Times New Roman"/>
          <w:sz w:val="20"/>
          <w:szCs w:val="20"/>
          <w:vertAlign w:val="superscript"/>
        </w:rPr>
        <w:footnoteRef/>
      </w:r>
      <w:r w:rsidRPr="00F8213A">
        <w:rPr>
          <w:rStyle w:val="None"/>
          <w:rFonts w:ascii="Times New Roman" w:hAnsi="Times New Roman" w:cs="Times New Roman"/>
          <w:sz w:val="20"/>
          <w:szCs w:val="20"/>
          <w:lang w:val="pt-PT"/>
        </w:rPr>
        <w:t xml:space="preserve"> On Apess</w:t>
      </w:r>
      <w:r w:rsidRPr="00F8213A">
        <w:rPr>
          <w:rStyle w:val="None"/>
          <w:rFonts w:ascii="Times New Roman" w:hAnsi="Times New Roman" w:cs="Times New Roman"/>
          <w:sz w:val="20"/>
          <w:szCs w:val="20"/>
        </w:rPr>
        <w:t>’s work in the context of the nullification crisis and other U.S. national conversations, see Neil Meyer, ‘“To Preserve This Remnant:” William Apess, the Mashpee Indians, and the Politics of Nullification,’ European Journal of American Studies</w:t>
      </w:r>
      <w:r w:rsidRPr="00F8213A">
        <w:rPr>
          <w:rStyle w:val="None"/>
          <w:rFonts w:ascii="Times New Roman" w:hAnsi="Times New Roman" w:cs="Times New Roman"/>
          <w:sz w:val="20"/>
          <w:szCs w:val="20"/>
          <w:lang w:val="de-DE"/>
        </w:rPr>
        <w:t>, 13.2 (Summer 2018): 1-16.</w:t>
      </w:r>
    </w:p>
  </w:footnote>
  <w:footnote w:id="7">
    <w:p w14:paraId="6C6CF36D" w14:textId="77777777" w:rsidR="00274B3F" w:rsidRPr="00F8213A" w:rsidRDefault="00274B3F" w:rsidP="00274B3F">
      <w:pPr>
        <w:pStyle w:val="Body"/>
        <w:spacing w:line="240" w:lineRule="auto"/>
        <w:rPr>
          <w:rFonts w:ascii="Times New Roman" w:hAnsi="Times New Roman" w:cs="Times New Roman"/>
          <w:sz w:val="20"/>
          <w:szCs w:val="20"/>
        </w:rPr>
      </w:pPr>
      <w:r w:rsidRPr="00F8213A">
        <w:rPr>
          <w:rStyle w:val="None"/>
          <w:rFonts w:ascii="Times New Roman" w:eastAsia="Times New Roman" w:hAnsi="Times New Roman" w:cs="Times New Roman"/>
          <w:sz w:val="20"/>
          <w:szCs w:val="20"/>
          <w:vertAlign w:val="superscript"/>
        </w:rPr>
        <w:footnoteRef/>
      </w:r>
      <w:r w:rsidRPr="00F8213A">
        <w:rPr>
          <w:rFonts w:ascii="Times New Roman" w:hAnsi="Times New Roman" w:cs="Times New Roman"/>
          <w:sz w:val="20"/>
          <w:szCs w:val="20"/>
        </w:rPr>
        <w:t xml:space="preserve">  The engraving is unattributed, though its style bears some resemblance to the work of contemporary historian and engraver John Warner Barber (1798-1885) who produced hundreds of drawings and engravings of colonial encounters for his illustrated books of New England history. Barber even produced a woodcut of the Mashpee Meetinghouse for </w:t>
      </w:r>
      <w:r w:rsidRPr="00F8213A">
        <w:rPr>
          <w:rStyle w:val="None"/>
          <w:rFonts w:ascii="Times New Roman" w:hAnsi="Times New Roman" w:cs="Times New Roman"/>
          <w:sz w:val="20"/>
          <w:szCs w:val="20"/>
        </w:rPr>
        <w:t xml:space="preserve">Historical Collections </w:t>
      </w:r>
      <w:r w:rsidRPr="00F8213A">
        <w:rPr>
          <w:rFonts w:ascii="Times New Roman" w:hAnsi="Times New Roman" w:cs="Times New Roman"/>
          <w:sz w:val="20"/>
          <w:szCs w:val="20"/>
        </w:rPr>
        <w:t>(1839). Besides the interesting woodcuts, Barber</w:t>
      </w:r>
      <w:r w:rsidRPr="00F8213A">
        <w:rPr>
          <w:rFonts w:ascii="Times New Roman" w:hAnsi="Times New Roman" w:cs="Times New Roman"/>
          <w:sz w:val="20"/>
          <w:szCs w:val="20"/>
          <w:rtl/>
        </w:rPr>
        <w:t>’</w:t>
      </w:r>
      <w:r w:rsidRPr="00F8213A">
        <w:rPr>
          <w:rFonts w:ascii="Times New Roman" w:hAnsi="Times New Roman" w:cs="Times New Roman"/>
          <w:sz w:val="20"/>
          <w:szCs w:val="20"/>
        </w:rPr>
        <w:t xml:space="preserve">s entry on </w:t>
      </w:r>
      <w:r w:rsidRPr="00F8213A">
        <w:rPr>
          <w:rFonts w:ascii="Times New Roman" w:hAnsi="Times New Roman" w:cs="Times New Roman"/>
          <w:sz w:val="20"/>
          <w:szCs w:val="20"/>
          <w:rtl/>
          <w:lang w:val="ar-SA"/>
        </w:rPr>
        <w:t>“</w:t>
      </w:r>
      <w:r w:rsidRPr="00F8213A">
        <w:rPr>
          <w:rFonts w:ascii="Times New Roman" w:hAnsi="Times New Roman" w:cs="Times New Roman"/>
          <w:sz w:val="20"/>
          <w:szCs w:val="20"/>
        </w:rPr>
        <w:t xml:space="preserve">Marshpee” is notable for its recognition of Mashpee Wampanoag continuance and sovereignty. He describes the area as </w:t>
      </w:r>
      <w:r w:rsidRPr="00F8213A">
        <w:rPr>
          <w:rFonts w:ascii="Times New Roman" w:hAnsi="Times New Roman" w:cs="Times New Roman"/>
          <w:sz w:val="20"/>
          <w:szCs w:val="20"/>
          <w:rtl/>
          <w:lang w:val="ar-SA"/>
        </w:rPr>
        <w:t>“</w:t>
      </w:r>
      <w:proofErr w:type="spellStart"/>
      <w:r w:rsidRPr="00F8213A">
        <w:rPr>
          <w:rFonts w:ascii="Times New Roman" w:hAnsi="Times New Roman" w:cs="Times New Roman"/>
          <w:sz w:val="20"/>
          <w:szCs w:val="20"/>
          <w:lang w:val="fr-FR"/>
        </w:rPr>
        <w:t>ancient</w:t>
      </w:r>
      <w:proofErr w:type="spellEnd"/>
      <w:r w:rsidRPr="00F8213A">
        <w:rPr>
          <w:rFonts w:ascii="Times New Roman" w:hAnsi="Times New Roman" w:cs="Times New Roman"/>
          <w:sz w:val="20"/>
          <w:szCs w:val="20"/>
          <w:lang w:val="fr-FR"/>
        </w:rPr>
        <w:t xml:space="preserve"> </w:t>
      </w:r>
      <w:proofErr w:type="spellStart"/>
      <w:r w:rsidRPr="00F8213A">
        <w:rPr>
          <w:rFonts w:ascii="Times New Roman" w:hAnsi="Times New Roman" w:cs="Times New Roman"/>
          <w:sz w:val="20"/>
          <w:szCs w:val="20"/>
          <w:lang w:val="fr-FR"/>
        </w:rPr>
        <w:t>Indian</w:t>
      </w:r>
      <w:proofErr w:type="spellEnd"/>
      <w:r w:rsidRPr="00F8213A">
        <w:rPr>
          <w:rFonts w:ascii="Times New Roman" w:hAnsi="Times New Roman" w:cs="Times New Roman"/>
          <w:sz w:val="20"/>
          <w:szCs w:val="20"/>
          <w:lang w:val="fr-FR"/>
        </w:rPr>
        <w:t xml:space="preserve"> </w:t>
      </w:r>
      <w:proofErr w:type="spellStart"/>
      <w:r w:rsidRPr="00F8213A">
        <w:rPr>
          <w:rFonts w:ascii="Times New Roman" w:hAnsi="Times New Roman" w:cs="Times New Roman"/>
          <w:sz w:val="20"/>
          <w:szCs w:val="20"/>
          <w:lang w:val="fr-FR"/>
        </w:rPr>
        <w:t>territory</w:t>
      </w:r>
      <w:proofErr w:type="spellEnd"/>
      <w:r w:rsidRPr="00F8213A">
        <w:rPr>
          <w:rFonts w:ascii="Times New Roman" w:hAnsi="Times New Roman" w:cs="Times New Roman"/>
          <w:sz w:val="20"/>
          <w:szCs w:val="20"/>
        </w:rPr>
        <w:t xml:space="preserve">” (46) and writes that </w:t>
      </w:r>
      <w:r w:rsidRPr="00F8213A">
        <w:rPr>
          <w:rFonts w:ascii="Times New Roman" w:hAnsi="Times New Roman" w:cs="Times New Roman"/>
          <w:sz w:val="20"/>
          <w:szCs w:val="20"/>
          <w:rtl/>
          <w:lang w:val="ar-SA"/>
        </w:rPr>
        <w:t>“</w:t>
      </w:r>
      <w:r w:rsidRPr="00F8213A">
        <w:rPr>
          <w:rFonts w:ascii="Times New Roman" w:hAnsi="Times New Roman" w:cs="Times New Roman"/>
          <w:sz w:val="20"/>
          <w:szCs w:val="20"/>
        </w:rPr>
        <w:t>[p]</w:t>
      </w:r>
      <w:proofErr w:type="spellStart"/>
      <w:r w:rsidRPr="00F8213A">
        <w:rPr>
          <w:rFonts w:ascii="Times New Roman" w:hAnsi="Times New Roman" w:cs="Times New Roman"/>
          <w:sz w:val="20"/>
          <w:szCs w:val="20"/>
        </w:rPr>
        <w:t>revious</w:t>
      </w:r>
      <w:proofErr w:type="spellEnd"/>
      <w:r w:rsidRPr="00F8213A">
        <w:rPr>
          <w:rFonts w:ascii="Times New Roman" w:hAnsi="Times New Roman" w:cs="Times New Roman"/>
          <w:sz w:val="20"/>
          <w:szCs w:val="20"/>
        </w:rPr>
        <w:t xml:space="preserve"> to 1834, the government of the Indians consisted of a band of white overseers…The Indians getting dissatisfied, the government was changed, and now consists of three selectmen, a clerk of their own number and choice, and a white commissioner appointed by the governor and council” (47). It is difficult to positively attribute the engraving to any artist, though its visual reference to the cart full of wood suggests local knowledge of the events of 1833-35. See Barber, </w:t>
      </w:r>
      <w:r w:rsidRPr="00F8213A">
        <w:rPr>
          <w:rStyle w:val="None"/>
          <w:rFonts w:ascii="Times New Roman" w:hAnsi="Times New Roman" w:cs="Times New Roman"/>
          <w:sz w:val="20"/>
          <w:szCs w:val="20"/>
        </w:rPr>
        <w:t xml:space="preserve">Historical Collections, </w:t>
      </w:r>
      <w:r w:rsidRPr="00F8213A">
        <w:rPr>
          <w:rStyle w:val="None"/>
          <w:rFonts w:ascii="Times New Roman" w:hAnsi="Times New Roman" w:cs="Times New Roman"/>
          <w:color w:val="0F1010"/>
          <w:sz w:val="20"/>
          <w:szCs w:val="20"/>
        </w:rPr>
        <w:t>being a general collection of interesting facts, traditions, biographical sketches, anecdotes, &amp;c., relating to the history and antiquities of every town in Massachusetts, Dorr, Howland &amp;. Co., 1839, 46-8. </w:t>
      </w:r>
    </w:p>
  </w:footnote>
  <w:footnote w:id="8">
    <w:p w14:paraId="2AC38353" w14:textId="77777777" w:rsidR="00274B3F" w:rsidRPr="00F8213A" w:rsidRDefault="00274B3F" w:rsidP="00274B3F">
      <w:pPr>
        <w:pStyle w:val="Body"/>
        <w:spacing w:line="240" w:lineRule="auto"/>
        <w:rPr>
          <w:rFonts w:ascii="Times New Roman" w:hAnsi="Times New Roman" w:cs="Times New Roman"/>
          <w:sz w:val="20"/>
          <w:szCs w:val="20"/>
        </w:rPr>
      </w:pPr>
      <w:r w:rsidRPr="00F8213A">
        <w:rPr>
          <w:rStyle w:val="None"/>
          <w:rFonts w:ascii="Times New Roman" w:eastAsia="Times New Roman" w:hAnsi="Times New Roman" w:cs="Times New Roman"/>
          <w:sz w:val="20"/>
          <w:szCs w:val="20"/>
          <w:vertAlign w:val="superscript"/>
        </w:rPr>
        <w:footnoteRef/>
      </w:r>
      <w:r w:rsidRPr="00F8213A">
        <w:rPr>
          <w:rStyle w:val="None"/>
          <w:rFonts w:ascii="Times New Roman" w:hAnsi="Times New Roman" w:cs="Times New Roman"/>
          <w:sz w:val="20"/>
          <w:szCs w:val="20"/>
        </w:rPr>
        <w:t xml:space="preserve"> For an overview of this bias in Puritan literature, see Richard Slotkin, Regeneration Through Violence: The Mythology of the American Frontier, 1600-1860, University of Oklahoma Press, 2000, especially chapter 5, 116-145.</w:t>
      </w:r>
    </w:p>
  </w:footnote>
  <w:footnote w:id="9">
    <w:p w14:paraId="2991E231" w14:textId="77777777" w:rsidR="00274B3F" w:rsidRPr="00F8213A" w:rsidRDefault="00274B3F" w:rsidP="00274B3F">
      <w:pPr>
        <w:pStyle w:val="FootnoteText"/>
      </w:pPr>
      <w:r w:rsidRPr="00F8213A">
        <w:rPr>
          <w:rStyle w:val="FootnoteReference"/>
        </w:rPr>
        <w:footnoteRef/>
      </w:r>
      <w:r w:rsidRPr="00F8213A">
        <w:t xml:space="preserve"> I use the term “passive-aggressive” advisedly. I do not mean to imply here that Apess’s sarcasm was annoying or immature, but that it is literally a form of oblique, indirect aggression. </w:t>
      </w:r>
    </w:p>
  </w:footnote>
  <w:footnote w:id="10">
    <w:p w14:paraId="5C9F3FE0" w14:textId="77777777" w:rsidR="00274B3F" w:rsidRPr="00F8213A" w:rsidRDefault="00274B3F" w:rsidP="00274B3F">
      <w:pPr>
        <w:pStyle w:val="FootnoteText"/>
      </w:pPr>
      <w:r w:rsidRPr="00F8213A">
        <w:rPr>
          <w:rStyle w:val="FootnoteReference"/>
        </w:rPr>
        <w:footnoteRef/>
      </w:r>
      <w:r w:rsidRPr="00F8213A">
        <w:t xml:space="preserve"> I describe Audra Simpson’s concept of refusal in more detail in Chapter 4, below. </w:t>
      </w:r>
    </w:p>
  </w:footnote>
  <w:footnote w:id="11">
    <w:p w14:paraId="6462588D" w14:textId="5472F810" w:rsidR="00274B3F" w:rsidRPr="00F8213A" w:rsidRDefault="00274B3F" w:rsidP="00274B3F">
      <w:pPr>
        <w:pStyle w:val="Body"/>
        <w:spacing w:line="240" w:lineRule="auto"/>
        <w:rPr>
          <w:rFonts w:ascii="Times New Roman" w:hAnsi="Times New Roman" w:cs="Times New Roman"/>
          <w:sz w:val="20"/>
          <w:szCs w:val="20"/>
        </w:rPr>
      </w:pPr>
      <w:r w:rsidRPr="00F8213A">
        <w:rPr>
          <w:rStyle w:val="None"/>
          <w:rFonts w:ascii="Times New Roman" w:eastAsia="Times New Roman" w:hAnsi="Times New Roman" w:cs="Times New Roman"/>
          <w:sz w:val="20"/>
          <w:szCs w:val="20"/>
          <w:vertAlign w:val="superscript"/>
        </w:rPr>
        <w:footnoteRef/>
      </w:r>
      <w:r w:rsidRPr="00F8213A">
        <w:rPr>
          <w:rFonts w:ascii="Times New Roman" w:hAnsi="Times New Roman" w:cs="Times New Roman"/>
          <w:sz w:val="20"/>
          <w:szCs w:val="20"/>
        </w:rPr>
        <w:t xml:space="preserve"> For Apess’s experiences and possible impressions of Haudenosaunee diplomacy and ceremony, see Lopenzina</w:t>
      </w:r>
      <w:r w:rsidR="000D3488">
        <w:rPr>
          <w:rFonts w:ascii="Times New Roman" w:hAnsi="Times New Roman" w:cs="Times New Roman"/>
          <w:sz w:val="20"/>
          <w:szCs w:val="20"/>
        </w:rPr>
        <w:t>,</w:t>
      </w:r>
      <w:r w:rsidRPr="00F8213A">
        <w:rPr>
          <w:rFonts w:ascii="Times New Roman" w:hAnsi="Times New Roman" w:cs="Times New Roman"/>
          <w:sz w:val="20"/>
          <w:szCs w:val="20"/>
        </w:rPr>
        <w:t xml:space="preserve"> 119-131. </w:t>
      </w:r>
    </w:p>
  </w:footnote>
  <w:footnote w:id="12">
    <w:p w14:paraId="2BEC13CF" w14:textId="77777777" w:rsidR="00274B3F" w:rsidRPr="00F8213A" w:rsidRDefault="00274B3F" w:rsidP="00274B3F">
      <w:pPr>
        <w:pStyle w:val="Body"/>
        <w:spacing w:line="240" w:lineRule="auto"/>
        <w:rPr>
          <w:rFonts w:ascii="Times New Roman" w:hAnsi="Times New Roman" w:cs="Times New Roman"/>
          <w:sz w:val="20"/>
          <w:szCs w:val="20"/>
        </w:rPr>
      </w:pPr>
      <w:r w:rsidRPr="00F8213A">
        <w:rPr>
          <w:rStyle w:val="None"/>
          <w:rFonts w:ascii="Times New Roman" w:eastAsia="Times New Roman" w:hAnsi="Times New Roman" w:cs="Times New Roman"/>
          <w:sz w:val="20"/>
          <w:szCs w:val="20"/>
          <w:vertAlign w:val="superscript"/>
        </w:rPr>
        <w:footnoteRef/>
      </w:r>
      <w:r w:rsidRPr="00F8213A">
        <w:rPr>
          <w:rStyle w:val="None"/>
          <w:rFonts w:ascii="Times New Roman" w:hAnsi="Times New Roman" w:cs="Times New Roman"/>
          <w:sz w:val="20"/>
          <w:szCs w:val="20"/>
        </w:rPr>
        <w:t xml:space="preserve"> Between 1736-1762, Benjamin Franklin printed the minutes of 13 treaties between the Haudenosaunee nations and the governments of different New England states. Every treaty was advertised as having been “printed and sold by B. Franklin at the New-Printing-Office, near the Market” in Philadelphia (Kalter). For more about treaty protocols and Franklin’s role in their development, see Wallace and Powell. For the full text of the “</w:t>
      </w:r>
      <w:r w:rsidRPr="00F8213A">
        <w:rPr>
          <w:rStyle w:val="None"/>
          <w:rFonts w:ascii="Times New Roman" w:hAnsi="Times New Roman" w:cs="Times New Roman"/>
          <w:sz w:val="20"/>
          <w:szCs w:val="20"/>
          <w:lang w:val="nl-NL"/>
        </w:rPr>
        <w:t>Franklin treaties</w:t>
      </w:r>
      <w:r w:rsidRPr="00F8213A">
        <w:rPr>
          <w:rStyle w:val="None"/>
          <w:rFonts w:ascii="Times New Roman" w:hAnsi="Times New Roman" w:cs="Times New Roman"/>
          <w:sz w:val="20"/>
          <w:szCs w:val="20"/>
        </w:rPr>
        <w:t xml:space="preserve">” and commentary on them, see Susan Kalter, Benjamin Franklin, Pennsylvania, and the First Nations: The Treaties of 1736-62, University of Illinois Press, 2006. For more about the history of treaty-making between Indigenous nations and the European colonies as well as the United States, see Calloway, Pen and Ink Witchcraft and The Chiefs Now in This City: Indians and the Urban Frontier in Early America, Oxford UP, 2021. In Chiefs, Calloway gives particular emphasis to the experiences of Native treaty delegates to councils in U.S. cities. </w:t>
      </w:r>
    </w:p>
  </w:footnote>
  <w:footnote w:id="13">
    <w:p w14:paraId="1AC0A5F9" w14:textId="77777777" w:rsidR="00274B3F" w:rsidRPr="00F8213A" w:rsidRDefault="00274B3F" w:rsidP="00274B3F">
      <w:pPr>
        <w:pStyle w:val="Body"/>
        <w:spacing w:line="240" w:lineRule="auto"/>
        <w:rPr>
          <w:rFonts w:ascii="Times New Roman" w:hAnsi="Times New Roman" w:cs="Times New Roman"/>
          <w:sz w:val="20"/>
          <w:szCs w:val="20"/>
        </w:rPr>
      </w:pPr>
      <w:r w:rsidRPr="00F8213A">
        <w:rPr>
          <w:rStyle w:val="None"/>
          <w:rFonts w:ascii="Times New Roman" w:eastAsia="Times New Roman" w:hAnsi="Times New Roman" w:cs="Times New Roman"/>
          <w:sz w:val="20"/>
          <w:szCs w:val="20"/>
          <w:vertAlign w:val="superscript"/>
        </w:rPr>
        <w:footnoteRef/>
      </w:r>
      <w:r w:rsidRPr="00F8213A">
        <w:rPr>
          <w:rStyle w:val="None"/>
          <w:rFonts w:ascii="Times New Roman" w:hAnsi="Times New Roman" w:cs="Times New Roman"/>
          <w:sz w:val="20"/>
          <w:szCs w:val="20"/>
        </w:rPr>
        <w:t xml:space="preserve"> Including of course the infamous passage charging that the Crown “</w:t>
      </w:r>
      <w:r w:rsidRPr="00F8213A">
        <w:rPr>
          <w:rStyle w:val="None"/>
          <w:rFonts w:ascii="Times New Roman" w:hAnsi="Times New Roman" w:cs="Times New Roman"/>
          <w:sz w:val="20"/>
          <w:szCs w:val="20"/>
          <w:shd w:val="clear" w:color="auto" w:fill="FFFFFF"/>
        </w:rPr>
        <w:t xml:space="preserve">excited domestic insurrections amongst </w:t>
      </w:r>
      <w:proofErr w:type="gramStart"/>
      <w:r w:rsidRPr="00F8213A">
        <w:rPr>
          <w:rStyle w:val="None"/>
          <w:rFonts w:ascii="Times New Roman" w:hAnsi="Times New Roman" w:cs="Times New Roman"/>
          <w:sz w:val="20"/>
          <w:szCs w:val="20"/>
          <w:shd w:val="clear" w:color="auto" w:fill="FFFFFF"/>
        </w:rPr>
        <w:t>us, and</w:t>
      </w:r>
      <w:proofErr w:type="gramEnd"/>
      <w:r w:rsidRPr="00F8213A">
        <w:rPr>
          <w:rStyle w:val="None"/>
          <w:rFonts w:ascii="Times New Roman" w:hAnsi="Times New Roman" w:cs="Times New Roman"/>
          <w:sz w:val="20"/>
          <w:szCs w:val="20"/>
          <w:shd w:val="clear" w:color="auto" w:fill="FFFFFF"/>
        </w:rPr>
        <w:t xml:space="preserve"> has </w:t>
      </w:r>
      <w:proofErr w:type="spellStart"/>
      <w:r w:rsidRPr="00F8213A">
        <w:rPr>
          <w:rStyle w:val="None"/>
          <w:rFonts w:ascii="Times New Roman" w:hAnsi="Times New Roman" w:cs="Times New Roman"/>
          <w:sz w:val="20"/>
          <w:szCs w:val="20"/>
          <w:shd w:val="clear" w:color="auto" w:fill="FFFFFF"/>
        </w:rPr>
        <w:t>endeavoured</w:t>
      </w:r>
      <w:proofErr w:type="spellEnd"/>
      <w:r w:rsidRPr="00F8213A">
        <w:rPr>
          <w:rStyle w:val="None"/>
          <w:rFonts w:ascii="Times New Roman" w:hAnsi="Times New Roman" w:cs="Times New Roman"/>
          <w:sz w:val="20"/>
          <w:szCs w:val="20"/>
          <w:shd w:val="clear" w:color="auto" w:fill="FFFFFF"/>
        </w:rPr>
        <w:t xml:space="preserve"> to bring on the inhabitants of our frontiers, the merciless Indian Savages, whose known rule of warfare, is an undistinguished destruction of all ages, sexes and conditions.” The irony of the Mashpees’ rhetorical positionality with the Declaration, especially this particular clause, reverberates throughout </w:t>
      </w:r>
      <w:r w:rsidRPr="007C1487">
        <w:rPr>
          <w:rStyle w:val="None"/>
          <w:rFonts w:ascii="Times New Roman" w:hAnsi="Times New Roman" w:cs="Times New Roman"/>
          <w:i/>
          <w:iCs/>
          <w:sz w:val="20"/>
          <w:szCs w:val="20"/>
          <w:shd w:val="clear" w:color="auto" w:fill="FFFFFF"/>
          <w:lang w:val="it-IT"/>
        </w:rPr>
        <w:t>Indian Nullification</w:t>
      </w:r>
      <w:r w:rsidRPr="00F8213A">
        <w:rPr>
          <w:rStyle w:val="None"/>
          <w:rFonts w:ascii="Times New Roman" w:hAnsi="Times New Roman" w:cs="Times New Roman"/>
          <w:sz w:val="20"/>
          <w:szCs w:val="20"/>
          <w:shd w:val="clear" w:color="auto" w:fill="FFFFFF"/>
        </w:rPr>
        <w:t xml:space="preserve">. </w:t>
      </w:r>
    </w:p>
  </w:footnote>
  <w:footnote w:id="14">
    <w:p w14:paraId="6BABF6A7" w14:textId="77777777" w:rsidR="00274B3F" w:rsidRPr="00F8213A" w:rsidRDefault="00274B3F" w:rsidP="00274B3F">
      <w:pPr>
        <w:pStyle w:val="Body"/>
        <w:spacing w:line="240" w:lineRule="auto"/>
        <w:rPr>
          <w:rFonts w:ascii="Times New Roman" w:hAnsi="Times New Roman" w:cs="Times New Roman"/>
          <w:sz w:val="20"/>
          <w:szCs w:val="20"/>
        </w:rPr>
      </w:pPr>
      <w:r w:rsidRPr="00F8213A">
        <w:rPr>
          <w:rStyle w:val="None"/>
          <w:rFonts w:ascii="Times New Roman" w:eastAsia="Times New Roman" w:hAnsi="Times New Roman" w:cs="Times New Roman"/>
          <w:sz w:val="20"/>
          <w:szCs w:val="20"/>
          <w:vertAlign w:val="superscript"/>
        </w:rPr>
        <w:footnoteRef/>
      </w:r>
      <w:r w:rsidRPr="00F8213A">
        <w:rPr>
          <w:rStyle w:val="None"/>
          <w:rFonts w:ascii="Times New Roman" w:hAnsi="Times New Roman" w:cs="Times New Roman"/>
          <w:sz w:val="20"/>
          <w:szCs w:val="20"/>
        </w:rPr>
        <w:t xml:space="preserve"> Reynolds also remarks on Irving’s “</w:t>
      </w:r>
      <w:r w:rsidRPr="00F8213A">
        <w:rPr>
          <w:rStyle w:val="None"/>
          <w:rFonts w:ascii="Times New Roman" w:hAnsi="Times New Roman" w:cs="Times New Roman"/>
          <w:sz w:val="20"/>
          <w:szCs w:val="20"/>
          <w:lang w:val="es-ES_tradnl"/>
        </w:rPr>
        <w:t xml:space="preserve">terrible </w:t>
      </w:r>
      <w:proofErr w:type="spellStart"/>
      <w:r w:rsidRPr="00F8213A">
        <w:rPr>
          <w:rStyle w:val="None"/>
          <w:rFonts w:ascii="Times New Roman" w:hAnsi="Times New Roman" w:cs="Times New Roman"/>
          <w:sz w:val="20"/>
          <w:szCs w:val="20"/>
          <w:lang w:val="es-ES_tradnl"/>
        </w:rPr>
        <w:t>habit</w:t>
      </w:r>
      <w:proofErr w:type="spellEnd"/>
      <w:r w:rsidRPr="00F8213A">
        <w:rPr>
          <w:rStyle w:val="None"/>
          <w:rFonts w:ascii="Times New Roman" w:hAnsi="Times New Roman" w:cs="Times New Roman"/>
          <w:sz w:val="20"/>
          <w:szCs w:val="20"/>
        </w:rPr>
        <w:t>” of “ setting up moments with the potential for confrontation melodrama, only to [comically] deflate the crisis.”</w:t>
      </w:r>
    </w:p>
  </w:footnote>
  <w:footnote w:id="15">
    <w:p w14:paraId="3F226386" w14:textId="77777777" w:rsidR="00274B3F" w:rsidRPr="00F8213A" w:rsidRDefault="00274B3F" w:rsidP="00274B3F">
      <w:pPr>
        <w:pStyle w:val="Body"/>
        <w:spacing w:line="240" w:lineRule="auto"/>
        <w:rPr>
          <w:rFonts w:ascii="Times New Roman" w:hAnsi="Times New Roman" w:cs="Times New Roman"/>
          <w:sz w:val="20"/>
          <w:szCs w:val="20"/>
        </w:rPr>
      </w:pPr>
      <w:r w:rsidRPr="00F8213A">
        <w:rPr>
          <w:rStyle w:val="None"/>
          <w:rFonts w:ascii="Times New Roman" w:eastAsia="Times New Roman" w:hAnsi="Times New Roman" w:cs="Times New Roman"/>
          <w:sz w:val="20"/>
          <w:szCs w:val="20"/>
          <w:vertAlign w:val="superscript"/>
        </w:rPr>
        <w:footnoteRef/>
      </w:r>
      <w:r w:rsidRPr="00F8213A">
        <w:rPr>
          <w:rStyle w:val="None"/>
          <w:rFonts w:ascii="Times New Roman" w:hAnsi="Times New Roman" w:cs="Times New Roman"/>
          <w:sz w:val="20"/>
          <w:szCs w:val="20"/>
        </w:rPr>
        <w:t xml:space="preserve"> Crayon was the persona that Irving employed most often as the governing voice of his literary sketches, as opposed to his narrative-driven tales, which he assigned to </w:t>
      </w:r>
      <w:proofErr w:type="spellStart"/>
      <w:r w:rsidRPr="00F8213A">
        <w:rPr>
          <w:rStyle w:val="None"/>
          <w:rFonts w:ascii="Times New Roman" w:hAnsi="Times New Roman" w:cs="Times New Roman"/>
          <w:sz w:val="20"/>
          <w:szCs w:val="20"/>
        </w:rPr>
        <w:t>Deidrich</w:t>
      </w:r>
      <w:proofErr w:type="spellEnd"/>
      <w:r w:rsidRPr="00F8213A">
        <w:rPr>
          <w:rStyle w:val="None"/>
          <w:rFonts w:ascii="Times New Roman" w:hAnsi="Times New Roman" w:cs="Times New Roman"/>
          <w:sz w:val="20"/>
          <w:szCs w:val="20"/>
        </w:rPr>
        <w:t xml:space="preserve"> Knickerbocker. The three main tales of The Sketch Book, “</w:t>
      </w:r>
      <w:r w:rsidRPr="00F8213A">
        <w:rPr>
          <w:rStyle w:val="None"/>
          <w:rFonts w:ascii="Times New Roman" w:hAnsi="Times New Roman" w:cs="Times New Roman"/>
          <w:sz w:val="20"/>
          <w:szCs w:val="20"/>
          <w:lang w:val="nl-NL"/>
        </w:rPr>
        <w:t>Rip Van Winkle,</w:t>
      </w:r>
      <w:r w:rsidRPr="00F8213A">
        <w:rPr>
          <w:rStyle w:val="None"/>
          <w:rFonts w:ascii="Times New Roman" w:hAnsi="Times New Roman" w:cs="Times New Roman"/>
          <w:sz w:val="20"/>
          <w:szCs w:val="20"/>
        </w:rPr>
        <w:t xml:space="preserve">” “The Legend of Sleepy Hollow,” and “The </w:t>
      </w:r>
      <w:proofErr w:type="spellStart"/>
      <w:r w:rsidRPr="00F8213A">
        <w:rPr>
          <w:rStyle w:val="None"/>
          <w:rFonts w:ascii="Times New Roman" w:hAnsi="Times New Roman" w:cs="Times New Roman"/>
          <w:sz w:val="20"/>
          <w:szCs w:val="20"/>
        </w:rPr>
        <w:t>Spectre</w:t>
      </w:r>
      <w:proofErr w:type="spellEnd"/>
      <w:r w:rsidRPr="00F8213A">
        <w:rPr>
          <w:rStyle w:val="None"/>
          <w:rFonts w:ascii="Times New Roman" w:hAnsi="Times New Roman" w:cs="Times New Roman"/>
          <w:sz w:val="20"/>
          <w:szCs w:val="20"/>
        </w:rPr>
        <w:t xml:space="preserve"> Bridegroom,” are all Knickerbocker entries. </w:t>
      </w:r>
    </w:p>
  </w:footnote>
  <w:footnote w:id="16">
    <w:p w14:paraId="2550D317" w14:textId="77777777" w:rsidR="00274B3F" w:rsidRPr="00F8213A" w:rsidRDefault="00274B3F" w:rsidP="00274B3F">
      <w:pPr>
        <w:pStyle w:val="Body"/>
        <w:spacing w:line="240" w:lineRule="auto"/>
        <w:rPr>
          <w:rFonts w:ascii="Times New Roman" w:hAnsi="Times New Roman" w:cs="Times New Roman"/>
          <w:sz w:val="20"/>
          <w:szCs w:val="20"/>
        </w:rPr>
      </w:pPr>
      <w:r w:rsidRPr="00F8213A">
        <w:rPr>
          <w:rStyle w:val="None"/>
          <w:rFonts w:ascii="Times New Roman" w:eastAsia="Times New Roman" w:hAnsi="Times New Roman" w:cs="Times New Roman"/>
          <w:sz w:val="20"/>
          <w:szCs w:val="20"/>
          <w:vertAlign w:val="superscript"/>
        </w:rPr>
        <w:footnoteRef/>
      </w:r>
      <w:r w:rsidRPr="00F8213A">
        <w:rPr>
          <w:rStyle w:val="None"/>
          <w:rFonts w:ascii="Times New Roman" w:hAnsi="Times New Roman" w:cs="Times New Roman"/>
          <w:sz w:val="20"/>
          <w:szCs w:val="20"/>
        </w:rPr>
        <w:t xml:space="preserve"> Here and elsewhere, I use the term “</w:t>
      </w:r>
      <w:r w:rsidRPr="00F8213A">
        <w:rPr>
          <w:rStyle w:val="None"/>
          <w:rFonts w:ascii="Times New Roman" w:hAnsi="Times New Roman" w:cs="Times New Roman"/>
          <w:sz w:val="20"/>
          <w:szCs w:val="20"/>
          <w:lang w:val="it-IT"/>
        </w:rPr>
        <w:t>frontier</w:t>
      </w:r>
      <w:r w:rsidRPr="00F8213A">
        <w:rPr>
          <w:rStyle w:val="None"/>
          <w:rFonts w:ascii="Times New Roman" w:hAnsi="Times New Roman" w:cs="Times New Roman"/>
          <w:sz w:val="20"/>
          <w:szCs w:val="20"/>
        </w:rPr>
        <w:t>” either as Irving or another writer used it (in quotes) or to allude to the literary and political construction of “the frontier” and not to its existence in actual fact. Then and now, the language of the “</w:t>
      </w:r>
      <w:r w:rsidRPr="00F8213A">
        <w:rPr>
          <w:rStyle w:val="None"/>
          <w:rFonts w:ascii="Times New Roman" w:hAnsi="Times New Roman" w:cs="Times New Roman"/>
          <w:sz w:val="20"/>
          <w:szCs w:val="20"/>
          <w:lang w:val="it-IT"/>
        </w:rPr>
        <w:t>frontier</w:t>
      </w:r>
      <w:r w:rsidRPr="00F8213A">
        <w:rPr>
          <w:rStyle w:val="None"/>
          <w:rFonts w:ascii="Times New Roman" w:hAnsi="Times New Roman" w:cs="Times New Roman"/>
          <w:sz w:val="20"/>
          <w:szCs w:val="20"/>
        </w:rPr>
        <w:t xml:space="preserve">” sought to write geopolitically contested land into a providential history of U.S. Manifest Destiny as land that had not yet been </w:t>
      </w:r>
      <w:proofErr w:type="gramStart"/>
      <w:r w:rsidRPr="00F8213A">
        <w:rPr>
          <w:rStyle w:val="None"/>
          <w:rFonts w:ascii="Times New Roman" w:hAnsi="Times New Roman" w:cs="Times New Roman"/>
          <w:sz w:val="20"/>
          <w:szCs w:val="20"/>
        </w:rPr>
        <w:t>settled, but</w:t>
      </w:r>
      <w:proofErr w:type="gramEnd"/>
      <w:r w:rsidRPr="00F8213A">
        <w:rPr>
          <w:rStyle w:val="None"/>
          <w:rFonts w:ascii="Times New Roman" w:hAnsi="Times New Roman" w:cs="Times New Roman"/>
          <w:sz w:val="20"/>
          <w:szCs w:val="20"/>
        </w:rPr>
        <w:t xml:space="preserve"> would undoubtedly be. In reality, these lands are the homelands of many different Indigenous nations, including the Pawnees and Osages, whose lifeways continue a meaningful connection to these lands.  [[This point seems worth integrating into the body of the chapter, to resituate it within literary history.]] </w:t>
      </w:r>
    </w:p>
  </w:footnote>
  <w:footnote w:id="17">
    <w:p w14:paraId="28BED0CE" w14:textId="77777777" w:rsidR="00274B3F" w:rsidRPr="00F8213A" w:rsidRDefault="00274B3F" w:rsidP="00274B3F">
      <w:pPr>
        <w:pStyle w:val="Body"/>
        <w:spacing w:line="240" w:lineRule="auto"/>
        <w:rPr>
          <w:rFonts w:ascii="Times New Roman" w:hAnsi="Times New Roman" w:cs="Times New Roman"/>
          <w:sz w:val="20"/>
          <w:szCs w:val="20"/>
        </w:rPr>
      </w:pPr>
      <w:r w:rsidRPr="00F8213A">
        <w:rPr>
          <w:rStyle w:val="None"/>
          <w:rFonts w:ascii="Times New Roman" w:eastAsia="Times New Roman" w:hAnsi="Times New Roman" w:cs="Times New Roman"/>
          <w:sz w:val="20"/>
          <w:szCs w:val="20"/>
          <w:vertAlign w:val="superscript"/>
        </w:rPr>
        <w:footnoteRef/>
      </w:r>
      <w:r w:rsidRPr="00F8213A">
        <w:rPr>
          <w:rStyle w:val="None"/>
          <w:rFonts w:ascii="Times New Roman" w:hAnsi="Times New Roman" w:cs="Times New Roman"/>
          <w:sz w:val="20"/>
          <w:szCs w:val="20"/>
        </w:rPr>
        <w:t xml:space="preserve"> The man whom Irving called “Tonish” was named Antoine de </w:t>
      </w:r>
      <w:proofErr w:type="spellStart"/>
      <w:r w:rsidRPr="00F8213A">
        <w:rPr>
          <w:rStyle w:val="None"/>
          <w:rFonts w:ascii="Times New Roman" w:hAnsi="Times New Roman" w:cs="Times New Roman"/>
          <w:sz w:val="20"/>
          <w:szCs w:val="20"/>
        </w:rPr>
        <w:t>Hatre</w:t>
      </w:r>
      <w:proofErr w:type="spellEnd"/>
      <w:r w:rsidRPr="00F8213A">
        <w:rPr>
          <w:rStyle w:val="None"/>
          <w:rFonts w:ascii="Times New Roman" w:hAnsi="Times New Roman" w:cs="Times New Roman"/>
          <w:sz w:val="20"/>
          <w:szCs w:val="20"/>
        </w:rPr>
        <w:t xml:space="preserve">, of Florissant, Missouri, which was settled by French settlers in the late eighteenth century. According to Thomas James, de </w:t>
      </w:r>
      <w:proofErr w:type="spellStart"/>
      <w:r w:rsidRPr="00F8213A">
        <w:rPr>
          <w:rStyle w:val="None"/>
          <w:rFonts w:ascii="Times New Roman" w:hAnsi="Times New Roman" w:cs="Times New Roman"/>
          <w:sz w:val="20"/>
          <w:szCs w:val="20"/>
        </w:rPr>
        <w:t>Hatre’s</w:t>
      </w:r>
      <w:proofErr w:type="spellEnd"/>
      <w:r w:rsidRPr="00F8213A">
        <w:rPr>
          <w:rStyle w:val="None"/>
          <w:rFonts w:ascii="Times New Roman" w:hAnsi="Times New Roman" w:cs="Times New Roman"/>
          <w:sz w:val="20"/>
          <w:szCs w:val="20"/>
        </w:rPr>
        <w:t xml:space="preserve"> granddaughter claimed that Irving greatly misrepresented Antoine in his writing. See Thomas James, Three Years Among the Indians and Mexicans, ed. Walter B. Douglas, St. Louis, MO: Missouri Historical Society, 1916, 176n11.</w:t>
      </w:r>
    </w:p>
  </w:footnote>
  <w:footnote w:id="18">
    <w:p w14:paraId="3B5D3232" w14:textId="77777777" w:rsidR="00274B3F" w:rsidRPr="00F8213A" w:rsidRDefault="00274B3F" w:rsidP="00274B3F">
      <w:pPr>
        <w:pStyle w:val="Body"/>
        <w:spacing w:line="240" w:lineRule="auto"/>
        <w:rPr>
          <w:rFonts w:ascii="Times New Roman" w:hAnsi="Times New Roman" w:cs="Times New Roman"/>
          <w:sz w:val="20"/>
          <w:szCs w:val="20"/>
        </w:rPr>
      </w:pPr>
      <w:r w:rsidRPr="00F8213A">
        <w:rPr>
          <w:rStyle w:val="None"/>
          <w:rFonts w:ascii="Times New Roman" w:eastAsia="Times New Roman" w:hAnsi="Times New Roman" w:cs="Times New Roman"/>
          <w:sz w:val="20"/>
          <w:szCs w:val="20"/>
          <w:vertAlign w:val="superscript"/>
        </w:rPr>
        <w:footnoteRef/>
      </w:r>
      <w:r w:rsidRPr="00F8213A">
        <w:rPr>
          <w:rStyle w:val="None"/>
          <w:rFonts w:ascii="Times New Roman" w:hAnsi="Times New Roman" w:cs="Times New Roman"/>
          <w:sz w:val="20"/>
          <w:szCs w:val="20"/>
        </w:rPr>
        <w:t xml:space="preserve"> Old Southwest humor, sometimes called the “Big Bear School” of American humor, was just coming into literary vogue at the time of Irving’s tour, though it had roots in Southern and Appalachian folklore, including Indigenous oral tradition, as well as more immediate influences in regional newspaper humor. Old Southwest humor was not one </w:t>
      </w:r>
      <w:proofErr w:type="gramStart"/>
      <w:r w:rsidRPr="00F8213A">
        <w:rPr>
          <w:rStyle w:val="None"/>
          <w:rFonts w:ascii="Times New Roman" w:hAnsi="Times New Roman" w:cs="Times New Roman"/>
          <w:sz w:val="20"/>
          <w:szCs w:val="20"/>
        </w:rPr>
        <w:t>thing, but</w:t>
      </w:r>
      <w:proofErr w:type="gramEnd"/>
      <w:r w:rsidRPr="00F8213A">
        <w:rPr>
          <w:rStyle w:val="None"/>
          <w:rFonts w:ascii="Times New Roman" w:hAnsi="Times New Roman" w:cs="Times New Roman"/>
          <w:sz w:val="20"/>
          <w:szCs w:val="20"/>
        </w:rPr>
        <w:t xml:space="preserve"> grew in time to be associated with the rawboned </w:t>
      </w:r>
      <w:proofErr w:type="spellStart"/>
      <w:r w:rsidRPr="00F8213A">
        <w:rPr>
          <w:rStyle w:val="None"/>
          <w:rFonts w:ascii="Times New Roman" w:hAnsi="Times New Roman" w:cs="Times New Roman"/>
          <w:sz w:val="20"/>
          <w:szCs w:val="20"/>
        </w:rPr>
        <w:t>rouster</w:t>
      </w:r>
      <w:proofErr w:type="spellEnd"/>
      <w:r w:rsidRPr="00F8213A">
        <w:rPr>
          <w:rStyle w:val="None"/>
          <w:rFonts w:ascii="Times New Roman" w:hAnsi="Times New Roman" w:cs="Times New Roman"/>
          <w:sz w:val="20"/>
          <w:szCs w:val="20"/>
        </w:rPr>
        <w:t xml:space="preserve"> frontier-type who pits natural wit against outsider (frequently Yankee) pedantry and witlessness. Irving’s own Brom Bones, the local hero of Sleepy Hollow, provides one prototype for this character, as does the figure of Nimrod Wildfire, the celebrated Kentucky hunter, who features in  the play The Lion of the West (1831) by Irving’s lifelong friend James Kirke Paulding. </w:t>
      </w:r>
      <w:r w:rsidRPr="007C1487">
        <w:rPr>
          <w:rStyle w:val="None"/>
          <w:rFonts w:ascii="Times New Roman" w:hAnsi="Times New Roman" w:cs="Times New Roman"/>
          <w:i/>
          <w:iCs/>
          <w:sz w:val="20"/>
          <w:szCs w:val="20"/>
          <w:lang w:val="fr-FR"/>
        </w:rPr>
        <w:t>Tour</w:t>
      </w:r>
      <w:r w:rsidRPr="00F8213A">
        <w:rPr>
          <w:rStyle w:val="None"/>
          <w:rFonts w:ascii="Times New Roman" w:hAnsi="Times New Roman" w:cs="Times New Roman"/>
          <w:sz w:val="20"/>
          <w:szCs w:val="20"/>
        </w:rPr>
        <w:t xml:space="preserve">’s contemporaneity with the burgeoning popularity of Southwestern humor as well as his pioneering character work in </w:t>
      </w:r>
      <w:r w:rsidRPr="007C1487">
        <w:rPr>
          <w:rStyle w:val="None"/>
          <w:rFonts w:ascii="Times New Roman" w:hAnsi="Times New Roman" w:cs="Times New Roman"/>
          <w:i/>
          <w:iCs/>
          <w:sz w:val="20"/>
          <w:szCs w:val="20"/>
          <w:lang w:val="nl-NL"/>
        </w:rPr>
        <w:t>Tour</w:t>
      </w:r>
      <w:r w:rsidRPr="00F8213A">
        <w:rPr>
          <w:rStyle w:val="None"/>
          <w:rFonts w:ascii="Times New Roman" w:hAnsi="Times New Roman" w:cs="Times New Roman"/>
          <w:sz w:val="20"/>
          <w:szCs w:val="20"/>
          <w:lang w:val="nl-NL"/>
        </w:rPr>
        <w:t xml:space="preserve"> </w:t>
      </w:r>
      <w:r w:rsidRPr="00F8213A">
        <w:rPr>
          <w:rStyle w:val="None"/>
          <w:rFonts w:ascii="Times New Roman" w:hAnsi="Times New Roman" w:cs="Times New Roman"/>
          <w:sz w:val="20"/>
          <w:szCs w:val="20"/>
        </w:rPr>
        <w:t xml:space="preserve">and elsewhere suggest that Irving’s humor and style was not as staid, genteel, and “Europeanized” as his reputation suggests. We might say that Tonish, for 1835, was </w:t>
      </w:r>
      <w:r w:rsidRPr="00F8213A">
        <w:rPr>
          <w:rStyle w:val="None"/>
          <w:rFonts w:ascii="Times New Roman" w:hAnsi="Times New Roman" w:cs="Times New Roman"/>
          <w:sz w:val="20"/>
          <w:szCs w:val="20"/>
          <w:lang w:val="fr-FR"/>
        </w:rPr>
        <w:t>au courant</w:t>
      </w:r>
      <w:r w:rsidRPr="00F8213A">
        <w:rPr>
          <w:rStyle w:val="None"/>
          <w:rFonts w:ascii="Times New Roman" w:hAnsi="Times New Roman" w:cs="Times New Roman"/>
          <w:sz w:val="20"/>
          <w:szCs w:val="20"/>
        </w:rPr>
        <w:t>. I discuss the Old Southwest humorists in more detail in the next chapter. See also James H. Justus, Fetching the Old Southwest: Humorous Writing from Longstreet to Twain, Columbia, MO: University of Missouri Press, 2004.</w:t>
      </w:r>
    </w:p>
  </w:footnote>
  <w:footnote w:id="19">
    <w:p w14:paraId="015B8D52" w14:textId="77777777" w:rsidR="00274B3F" w:rsidRPr="00F8213A" w:rsidRDefault="00274B3F" w:rsidP="00274B3F">
      <w:pPr>
        <w:pStyle w:val="Body"/>
        <w:spacing w:line="240" w:lineRule="auto"/>
        <w:rPr>
          <w:rFonts w:ascii="Times New Roman" w:hAnsi="Times New Roman" w:cs="Times New Roman"/>
          <w:sz w:val="20"/>
          <w:szCs w:val="20"/>
        </w:rPr>
      </w:pPr>
      <w:r w:rsidRPr="00F8213A">
        <w:rPr>
          <w:rStyle w:val="None"/>
          <w:rFonts w:ascii="Times New Roman" w:eastAsia="Times New Roman" w:hAnsi="Times New Roman" w:cs="Times New Roman"/>
          <w:sz w:val="20"/>
          <w:szCs w:val="20"/>
          <w:vertAlign w:val="superscript"/>
        </w:rPr>
        <w:footnoteRef/>
      </w:r>
      <w:r w:rsidRPr="00F8213A">
        <w:rPr>
          <w:rStyle w:val="None"/>
          <w:rFonts w:ascii="Times New Roman" w:hAnsi="Times New Roman" w:cs="Times New Roman"/>
          <w:sz w:val="20"/>
          <w:szCs w:val="20"/>
        </w:rPr>
        <w:t xml:space="preserve"> For more on Irving’s ambivalent representation of hybridity in </w:t>
      </w:r>
      <w:r w:rsidRPr="007C1487">
        <w:rPr>
          <w:rStyle w:val="None"/>
          <w:rFonts w:ascii="Times New Roman" w:hAnsi="Times New Roman" w:cs="Times New Roman"/>
          <w:i/>
          <w:iCs/>
          <w:sz w:val="20"/>
          <w:szCs w:val="20"/>
          <w:lang w:val="fr-FR"/>
        </w:rPr>
        <w:t>Tour</w:t>
      </w:r>
      <w:r w:rsidRPr="00F8213A">
        <w:rPr>
          <w:rStyle w:val="None"/>
          <w:rFonts w:ascii="Times New Roman" w:hAnsi="Times New Roman" w:cs="Times New Roman"/>
          <w:sz w:val="20"/>
          <w:szCs w:val="20"/>
        </w:rPr>
        <w:t>, see Reynolds.</w:t>
      </w:r>
    </w:p>
  </w:footnote>
  <w:footnote w:id="20">
    <w:p w14:paraId="30493E82" w14:textId="77777777" w:rsidR="00274B3F" w:rsidRPr="00F8213A" w:rsidRDefault="00274B3F" w:rsidP="00274B3F">
      <w:pPr>
        <w:pStyle w:val="Body"/>
        <w:spacing w:line="240" w:lineRule="auto"/>
        <w:rPr>
          <w:rFonts w:ascii="Times New Roman" w:hAnsi="Times New Roman" w:cs="Times New Roman"/>
          <w:sz w:val="20"/>
          <w:szCs w:val="20"/>
        </w:rPr>
      </w:pPr>
      <w:r w:rsidRPr="00F8213A">
        <w:rPr>
          <w:rStyle w:val="None"/>
          <w:rFonts w:ascii="Times New Roman" w:eastAsia="Times New Roman" w:hAnsi="Times New Roman" w:cs="Times New Roman"/>
          <w:sz w:val="20"/>
          <w:szCs w:val="20"/>
          <w:vertAlign w:val="superscript"/>
        </w:rPr>
        <w:footnoteRef/>
      </w:r>
      <w:r w:rsidRPr="00F8213A">
        <w:rPr>
          <w:rStyle w:val="None"/>
          <w:rFonts w:ascii="Times New Roman" w:hAnsi="Times New Roman" w:cs="Times New Roman"/>
          <w:sz w:val="20"/>
          <w:szCs w:val="20"/>
        </w:rPr>
        <w:t xml:space="preserve"> Details from Ellsworth’s narrative suggests it may have been </w:t>
      </w:r>
      <w:proofErr w:type="spellStart"/>
      <w:r w:rsidRPr="00F8213A">
        <w:rPr>
          <w:rStyle w:val="None"/>
          <w:rFonts w:ascii="Times New Roman" w:hAnsi="Times New Roman" w:cs="Times New Roman"/>
          <w:sz w:val="20"/>
          <w:szCs w:val="20"/>
        </w:rPr>
        <w:t>Pourteless</w:t>
      </w:r>
      <w:proofErr w:type="spellEnd"/>
      <w:r w:rsidRPr="00F8213A">
        <w:rPr>
          <w:rStyle w:val="None"/>
          <w:rFonts w:ascii="Times New Roman" w:hAnsi="Times New Roman" w:cs="Times New Roman"/>
          <w:sz w:val="20"/>
          <w:szCs w:val="20"/>
        </w:rPr>
        <w:t xml:space="preserve"> who girted his saddle backwards. See Williams, 2: 42.</w:t>
      </w:r>
    </w:p>
  </w:footnote>
  <w:footnote w:id="21">
    <w:p w14:paraId="04EFD227" w14:textId="77777777" w:rsidR="00274B3F" w:rsidRPr="00F8213A" w:rsidRDefault="00274B3F" w:rsidP="00274B3F">
      <w:pPr>
        <w:pStyle w:val="Body"/>
        <w:spacing w:line="240" w:lineRule="auto"/>
        <w:rPr>
          <w:rFonts w:ascii="Times New Roman" w:hAnsi="Times New Roman" w:cs="Times New Roman"/>
          <w:sz w:val="20"/>
          <w:szCs w:val="20"/>
        </w:rPr>
      </w:pPr>
      <w:r w:rsidRPr="00F8213A">
        <w:rPr>
          <w:rStyle w:val="None"/>
          <w:rFonts w:ascii="Times New Roman" w:eastAsia="Times New Roman" w:hAnsi="Times New Roman" w:cs="Times New Roman"/>
          <w:sz w:val="20"/>
          <w:szCs w:val="20"/>
          <w:vertAlign w:val="superscript"/>
        </w:rPr>
        <w:footnoteRef/>
      </w:r>
      <w:r w:rsidRPr="00F8213A">
        <w:rPr>
          <w:rStyle w:val="None"/>
          <w:rFonts w:ascii="Times New Roman" w:hAnsi="Times New Roman" w:cs="Times New Roman"/>
          <w:sz w:val="20"/>
          <w:szCs w:val="20"/>
        </w:rPr>
        <w:t xml:space="preserve"> My use of the past tense here is not meant to indicate that neither the Osage nor their traditional agricultural practices have disappeared. Indeed, the recent establishment of the Osage Nation Harvest Land communal farm in 2021 is an act of sovereignty and evidence that sustainable agricultural practices remain of central importance to the Osage people. However, it is nevertheless true that settler-colonialism greatly disrupted the land and game base upon which the traditional subsistence patterns of the Osage nation depended. Today, for instance, the grazing range of the American bison, which once stretched from Alaska to Mexico and served as a consistent food and material basis for several different Indigenous cultures, is a mere fraction of what it once was and is consigned mainly to National Parks.  </w:t>
      </w:r>
    </w:p>
  </w:footnote>
  <w:footnote w:id="22">
    <w:p w14:paraId="7F5DE7BC" w14:textId="77777777" w:rsidR="00274B3F" w:rsidRPr="00F8213A" w:rsidRDefault="00274B3F" w:rsidP="00274B3F">
      <w:pPr>
        <w:pStyle w:val="Body"/>
        <w:spacing w:line="240" w:lineRule="auto"/>
        <w:rPr>
          <w:rFonts w:ascii="Times New Roman" w:hAnsi="Times New Roman" w:cs="Times New Roman"/>
          <w:sz w:val="20"/>
          <w:szCs w:val="20"/>
        </w:rPr>
      </w:pPr>
      <w:r w:rsidRPr="00F8213A">
        <w:rPr>
          <w:rStyle w:val="None"/>
          <w:rFonts w:ascii="Times New Roman" w:eastAsia="Times New Roman" w:hAnsi="Times New Roman" w:cs="Times New Roman"/>
          <w:sz w:val="20"/>
          <w:szCs w:val="20"/>
          <w:vertAlign w:val="superscript"/>
        </w:rPr>
        <w:footnoteRef/>
      </w:r>
      <w:r w:rsidRPr="00F8213A">
        <w:rPr>
          <w:rStyle w:val="None"/>
          <w:rFonts w:ascii="Times New Roman" w:hAnsi="Times New Roman" w:cs="Times New Roman"/>
          <w:sz w:val="20"/>
          <w:szCs w:val="20"/>
        </w:rPr>
        <w:t xml:space="preserve"> Part of this land was used to settle refugee Cherokees, exacerbating intertribal pressure in Osage territory. Burns, 168-70; See also, “Osage - Treaties with the United States,” </w:t>
      </w:r>
      <w:r w:rsidRPr="00F8213A">
        <w:rPr>
          <w:rStyle w:val="None"/>
          <w:rFonts w:ascii="Times New Roman" w:hAnsi="Times New Roman" w:cs="Times New Roman"/>
          <w:sz w:val="20"/>
          <w:szCs w:val="20"/>
          <w:lang w:val="it-IT"/>
        </w:rPr>
        <w:t>Kansapedia</w:t>
      </w:r>
      <w:r w:rsidRPr="00F8213A">
        <w:rPr>
          <w:rStyle w:val="None"/>
          <w:rFonts w:ascii="Times New Roman" w:hAnsi="Times New Roman" w:cs="Times New Roman"/>
          <w:sz w:val="20"/>
          <w:szCs w:val="20"/>
        </w:rPr>
        <w:t xml:space="preserve">, Kansas Historical Society, khsh.org. [[without an author, this source doesn’t seem all that </w:t>
      </w:r>
      <w:proofErr w:type="gramStart"/>
      <w:r w:rsidRPr="00F8213A">
        <w:rPr>
          <w:rStyle w:val="None"/>
          <w:rFonts w:ascii="Times New Roman" w:hAnsi="Times New Roman" w:cs="Times New Roman"/>
          <w:sz w:val="20"/>
          <w:szCs w:val="20"/>
        </w:rPr>
        <w:t>reliable?</w:t>
      </w:r>
      <w:proofErr w:type="gramEnd"/>
      <w:r w:rsidRPr="00F8213A">
        <w:rPr>
          <w:rStyle w:val="None"/>
          <w:rFonts w:ascii="Times New Roman" w:hAnsi="Times New Roman" w:cs="Times New Roman"/>
          <w:sz w:val="20"/>
          <w:szCs w:val="20"/>
        </w:rPr>
        <w:t xml:space="preserve"> Can you find a different source to document this information?]]</w:t>
      </w:r>
    </w:p>
  </w:footnote>
  <w:footnote w:id="23">
    <w:p w14:paraId="3A4E3FCC" w14:textId="77777777" w:rsidR="00AC7D90" w:rsidRPr="00F12A9D" w:rsidRDefault="00AC7D90" w:rsidP="00AC7D90">
      <w:pPr>
        <w:pStyle w:val="FootnoteText"/>
      </w:pPr>
      <w:r w:rsidRPr="00F12A9D">
        <w:rPr>
          <w:rStyle w:val="FootnoteReference"/>
        </w:rPr>
        <w:footnoteRef/>
      </w:r>
      <w:r w:rsidRPr="00F12A9D">
        <w:t xml:space="preserve"> See, for instance, Rowe, “Highway Robbery,” 98.</w:t>
      </w:r>
    </w:p>
    <w:p w14:paraId="66F243EF" w14:textId="77777777" w:rsidR="00AC7D90" w:rsidRPr="00F12A9D" w:rsidRDefault="00AC7D90" w:rsidP="00AC7D90">
      <w:pPr>
        <w:pStyle w:val="FootnoteText"/>
      </w:pPr>
    </w:p>
  </w:footnote>
  <w:footnote w:id="24">
    <w:p w14:paraId="772504F5" w14:textId="77777777" w:rsidR="00AC7D90" w:rsidRPr="00F12A9D" w:rsidRDefault="00AC7D90" w:rsidP="00AC7D90">
      <w:pPr>
        <w:pStyle w:val="FootnoteText"/>
      </w:pPr>
      <w:r w:rsidRPr="00F12A9D">
        <w:rPr>
          <w:rStyle w:val="FootnoteReference"/>
        </w:rPr>
        <w:footnoteRef/>
      </w:r>
      <w:r w:rsidRPr="00F12A9D">
        <w:t xml:space="preserve"> Caison builds her argument on Gerald Vizenor’s influential theorization of the </w:t>
      </w:r>
      <w:proofErr w:type="spellStart"/>
      <w:r w:rsidRPr="00F12A9D">
        <w:rPr>
          <w:i/>
          <w:iCs/>
        </w:rPr>
        <w:t>indian</w:t>
      </w:r>
      <w:proofErr w:type="spellEnd"/>
      <w:r w:rsidRPr="00F12A9D">
        <w:rPr>
          <w:i/>
          <w:iCs/>
        </w:rPr>
        <w:t xml:space="preserve"> </w:t>
      </w:r>
      <w:r w:rsidRPr="00F12A9D">
        <w:t>(always lowercase and italicized) as a fictional construct within colonial literature that works to obscure historical Native presence in the land by simulating Native absence from the scene. Native absence, Vizenor explains, “is an event created in [colonial] discourse” (</w:t>
      </w:r>
      <w:r w:rsidRPr="00F12A9D">
        <w:rPr>
          <w:i/>
          <w:iCs/>
        </w:rPr>
        <w:t>Fugitive Poses</w:t>
      </w:r>
      <w:r w:rsidRPr="00F12A9D">
        <w:t xml:space="preserve"> 25). As the signifier of that discursive creation, “the </w:t>
      </w:r>
      <w:proofErr w:type="spellStart"/>
      <w:r w:rsidRPr="00F12A9D">
        <w:rPr>
          <w:i/>
          <w:iCs/>
        </w:rPr>
        <w:t>indian</w:t>
      </w:r>
      <w:proofErr w:type="spellEnd"/>
      <w:r w:rsidRPr="00F12A9D">
        <w:rPr>
          <w:i/>
          <w:iCs/>
        </w:rPr>
        <w:t xml:space="preserve"> </w:t>
      </w:r>
      <w:r w:rsidRPr="00F12A9D">
        <w:t xml:space="preserve">is a simulation, not a trace; the </w:t>
      </w:r>
      <w:proofErr w:type="spellStart"/>
      <w:r w:rsidRPr="00F12A9D">
        <w:rPr>
          <w:i/>
          <w:iCs/>
        </w:rPr>
        <w:t>indian</w:t>
      </w:r>
      <w:proofErr w:type="spellEnd"/>
      <w:r w:rsidRPr="00F12A9D">
        <w:rPr>
          <w:i/>
          <w:iCs/>
        </w:rPr>
        <w:t xml:space="preserve"> </w:t>
      </w:r>
      <w:r w:rsidRPr="00F12A9D">
        <w:t xml:space="preserve">has no referent” (26). Gerald Vizenor, </w:t>
      </w:r>
      <w:r w:rsidRPr="00F12A9D">
        <w:rPr>
          <w:i/>
          <w:iCs/>
        </w:rPr>
        <w:t>Fugitive Poses: Native American Indian Scenes of Absence and Presence</w:t>
      </w:r>
      <w:r w:rsidRPr="00F12A9D">
        <w:t>, University of Nebraska Press, 1998.</w:t>
      </w:r>
    </w:p>
  </w:footnote>
  <w:footnote w:id="25">
    <w:p w14:paraId="623C22BD" w14:textId="77777777" w:rsidR="00AC7D90" w:rsidRPr="00F12A9D" w:rsidRDefault="00AC7D90" w:rsidP="00AC7D90">
      <w:pPr>
        <w:pStyle w:val="Body"/>
        <w:spacing w:line="240" w:lineRule="auto"/>
        <w:rPr>
          <w:rFonts w:ascii="Times New Roman" w:hAnsi="Times New Roman" w:cs="Times New Roman"/>
          <w:sz w:val="20"/>
          <w:szCs w:val="20"/>
        </w:rPr>
      </w:pPr>
      <w:r w:rsidRPr="00F12A9D">
        <w:rPr>
          <w:rStyle w:val="None"/>
          <w:rFonts w:ascii="Times New Roman" w:eastAsia="Times New Roman" w:hAnsi="Times New Roman" w:cs="Times New Roman"/>
          <w:sz w:val="20"/>
          <w:szCs w:val="20"/>
          <w:vertAlign w:val="superscript"/>
        </w:rPr>
        <w:footnoteRef/>
      </w:r>
      <w:r w:rsidRPr="00F12A9D">
        <w:rPr>
          <w:rStyle w:val="None"/>
          <w:rFonts w:ascii="Times New Roman" w:hAnsi="Times New Roman" w:cs="Times New Roman"/>
          <w:sz w:val="20"/>
          <w:szCs w:val="20"/>
        </w:rPr>
        <w:t xml:space="preserve"> In Vizenorian theory, </w:t>
      </w:r>
      <w:r w:rsidRPr="00F12A9D">
        <w:rPr>
          <w:rStyle w:val="None"/>
          <w:rFonts w:ascii="Times New Roman" w:hAnsi="Times New Roman" w:cs="Times New Roman"/>
          <w:sz w:val="20"/>
          <w:szCs w:val="20"/>
          <w:lang w:val="it-IT"/>
        </w:rPr>
        <w:t xml:space="preserve">indian </w:t>
      </w:r>
      <w:r w:rsidRPr="00F12A9D">
        <w:rPr>
          <w:rStyle w:val="None"/>
          <w:rFonts w:ascii="Times New Roman" w:hAnsi="Times New Roman" w:cs="Times New Roman"/>
          <w:sz w:val="20"/>
          <w:szCs w:val="20"/>
        </w:rPr>
        <w:t>(printed in all lower-case and in italics) denotes the settler colonial construction of the Native as it appears in European and American literature and which Indigenous writers resist via “</w:t>
      </w:r>
      <w:proofErr w:type="spellStart"/>
      <w:r w:rsidRPr="00F12A9D">
        <w:rPr>
          <w:rStyle w:val="None"/>
          <w:rFonts w:ascii="Times New Roman" w:hAnsi="Times New Roman" w:cs="Times New Roman"/>
          <w:sz w:val="20"/>
          <w:szCs w:val="20"/>
        </w:rPr>
        <w:t>postindian</w:t>
      </w:r>
      <w:proofErr w:type="spellEnd"/>
      <w:r w:rsidRPr="00F12A9D">
        <w:rPr>
          <w:rStyle w:val="None"/>
          <w:rFonts w:ascii="Times New Roman" w:hAnsi="Times New Roman" w:cs="Times New Roman"/>
          <w:sz w:val="20"/>
          <w:szCs w:val="20"/>
        </w:rPr>
        <w:t xml:space="preserve"> narratives of survivance.” </w:t>
      </w:r>
      <w:r w:rsidRPr="00F12A9D">
        <w:rPr>
          <w:rStyle w:val="None"/>
          <w:rFonts w:ascii="Times New Roman" w:hAnsi="Times New Roman" w:cs="Times New Roman"/>
          <w:sz w:val="20"/>
          <w:szCs w:val="20"/>
          <w:lang w:val="it-IT"/>
        </w:rPr>
        <w:t>indian</w:t>
      </w:r>
      <w:r w:rsidRPr="00F12A9D">
        <w:rPr>
          <w:rStyle w:val="None"/>
          <w:rFonts w:ascii="Times New Roman" w:hAnsi="Times New Roman" w:cs="Times New Roman"/>
          <w:sz w:val="20"/>
          <w:szCs w:val="20"/>
        </w:rPr>
        <w:t xml:space="preserve"> should not be confused with the problematic term “</w:t>
      </w:r>
      <w:r w:rsidRPr="00F12A9D">
        <w:rPr>
          <w:rStyle w:val="None"/>
          <w:rFonts w:ascii="Times New Roman" w:hAnsi="Times New Roman" w:cs="Times New Roman"/>
          <w:sz w:val="20"/>
          <w:szCs w:val="20"/>
          <w:lang w:val="it-IT"/>
        </w:rPr>
        <w:t>Indian,</w:t>
      </w:r>
      <w:r w:rsidRPr="00F12A9D">
        <w:rPr>
          <w:rStyle w:val="None"/>
          <w:rFonts w:ascii="Times New Roman" w:hAnsi="Times New Roman" w:cs="Times New Roman"/>
          <w:sz w:val="20"/>
          <w:szCs w:val="20"/>
        </w:rPr>
        <w:t xml:space="preserve">” which is of settler colonial derivation and signifies nothing real. While I intentionally limit my usage of the term in any sense, my use of </w:t>
      </w:r>
      <w:r w:rsidRPr="00F12A9D">
        <w:rPr>
          <w:rStyle w:val="None"/>
          <w:rFonts w:ascii="Times New Roman" w:hAnsi="Times New Roman" w:cs="Times New Roman"/>
          <w:sz w:val="20"/>
          <w:szCs w:val="20"/>
          <w:lang w:val="it-IT"/>
        </w:rPr>
        <w:t xml:space="preserve">indian </w:t>
      </w:r>
      <w:r w:rsidRPr="00F12A9D">
        <w:rPr>
          <w:rStyle w:val="None"/>
          <w:rFonts w:ascii="Times New Roman" w:hAnsi="Times New Roman" w:cs="Times New Roman"/>
          <w:sz w:val="20"/>
          <w:szCs w:val="20"/>
        </w:rPr>
        <w:t xml:space="preserve">here and elsewhere follows Vizenor.   </w:t>
      </w:r>
    </w:p>
  </w:footnote>
  <w:footnote w:id="26">
    <w:p w14:paraId="2C2D085B" w14:textId="77777777" w:rsidR="00AC7D90" w:rsidRPr="00F12A9D" w:rsidRDefault="00AC7D90" w:rsidP="00AC7D90">
      <w:pPr>
        <w:pStyle w:val="Body"/>
        <w:spacing w:line="240" w:lineRule="auto"/>
        <w:rPr>
          <w:rStyle w:val="None"/>
          <w:rFonts w:ascii="Times New Roman" w:eastAsia="Times New Roman" w:hAnsi="Times New Roman" w:cs="Times New Roman"/>
          <w:sz w:val="20"/>
          <w:szCs w:val="20"/>
        </w:rPr>
      </w:pPr>
      <w:r w:rsidRPr="00F12A9D">
        <w:rPr>
          <w:rStyle w:val="None"/>
          <w:rFonts w:ascii="Times New Roman" w:eastAsia="Times New Roman" w:hAnsi="Times New Roman" w:cs="Times New Roman"/>
          <w:sz w:val="20"/>
          <w:szCs w:val="20"/>
          <w:vertAlign w:val="superscript"/>
        </w:rPr>
        <w:footnoteRef/>
      </w:r>
      <w:r w:rsidRPr="00F12A9D">
        <w:rPr>
          <w:rStyle w:val="None"/>
          <w:rFonts w:ascii="Times New Roman" w:hAnsi="Times New Roman" w:cs="Times New Roman"/>
          <w:sz w:val="20"/>
          <w:szCs w:val="20"/>
        </w:rPr>
        <w:t xml:space="preserve"> I have found the comparison to be analytically useful as well. Stylistically, Ridge and Tarantino have much in common. Like Tarantino’</w:t>
      </w:r>
      <w:r w:rsidRPr="00F12A9D">
        <w:rPr>
          <w:rStyle w:val="None"/>
          <w:rFonts w:ascii="Times New Roman" w:hAnsi="Times New Roman" w:cs="Times New Roman"/>
          <w:sz w:val="20"/>
          <w:szCs w:val="20"/>
          <w:lang w:val="da-DK"/>
        </w:rPr>
        <w:t xml:space="preserve">s films </w:t>
      </w:r>
      <w:r w:rsidRPr="00F12A9D">
        <w:rPr>
          <w:rStyle w:val="None"/>
          <w:rFonts w:ascii="Times New Roman" w:hAnsi="Times New Roman" w:cs="Times New Roman"/>
          <w:sz w:val="20"/>
          <w:szCs w:val="20"/>
          <w:lang w:val="nl-NL"/>
        </w:rPr>
        <w:t xml:space="preserve">Pulp Fiction </w:t>
      </w:r>
      <w:r w:rsidRPr="00F12A9D">
        <w:rPr>
          <w:rStyle w:val="None"/>
          <w:rFonts w:ascii="Times New Roman" w:hAnsi="Times New Roman" w:cs="Times New Roman"/>
          <w:sz w:val="20"/>
          <w:szCs w:val="20"/>
        </w:rPr>
        <w:t xml:space="preserve">(1994), From Dusk Til Dawn (1996), and </w:t>
      </w:r>
      <w:r w:rsidRPr="00F12A9D">
        <w:rPr>
          <w:rStyle w:val="None"/>
          <w:rFonts w:ascii="Times New Roman" w:hAnsi="Times New Roman" w:cs="Times New Roman"/>
          <w:sz w:val="20"/>
          <w:szCs w:val="20"/>
          <w:lang w:val="de-DE"/>
        </w:rPr>
        <w:t xml:space="preserve">Kill Bill: Vols. </w:t>
      </w:r>
      <w:r w:rsidRPr="00F12A9D">
        <w:rPr>
          <w:rStyle w:val="None"/>
          <w:rFonts w:ascii="Times New Roman" w:hAnsi="Times New Roman" w:cs="Times New Roman"/>
          <w:sz w:val="20"/>
          <w:szCs w:val="20"/>
          <w:lang w:val="de-DE"/>
        </w:rPr>
        <w:t>1</w:t>
      </w:r>
      <w:r w:rsidRPr="00F12A9D">
        <w:rPr>
          <w:rStyle w:val="None"/>
          <w:rFonts w:ascii="Times New Roman" w:hAnsi="Times New Roman" w:cs="Times New Roman"/>
          <w:sz w:val="20"/>
          <w:szCs w:val="20"/>
        </w:rPr>
        <w:t xml:space="preserve">-2 (2003-4), and Django Unchained (2012) </w:t>
      </w:r>
      <w:proofErr w:type="spellStart"/>
      <w:r w:rsidRPr="00F12A9D">
        <w:rPr>
          <w:rStyle w:val="None"/>
          <w:rFonts w:ascii="Times New Roman" w:hAnsi="Times New Roman" w:cs="Times New Roman"/>
          <w:sz w:val="20"/>
          <w:szCs w:val="20"/>
          <w:lang w:val="es-ES_tradnl"/>
        </w:rPr>
        <w:t>Joaquin</w:t>
      </w:r>
      <w:proofErr w:type="spellEnd"/>
      <w:r w:rsidRPr="00F12A9D">
        <w:rPr>
          <w:rStyle w:val="None"/>
          <w:rFonts w:ascii="Times New Roman" w:hAnsi="Times New Roman" w:cs="Times New Roman"/>
          <w:sz w:val="20"/>
          <w:szCs w:val="20"/>
          <w:lang w:val="es-ES_tradnl"/>
        </w:rPr>
        <w:t xml:space="preserve"> Murieta </w:t>
      </w:r>
      <w:r w:rsidRPr="00F12A9D">
        <w:rPr>
          <w:rStyle w:val="None"/>
          <w:rFonts w:ascii="Times New Roman" w:hAnsi="Times New Roman" w:cs="Times New Roman"/>
          <w:sz w:val="20"/>
          <w:szCs w:val="20"/>
        </w:rPr>
        <w:t xml:space="preserve">mixes a diverse array of genres and narrative elements from across the culture of its time, combining history, poetry, and journalism as well as sentimentalism, romanticism, folk tales, and western adventure stories. Furthermore, Ridge and Tarantino’s styles both feature an extreme aestheticization of violence remarkable for their respective times. However, most importantly for my argument here, both artists temper their ultraviolent aesthetic with a cutting irony that can be difficult to pin down. The question of the nature and purpose of irony in Tarantino’s oeuvre remains open, but to my knowledge no critic has raised the question of parody or satire in </w:t>
      </w:r>
      <w:proofErr w:type="spellStart"/>
      <w:r w:rsidRPr="00F12A9D">
        <w:rPr>
          <w:rStyle w:val="None"/>
          <w:rFonts w:ascii="Times New Roman" w:hAnsi="Times New Roman" w:cs="Times New Roman"/>
          <w:sz w:val="20"/>
          <w:szCs w:val="20"/>
          <w:lang w:val="es-ES_tradnl"/>
        </w:rPr>
        <w:t>Joaquin</w:t>
      </w:r>
      <w:proofErr w:type="spellEnd"/>
      <w:r w:rsidRPr="00F12A9D">
        <w:rPr>
          <w:rStyle w:val="None"/>
          <w:rFonts w:ascii="Times New Roman" w:hAnsi="Times New Roman" w:cs="Times New Roman"/>
          <w:sz w:val="20"/>
          <w:szCs w:val="20"/>
          <w:lang w:val="es-ES_tradnl"/>
        </w:rPr>
        <w:t xml:space="preserve"> Murieta</w:t>
      </w:r>
      <w:r w:rsidRPr="00F12A9D">
        <w:rPr>
          <w:rStyle w:val="None"/>
          <w:rFonts w:ascii="Times New Roman" w:hAnsi="Times New Roman" w:cs="Times New Roman"/>
          <w:sz w:val="20"/>
          <w:szCs w:val="20"/>
        </w:rPr>
        <w:t>.</w:t>
      </w:r>
    </w:p>
    <w:p w14:paraId="56A65204" w14:textId="77777777" w:rsidR="00AC7D90" w:rsidRPr="00F12A9D" w:rsidRDefault="00AC7D90" w:rsidP="00AC7D90">
      <w:pPr>
        <w:pStyle w:val="Body"/>
        <w:spacing w:line="240" w:lineRule="auto"/>
        <w:rPr>
          <w:rFonts w:ascii="Times New Roman" w:eastAsia="Times New Roman" w:hAnsi="Times New Roman" w:cs="Times New Roman"/>
          <w:color w:val="222222"/>
          <w:sz w:val="20"/>
          <w:szCs w:val="20"/>
          <w:u w:color="222222"/>
          <w:shd w:val="clear" w:color="auto" w:fill="FFFFFF"/>
        </w:rPr>
      </w:pPr>
      <w:r w:rsidRPr="00F12A9D">
        <w:rPr>
          <w:rStyle w:val="None"/>
          <w:rFonts w:ascii="Times New Roman" w:eastAsia="Times New Roman" w:hAnsi="Times New Roman" w:cs="Times New Roman"/>
          <w:sz w:val="20"/>
          <w:szCs w:val="20"/>
        </w:rPr>
        <w:tab/>
        <w:t>For an exploration of irony in Tarantino, see film critic Kenji Fujishima</w:t>
      </w:r>
      <w:r w:rsidRPr="00F12A9D">
        <w:rPr>
          <w:rStyle w:val="None"/>
          <w:rFonts w:ascii="Times New Roman" w:hAnsi="Times New Roman" w:cs="Times New Roman"/>
          <w:sz w:val="20"/>
          <w:szCs w:val="20"/>
        </w:rPr>
        <w:t>’</w:t>
      </w:r>
      <w:r w:rsidRPr="00F12A9D">
        <w:rPr>
          <w:rStyle w:val="None"/>
          <w:rFonts w:ascii="Times New Roman" w:hAnsi="Times New Roman" w:cs="Times New Roman"/>
          <w:sz w:val="20"/>
          <w:szCs w:val="20"/>
          <w:lang w:val="fr-FR"/>
        </w:rPr>
        <w:t xml:space="preserve">s </w:t>
      </w:r>
      <w:proofErr w:type="spellStart"/>
      <w:r w:rsidRPr="00F12A9D">
        <w:rPr>
          <w:rStyle w:val="None"/>
          <w:rFonts w:ascii="Times New Roman" w:hAnsi="Times New Roman" w:cs="Times New Roman"/>
          <w:sz w:val="20"/>
          <w:szCs w:val="20"/>
          <w:lang w:val="fr-FR"/>
        </w:rPr>
        <w:t>essay</w:t>
      </w:r>
      <w:proofErr w:type="spellEnd"/>
      <w:r w:rsidRPr="00F12A9D">
        <w:rPr>
          <w:rStyle w:val="None"/>
          <w:rFonts w:ascii="Times New Roman" w:hAnsi="Times New Roman" w:cs="Times New Roman"/>
          <w:sz w:val="20"/>
          <w:szCs w:val="20"/>
          <w:lang w:val="fr-FR"/>
        </w:rPr>
        <w:t xml:space="preserve"> </w:t>
      </w:r>
      <w:r w:rsidRPr="00F12A9D">
        <w:rPr>
          <w:rStyle w:val="None"/>
          <w:rFonts w:ascii="Times New Roman" w:hAnsi="Times New Roman" w:cs="Times New Roman"/>
          <w:sz w:val="20"/>
          <w:szCs w:val="20"/>
        </w:rPr>
        <w:t xml:space="preserve">“The Philosopher and the Fan: Jean Luc Godard and Quentin Tarantino–3rd Installment” (Slate, October 11, 2007). Fujishima compares the two filmmakers, usefully distinguishing between parody and pastiche. Academic analyses of Tarantino’s more recent filmography acknowledge his more purposeful use of satire in films like Inglorious Basterds and Once Upon a Time in Hollywood: See </w:t>
      </w:r>
      <w:r w:rsidRPr="00F12A9D">
        <w:rPr>
          <w:rStyle w:val="None"/>
          <w:rFonts w:ascii="Times New Roman" w:hAnsi="Times New Roman" w:cs="Times New Roman"/>
          <w:color w:val="222222"/>
          <w:sz w:val="20"/>
          <w:szCs w:val="20"/>
          <w:u w:color="222222"/>
          <w:shd w:val="clear" w:color="auto" w:fill="FFFFFF"/>
          <w:lang w:val="de-DE"/>
        </w:rPr>
        <w:t>Hussein, Nadine. "</w:t>
      </w:r>
      <w:r w:rsidRPr="00F12A9D">
        <w:rPr>
          <w:rStyle w:val="None"/>
          <w:rFonts w:ascii="Times New Roman" w:hAnsi="Times New Roman" w:cs="Times New Roman"/>
          <w:color w:val="222222"/>
          <w:sz w:val="20"/>
          <w:szCs w:val="20"/>
          <w:u w:color="222222"/>
          <w:shd w:val="clear" w:color="auto" w:fill="FFFFFF"/>
        </w:rPr>
        <w:t xml:space="preserve">Inglorious Basterds: A Satirical Criticism of WWII Cinema and the Myth of the American War Hero ." </w:t>
      </w:r>
      <w:r w:rsidRPr="00F12A9D">
        <w:rPr>
          <w:rStyle w:val="None"/>
          <w:rFonts w:ascii="Times New Roman" w:hAnsi="Times New Roman" w:cs="Times New Roman"/>
          <w:color w:val="222222"/>
          <w:sz w:val="20"/>
          <w:szCs w:val="20"/>
          <w:u w:color="222222"/>
        </w:rPr>
        <w:t>Inquiries Journal</w:t>
      </w:r>
      <w:r w:rsidRPr="00F12A9D">
        <w:rPr>
          <w:rStyle w:val="None"/>
          <w:rFonts w:ascii="Times New Roman" w:hAnsi="Times New Roman" w:cs="Times New Roman"/>
          <w:color w:val="222222"/>
          <w:sz w:val="20"/>
          <w:szCs w:val="20"/>
          <w:u w:color="222222"/>
          <w:shd w:val="clear" w:color="auto" w:fill="FFFFFF"/>
        </w:rPr>
        <w:t xml:space="preserve"> 13.02 (2021). There is no end of articles and essays on Tarantino’s use of violence. To list only a few: Esther Zuckerman, “Everything </w:t>
      </w:r>
      <w:r w:rsidRPr="00F12A9D">
        <w:rPr>
          <w:rStyle w:val="None"/>
          <w:rFonts w:ascii="Times New Roman" w:hAnsi="Times New Roman" w:cs="Times New Roman"/>
          <w:color w:val="auto"/>
          <w:sz w:val="20"/>
          <w:szCs w:val="20"/>
          <w:shd w:val="clear" w:color="auto" w:fill="FFFFFF"/>
        </w:rPr>
        <w:t xml:space="preserve">Quentin Tarantino Really Thinks About Violence and the Movies,” The Atlantic, January 11, 2013, </w:t>
      </w:r>
      <w:r w:rsidRPr="00F12A9D">
        <w:rPr>
          <w:rStyle w:val="Hyperlink0"/>
          <w:rFonts w:eastAsia="Arial Unicode MS"/>
          <w:color w:val="auto"/>
          <w:sz w:val="20"/>
          <w:szCs w:val="20"/>
        </w:rPr>
        <w:t>https://www.theatlantic.com/culture/archive/2013/01/quentin-tarantino-violence-quotes/319586/</w:t>
      </w:r>
      <w:r w:rsidRPr="00F12A9D">
        <w:rPr>
          <w:rStyle w:val="None"/>
          <w:rFonts w:ascii="Times New Roman" w:hAnsi="Times New Roman" w:cs="Times New Roman"/>
          <w:color w:val="auto"/>
          <w:sz w:val="20"/>
          <w:szCs w:val="20"/>
          <w:shd w:val="clear" w:color="auto" w:fill="FFFFFF"/>
        </w:rPr>
        <w:t>;</w:t>
      </w:r>
      <w:r w:rsidRPr="00F12A9D">
        <w:rPr>
          <w:rStyle w:val="None"/>
          <w:rFonts w:ascii="Times New Roman" w:eastAsia="Times New Roman" w:hAnsi="Times New Roman" w:cs="Times New Roman"/>
          <w:color w:val="auto"/>
          <w:sz w:val="20"/>
          <w:szCs w:val="20"/>
          <w:shd w:val="clear" w:color="auto" w:fill="FFFFFF"/>
        </w:rPr>
        <w:t xml:space="preserve"> </w:t>
      </w:r>
      <w:r w:rsidRPr="00F12A9D">
        <w:rPr>
          <w:rStyle w:val="None"/>
          <w:rFonts w:ascii="Times New Roman" w:hAnsi="Times New Roman" w:cs="Times New Roman"/>
          <w:color w:val="auto"/>
          <w:sz w:val="20"/>
          <w:szCs w:val="20"/>
          <w:shd w:val="clear" w:color="auto" w:fill="FFFFFF"/>
          <w:lang w:val="de-DE"/>
        </w:rPr>
        <w:t xml:space="preserve">Joshua Gooch, </w:t>
      </w:r>
      <w:r w:rsidRPr="00F12A9D">
        <w:rPr>
          <w:rStyle w:val="None"/>
          <w:rFonts w:ascii="Times New Roman" w:hAnsi="Times New Roman" w:cs="Times New Roman"/>
          <w:color w:val="auto"/>
          <w:sz w:val="20"/>
          <w:szCs w:val="20"/>
          <w:shd w:val="clear" w:color="auto" w:fill="FFFFFF"/>
        </w:rPr>
        <w:t>“</w:t>
      </w:r>
      <w:r w:rsidRPr="00F12A9D">
        <w:rPr>
          <w:rStyle w:val="None"/>
          <w:rFonts w:ascii="Times New Roman" w:hAnsi="Times New Roman" w:cs="Times New Roman"/>
          <w:color w:val="auto"/>
          <w:sz w:val="20"/>
          <w:szCs w:val="20"/>
          <w:shd w:val="clear" w:color="auto" w:fill="FFFFFF"/>
          <w:lang w:val="it-IT"/>
        </w:rPr>
        <w:t>Violent Feelings: Quentin Tarantino</w:t>
      </w:r>
      <w:r w:rsidRPr="00F12A9D">
        <w:rPr>
          <w:rStyle w:val="None"/>
          <w:rFonts w:ascii="Times New Roman" w:hAnsi="Times New Roman" w:cs="Times New Roman"/>
          <w:color w:val="auto"/>
          <w:sz w:val="20"/>
          <w:szCs w:val="20"/>
          <w:shd w:val="clear" w:color="auto" w:fill="FFFFFF"/>
        </w:rPr>
        <w:t>’</w:t>
      </w:r>
      <w:r w:rsidRPr="00F12A9D">
        <w:rPr>
          <w:rStyle w:val="None"/>
          <w:rFonts w:ascii="Times New Roman" w:hAnsi="Times New Roman" w:cs="Times New Roman"/>
          <w:color w:val="auto"/>
          <w:sz w:val="20"/>
          <w:szCs w:val="20"/>
          <w:shd w:val="clear" w:color="auto" w:fill="FFFFFF"/>
          <w:lang w:val="it-IT"/>
        </w:rPr>
        <w:t>s Cruel Optimisms,</w:t>
      </w:r>
      <w:r w:rsidRPr="00F12A9D">
        <w:rPr>
          <w:rStyle w:val="None"/>
          <w:rFonts w:ascii="Times New Roman" w:hAnsi="Times New Roman" w:cs="Times New Roman"/>
          <w:color w:val="auto"/>
          <w:sz w:val="20"/>
          <w:szCs w:val="20"/>
          <w:shd w:val="clear" w:color="auto" w:fill="FFFFFF"/>
        </w:rPr>
        <w:t>” Lit: Literature</w:t>
      </w:r>
      <w:r w:rsidRPr="00F12A9D">
        <w:rPr>
          <w:rStyle w:val="None"/>
          <w:rFonts w:ascii="Times New Roman" w:hAnsi="Times New Roman" w:cs="Times New Roman"/>
          <w:color w:val="auto"/>
          <w:sz w:val="20"/>
          <w:szCs w:val="20"/>
          <w:u w:color="222222"/>
          <w:shd w:val="clear" w:color="auto" w:fill="FFFFFF"/>
        </w:rPr>
        <w:t xml:space="preserve"> </w:t>
      </w:r>
      <w:r w:rsidRPr="00F12A9D">
        <w:rPr>
          <w:rStyle w:val="None"/>
          <w:rFonts w:ascii="Times New Roman" w:hAnsi="Times New Roman" w:cs="Times New Roman"/>
          <w:color w:val="222222"/>
          <w:sz w:val="20"/>
          <w:szCs w:val="20"/>
          <w:u w:color="222222"/>
          <w:shd w:val="clear" w:color="auto" w:fill="FFFFFF"/>
        </w:rPr>
        <w:t>Interpretation and Theory</w:t>
      </w:r>
      <w:r w:rsidRPr="00F12A9D">
        <w:rPr>
          <w:rStyle w:val="None"/>
          <w:rFonts w:ascii="Times New Roman" w:hAnsi="Times New Roman" w:cs="Times New Roman"/>
          <w:color w:val="222222"/>
          <w:sz w:val="20"/>
          <w:szCs w:val="20"/>
          <w:u w:color="222222"/>
          <w:shd w:val="clear" w:color="auto" w:fill="FFFFFF"/>
          <w:lang w:val="de-DE"/>
        </w:rPr>
        <w:t xml:space="preserve">, 30.1 (2019): 5-24; Edward Gallafent, </w:t>
      </w:r>
      <w:r w:rsidRPr="00F12A9D">
        <w:rPr>
          <w:rStyle w:val="None"/>
          <w:rFonts w:ascii="Times New Roman" w:hAnsi="Times New Roman" w:cs="Times New Roman"/>
          <w:color w:val="222222"/>
          <w:sz w:val="20"/>
          <w:szCs w:val="20"/>
          <w:u w:color="222222"/>
          <w:shd w:val="clear" w:color="auto" w:fill="FFFFFF"/>
          <w:lang w:val="it-IT"/>
        </w:rPr>
        <w:t>Quentin Tarantino</w:t>
      </w:r>
      <w:r w:rsidRPr="00F12A9D">
        <w:rPr>
          <w:rStyle w:val="None"/>
          <w:rFonts w:ascii="Times New Roman" w:hAnsi="Times New Roman" w:cs="Times New Roman"/>
          <w:color w:val="222222"/>
          <w:sz w:val="20"/>
          <w:szCs w:val="20"/>
          <w:u w:color="222222"/>
          <w:shd w:val="clear" w:color="auto" w:fill="FFFFFF"/>
        </w:rPr>
        <w:t xml:space="preserve">, New York: Routledge, 2014, especially chapter 3; and Moon Charania, “Django Unchained, Voyeurism Unleashed,” </w:t>
      </w:r>
      <w:proofErr w:type="spellStart"/>
      <w:r w:rsidRPr="00F12A9D">
        <w:rPr>
          <w:rStyle w:val="None"/>
          <w:rFonts w:ascii="Times New Roman" w:hAnsi="Times New Roman" w:cs="Times New Roman"/>
          <w:color w:val="222222"/>
          <w:sz w:val="20"/>
          <w:szCs w:val="20"/>
          <w:u w:color="222222"/>
          <w:shd w:val="clear" w:color="auto" w:fill="FFFFFF"/>
          <w:lang w:val="fr-FR"/>
        </w:rPr>
        <w:t>Contexts</w:t>
      </w:r>
      <w:proofErr w:type="spellEnd"/>
      <w:r w:rsidRPr="00F12A9D">
        <w:rPr>
          <w:rStyle w:val="None"/>
          <w:rFonts w:ascii="Times New Roman" w:hAnsi="Times New Roman" w:cs="Times New Roman"/>
          <w:color w:val="222222"/>
          <w:sz w:val="20"/>
          <w:szCs w:val="20"/>
          <w:u w:color="222222"/>
          <w:shd w:val="clear" w:color="auto" w:fill="FFFFFF"/>
        </w:rPr>
        <w:t xml:space="preserve"> 12.3 (August 2013): 58-60.  </w:t>
      </w:r>
      <w:r w:rsidRPr="00F12A9D">
        <w:rPr>
          <w:rStyle w:val="None"/>
          <w:rFonts w:ascii="Times New Roman" w:hAnsi="Times New Roman" w:cs="Times New Roman"/>
          <w:sz w:val="20"/>
          <w:szCs w:val="20"/>
        </w:rPr>
        <w:t xml:space="preserve"> </w:t>
      </w:r>
    </w:p>
  </w:footnote>
  <w:footnote w:id="27">
    <w:p w14:paraId="45A53DD1" w14:textId="77777777" w:rsidR="00AC7D90" w:rsidRPr="00F12A9D" w:rsidRDefault="00AC7D90" w:rsidP="00AC7D90">
      <w:pPr>
        <w:pStyle w:val="FootnoteText"/>
      </w:pPr>
      <w:r w:rsidRPr="00F12A9D">
        <w:rPr>
          <w:rStyle w:val="FootnoteReference"/>
        </w:rPr>
        <w:footnoteRef/>
      </w:r>
      <w:r w:rsidRPr="00F12A9D">
        <w:t xml:space="preserve"> Despite the novel’s title, surprisingly few scholars position </w:t>
      </w:r>
      <w:r w:rsidRPr="00F12A9D">
        <w:rPr>
          <w:i/>
          <w:iCs/>
        </w:rPr>
        <w:t xml:space="preserve">Joaquin Murieta </w:t>
      </w:r>
      <w:r w:rsidRPr="00F12A9D">
        <w:t xml:space="preserve">within the tradition of the adventure tale. My analysis thus builds on the work of Mark Rifkin and John Havard, who both identify the novel as at least partially conforming to the conventions of the mid-nineteenth-century sensation novel. See Rifkin, “For the Wrongs of My Poor Bleeding Country,” and John C. Havard, “John Rollin Ridge’s </w:t>
      </w:r>
      <w:r w:rsidRPr="00F12A9D">
        <w:rPr>
          <w:i/>
          <w:iCs/>
        </w:rPr>
        <w:t>Joaquin Murieta</w:t>
      </w:r>
      <w:r w:rsidRPr="00F12A9D">
        <w:t xml:space="preserve">: Sensation, </w:t>
      </w:r>
      <w:proofErr w:type="spellStart"/>
      <w:r w:rsidRPr="00F12A9D">
        <w:t>Hispanicism</w:t>
      </w:r>
      <w:proofErr w:type="spellEnd"/>
      <w:r w:rsidRPr="00F12A9D">
        <w:t xml:space="preserve">, Cosmopolitanism,” </w:t>
      </w:r>
      <w:r w:rsidRPr="00F12A9D">
        <w:rPr>
          <w:i/>
          <w:iCs/>
        </w:rPr>
        <w:t>Western American Literature: A Journal of Literary, Cultural, and Place Studies</w:t>
      </w:r>
      <w:r w:rsidRPr="00F12A9D">
        <w:t xml:space="preserve">, 49.4 (Winter 2015): 321-49. </w:t>
      </w:r>
    </w:p>
  </w:footnote>
  <w:footnote w:id="28">
    <w:p w14:paraId="6F415703" w14:textId="77777777" w:rsidR="00AC7D90" w:rsidRPr="00F12A9D" w:rsidRDefault="00AC7D90" w:rsidP="00AC7D90">
      <w:pPr>
        <w:pStyle w:val="Body"/>
        <w:spacing w:line="240" w:lineRule="auto"/>
        <w:rPr>
          <w:rFonts w:ascii="Times New Roman" w:hAnsi="Times New Roman" w:cs="Times New Roman"/>
          <w:sz w:val="20"/>
          <w:szCs w:val="20"/>
        </w:rPr>
      </w:pPr>
      <w:r w:rsidRPr="00F12A9D">
        <w:rPr>
          <w:rStyle w:val="None"/>
          <w:rFonts w:ascii="Times New Roman" w:eastAsia="Times New Roman" w:hAnsi="Times New Roman" w:cs="Times New Roman"/>
          <w:sz w:val="20"/>
          <w:szCs w:val="20"/>
          <w:vertAlign w:val="superscript"/>
        </w:rPr>
        <w:footnoteRef/>
      </w:r>
      <w:r w:rsidRPr="00F12A9D">
        <w:rPr>
          <w:rFonts w:ascii="Times New Roman" w:hAnsi="Times New Roman" w:cs="Times New Roman"/>
          <w:sz w:val="20"/>
          <w:szCs w:val="20"/>
        </w:rPr>
        <w:t xml:space="preserve"> Katy Chiles points out that, as well as suggesting the theatricality of Barnum’s sideshows, the state’s display of Murieta’s head is a grisly echo of Metacom’s head mounted on the parapets of the Plymouth Colony by the </w:t>
      </w:r>
      <w:proofErr w:type="gramStart"/>
      <w:r w:rsidRPr="00F12A9D">
        <w:rPr>
          <w:rFonts w:ascii="Times New Roman" w:hAnsi="Times New Roman" w:cs="Times New Roman"/>
          <w:sz w:val="20"/>
          <w:szCs w:val="20"/>
        </w:rPr>
        <w:t>second generation</w:t>
      </w:r>
      <w:proofErr w:type="gramEnd"/>
      <w:r w:rsidRPr="00F12A9D">
        <w:rPr>
          <w:rFonts w:ascii="Times New Roman" w:hAnsi="Times New Roman" w:cs="Times New Roman"/>
          <w:sz w:val="20"/>
          <w:szCs w:val="20"/>
        </w:rPr>
        <w:t xml:space="preserve"> Puritans. See Lisa Brooks, etc. </w:t>
      </w:r>
    </w:p>
  </w:footnote>
  <w:footnote w:id="29">
    <w:p w14:paraId="3FD3387C" w14:textId="77777777" w:rsidR="00AC7D90" w:rsidRPr="00F12A9D" w:rsidRDefault="00AC7D90" w:rsidP="00AC7D90">
      <w:pPr>
        <w:pStyle w:val="Body"/>
        <w:spacing w:line="240" w:lineRule="auto"/>
        <w:rPr>
          <w:rFonts w:ascii="Times New Roman" w:hAnsi="Times New Roman" w:cs="Times New Roman"/>
          <w:sz w:val="20"/>
          <w:szCs w:val="20"/>
        </w:rPr>
      </w:pPr>
      <w:r w:rsidRPr="00F12A9D">
        <w:rPr>
          <w:rStyle w:val="None"/>
          <w:rFonts w:ascii="Times New Roman" w:eastAsia="Times New Roman" w:hAnsi="Times New Roman" w:cs="Times New Roman"/>
          <w:sz w:val="20"/>
          <w:szCs w:val="20"/>
          <w:vertAlign w:val="superscript"/>
        </w:rPr>
        <w:footnoteRef/>
      </w:r>
      <w:r w:rsidRPr="00F12A9D">
        <w:rPr>
          <w:rStyle w:val="None"/>
          <w:rFonts w:ascii="Times New Roman" w:hAnsi="Times New Roman" w:cs="Times New Roman"/>
          <w:sz w:val="20"/>
          <w:szCs w:val="20"/>
        </w:rPr>
        <w:t xml:space="preserve"> Rifkin maintains that Ridge’s investment is in capitalist ideology and not “</w:t>
      </w:r>
      <w:r w:rsidRPr="00F12A9D">
        <w:rPr>
          <w:rStyle w:val="None"/>
          <w:rFonts w:ascii="Times New Roman" w:hAnsi="Times New Roman" w:cs="Times New Roman"/>
          <w:sz w:val="20"/>
          <w:szCs w:val="20"/>
          <w:lang w:val="it-IT"/>
        </w:rPr>
        <w:t>Americanism</w:t>
      </w:r>
      <w:r w:rsidRPr="00F12A9D">
        <w:rPr>
          <w:rStyle w:val="None"/>
          <w:rFonts w:ascii="Times New Roman" w:hAnsi="Times New Roman" w:cs="Times New Roman"/>
          <w:sz w:val="20"/>
          <w:szCs w:val="20"/>
        </w:rPr>
        <w:t xml:space="preserve">” specifically. His reading of </w:t>
      </w:r>
      <w:proofErr w:type="spellStart"/>
      <w:r w:rsidRPr="00F12A9D">
        <w:rPr>
          <w:rStyle w:val="None"/>
          <w:rFonts w:ascii="Times New Roman" w:hAnsi="Times New Roman" w:cs="Times New Roman"/>
          <w:sz w:val="20"/>
          <w:szCs w:val="20"/>
          <w:lang w:val="es-ES_tradnl"/>
        </w:rPr>
        <w:t>Joaquin</w:t>
      </w:r>
      <w:proofErr w:type="spellEnd"/>
      <w:r w:rsidRPr="00F12A9D">
        <w:rPr>
          <w:rStyle w:val="None"/>
          <w:rFonts w:ascii="Times New Roman" w:hAnsi="Times New Roman" w:cs="Times New Roman"/>
          <w:sz w:val="20"/>
          <w:szCs w:val="20"/>
          <w:lang w:val="es-ES_tradnl"/>
        </w:rPr>
        <w:t xml:space="preserve"> Murieta </w:t>
      </w:r>
      <w:r w:rsidRPr="00F12A9D">
        <w:rPr>
          <w:rStyle w:val="None"/>
          <w:rFonts w:ascii="Times New Roman" w:hAnsi="Times New Roman" w:cs="Times New Roman"/>
          <w:sz w:val="20"/>
          <w:szCs w:val="20"/>
        </w:rPr>
        <w:t>is persuasive but taken alongside the rest of Ridge’</w:t>
      </w:r>
      <w:r w:rsidRPr="00F12A9D">
        <w:rPr>
          <w:rStyle w:val="None"/>
          <w:rFonts w:ascii="Times New Roman" w:hAnsi="Times New Roman" w:cs="Times New Roman"/>
          <w:sz w:val="20"/>
          <w:szCs w:val="20"/>
          <w:lang w:val="fr-FR"/>
        </w:rPr>
        <w:t xml:space="preserve">s </w:t>
      </w:r>
      <w:proofErr w:type="spellStart"/>
      <w:r w:rsidRPr="00F12A9D">
        <w:rPr>
          <w:rStyle w:val="None"/>
          <w:rFonts w:ascii="Times New Roman" w:hAnsi="Times New Roman" w:cs="Times New Roman"/>
          <w:sz w:val="20"/>
          <w:szCs w:val="20"/>
          <w:lang w:val="fr-FR"/>
        </w:rPr>
        <w:t>oeuvre</w:t>
      </w:r>
      <w:proofErr w:type="spellEnd"/>
      <w:r w:rsidRPr="00F12A9D">
        <w:rPr>
          <w:rStyle w:val="None"/>
          <w:rFonts w:ascii="Times New Roman" w:hAnsi="Times New Roman" w:cs="Times New Roman"/>
          <w:sz w:val="20"/>
          <w:szCs w:val="20"/>
        </w:rPr>
        <w:t xml:space="preserve">—especially his letters and </w:t>
      </w:r>
      <w:r w:rsidRPr="00F12A9D">
        <w:rPr>
          <w:rStyle w:val="None"/>
          <w:rFonts w:ascii="Times New Roman" w:hAnsi="Times New Roman" w:cs="Times New Roman"/>
          <w:sz w:val="20"/>
          <w:szCs w:val="20"/>
          <w:lang w:val="nl-NL"/>
        </w:rPr>
        <w:t>Poems</w:t>
      </w:r>
      <w:r w:rsidRPr="00F12A9D">
        <w:rPr>
          <w:rStyle w:val="None"/>
          <w:rFonts w:ascii="Times New Roman" w:hAnsi="Times New Roman" w:cs="Times New Roman"/>
          <w:sz w:val="20"/>
          <w:szCs w:val="20"/>
        </w:rPr>
        <w:t xml:space="preserve">—the novel seems to honestly endorse specifically American ideology. However, that does not foreclose the possibility that Ridge might critique America: indeed, that is the whole point of his novel. </w:t>
      </w:r>
    </w:p>
  </w:footnote>
  <w:footnote w:id="30">
    <w:p w14:paraId="252AD234" w14:textId="77777777" w:rsidR="00AC7D90" w:rsidRPr="00F12A9D" w:rsidRDefault="00AC7D90" w:rsidP="00AC7D90">
      <w:pPr>
        <w:pStyle w:val="Body"/>
        <w:spacing w:line="240" w:lineRule="auto"/>
        <w:rPr>
          <w:rFonts w:ascii="Times New Roman" w:hAnsi="Times New Roman" w:cs="Times New Roman"/>
          <w:sz w:val="20"/>
          <w:szCs w:val="20"/>
        </w:rPr>
      </w:pPr>
      <w:r w:rsidRPr="00F12A9D">
        <w:rPr>
          <w:rStyle w:val="None"/>
          <w:rFonts w:ascii="Times New Roman" w:eastAsia="Times New Roman" w:hAnsi="Times New Roman" w:cs="Times New Roman"/>
          <w:sz w:val="20"/>
          <w:szCs w:val="20"/>
          <w:vertAlign w:val="superscript"/>
        </w:rPr>
        <w:footnoteRef/>
      </w:r>
      <w:r w:rsidRPr="00F12A9D">
        <w:rPr>
          <w:rStyle w:val="None"/>
          <w:rFonts w:ascii="Times New Roman" w:hAnsi="Times New Roman" w:cs="Times New Roman"/>
          <w:sz w:val="20"/>
          <w:szCs w:val="20"/>
        </w:rPr>
        <w:t xml:space="preserve">  See Arnold </w:t>
      </w:r>
      <w:proofErr w:type="spellStart"/>
      <w:r w:rsidRPr="00F12A9D">
        <w:rPr>
          <w:rStyle w:val="None"/>
          <w:rFonts w:ascii="Times New Roman" w:hAnsi="Times New Roman" w:cs="Times New Roman"/>
          <w:sz w:val="20"/>
          <w:szCs w:val="20"/>
        </w:rPr>
        <w:t>Krupat</w:t>
      </w:r>
      <w:proofErr w:type="spellEnd"/>
      <w:r w:rsidRPr="00F12A9D">
        <w:rPr>
          <w:rStyle w:val="None"/>
          <w:rFonts w:ascii="Times New Roman" w:hAnsi="Times New Roman" w:cs="Times New Roman"/>
          <w:sz w:val="20"/>
          <w:szCs w:val="20"/>
        </w:rPr>
        <w:t>, Voices in the Margin for a discussion of Native American literature and savagism.</w:t>
      </w:r>
    </w:p>
  </w:footnote>
  <w:footnote w:id="31">
    <w:p w14:paraId="76CED09B" w14:textId="77777777" w:rsidR="00AC7D90" w:rsidRPr="00F12A9D" w:rsidRDefault="00AC7D90" w:rsidP="00AC7D90">
      <w:pPr>
        <w:pStyle w:val="Body"/>
        <w:spacing w:line="240" w:lineRule="auto"/>
        <w:rPr>
          <w:rFonts w:ascii="Times New Roman" w:hAnsi="Times New Roman" w:cs="Times New Roman"/>
          <w:sz w:val="20"/>
          <w:szCs w:val="20"/>
        </w:rPr>
      </w:pPr>
      <w:r w:rsidRPr="00F12A9D">
        <w:rPr>
          <w:rStyle w:val="None"/>
          <w:rFonts w:ascii="Times New Roman" w:eastAsia="Times New Roman" w:hAnsi="Times New Roman" w:cs="Times New Roman"/>
          <w:sz w:val="20"/>
          <w:szCs w:val="20"/>
          <w:vertAlign w:val="superscript"/>
        </w:rPr>
        <w:footnoteRef/>
      </w:r>
      <w:r w:rsidRPr="00F12A9D">
        <w:rPr>
          <w:rStyle w:val="None"/>
          <w:rFonts w:ascii="Times New Roman" w:hAnsi="Times New Roman" w:cs="Times New Roman"/>
          <w:sz w:val="20"/>
          <w:szCs w:val="20"/>
        </w:rPr>
        <w:t xml:space="preserve"> One could see this moment as carnivalesque. Jim’s laughter is a moment of carnivalesque freedom that, despite being sanctioned by authority, nevertheless represents a brief respite from rule in which traditional authority and hierarchies are temporarily suspended and opened to ridicule and, perhaps, to reform. </w:t>
      </w:r>
    </w:p>
  </w:footnote>
  <w:footnote w:id="32">
    <w:p w14:paraId="7725C197" w14:textId="77777777" w:rsidR="00AC7D90" w:rsidRPr="00F12A9D" w:rsidRDefault="00AC7D90" w:rsidP="00AC7D90">
      <w:pPr>
        <w:pStyle w:val="Body"/>
        <w:spacing w:line="240" w:lineRule="auto"/>
        <w:rPr>
          <w:rFonts w:ascii="Times New Roman" w:hAnsi="Times New Roman" w:cs="Times New Roman"/>
          <w:sz w:val="20"/>
          <w:szCs w:val="20"/>
        </w:rPr>
      </w:pPr>
      <w:r w:rsidRPr="00F12A9D">
        <w:rPr>
          <w:rStyle w:val="None"/>
          <w:rFonts w:ascii="Times New Roman" w:eastAsia="Times New Roman" w:hAnsi="Times New Roman" w:cs="Times New Roman"/>
          <w:sz w:val="20"/>
          <w:szCs w:val="20"/>
          <w:vertAlign w:val="superscript"/>
        </w:rPr>
        <w:footnoteRef/>
      </w:r>
      <w:r w:rsidRPr="00F12A9D">
        <w:rPr>
          <w:rStyle w:val="None"/>
          <w:rFonts w:ascii="Times New Roman" w:hAnsi="Times New Roman" w:cs="Times New Roman"/>
          <w:sz w:val="20"/>
          <w:szCs w:val="20"/>
        </w:rPr>
        <w:t xml:space="preserve"> In this context, it is interesting to note that at several points in the novel, Murieta and his confederates hide out on land belonging to the ranchos, old Californian families whose land claims predated American rule in the state. Around the time of the novel, the ranchos were embroiled in legal disputes with the U.S. government over the legitimacy of their land claims. American settlers, clamoring for land in California, often sought to settle on land belonging to the ranchos, disrupting the grazing grounds of the ranchos’ horses and herds of cattle. In his newspaper editorials for the </w:t>
      </w:r>
      <w:r w:rsidRPr="00F12A9D">
        <w:rPr>
          <w:rStyle w:val="None"/>
          <w:rFonts w:ascii="Times New Roman" w:hAnsi="Times New Roman" w:cs="Times New Roman"/>
          <w:sz w:val="20"/>
          <w:szCs w:val="20"/>
          <w:lang w:val="it-IT"/>
        </w:rPr>
        <w:t>Sacramento Bee</w:t>
      </w:r>
      <w:r w:rsidRPr="00F12A9D">
        <w:rPr>
          <w:rStyle w:val="None"/>
          <w:rFonts w:ascii="Times New Roman" w:hAnsi="Times New Roman" w:cs="Times New Roman"/>
          <w:sz w:val="20"/>
          <w:szCs w:val="20"/>
        </w:rPr>
        <w:t>, Ridge sided with the Americans in the “</w:t>
      </w:r>
      <w:r w:rsidRPr="00F12A9D">
        <w:rPr>
          <w:rStyle w:val="None"/>
          <w:rFonts w:ascii="Times New Roman" w:hAnsi="Times New Roman" w:cs="Times New Roman"/>
          <w:sz w:val="20"/>
          <w:szCs w:val="20"/>
          <w:lang w:val="de-DE"/>
        </w:rPr>
        <w:t>settlerism</w:t>
      </w:r>
      <w:r w:rsidRPr="00F12A9D">
        <w:rPr>
          <w:rStyle w:val="None"/>
          <w:rFonts w:ascii="Times New Roman" w:hAnsi="Times New Roman" w:cs="Times New Roman"/>
          <w:sz w:val="20"/>
          <w:szCs w:val="20"/>
        </w:rPr>
        <w:t xml:space="preserve">” </w:t>
      </w:r>
      <w:r w:rsidRPr="00F12A9D">
        <w:rPr>
          <w:rStyle w:val="None"/>
          <w:rFonts w:ascii="Times New Roman" w:hAnsi="Times New Roman" w:cs="Times New Roman"/>
          <w:sz w:val="20"/>
          <w:szCs w:val="20"/>
          <w:lang w:val="fr-FR"/>
        </w:rPr>
        <w:t xml:space="preserve">question, </w:t>
      </w:r>
    </w:p>
  </w:footnote>
  <w:footnote w:id="33">
    <w:p w14:paraId="4553CDE1" w14:textId="77777777" w:rsidR="00AC7D90" w:rsidRPr="00F12A9D" w:rsidRDefault="00AC7D90" w:rsidP="00AC7D90">
      <w:pPr>
        <w:pStyle w:val="FootnoteText"/>
      </w:pPr>
      <w:r w:rsidRPr="00F12A9D">
        <w:rPr>
          <w:rStyle w:val="FootnoteReference"/>
        </w:rPr>
        <w:footnoteRef/>
      </w:r>
      <w:r w:rsidRPr="00F12A9D">
        <w:t xml:space="preserve"> There is a tension in George’s framing of Sut’s storytelling. Influentially, in </w:t>
      </w:r>
      <w:r w:rsidRPr="00F12A9D">
        <w:rPr>
          <w:i/>
          <w:iCs/>
        </w:rPr>
        <w:t xml:space="preserve">Mark Twain and Southwestern Humor </w:t>
      </w:r>
      <w:r w:rsidRPr="00F12A9D">
        <w:t>(1959) Kenneth Lynn called the tales’ conventional narrative frame the “</w:t>
      </w:r>
      <w:r w:rsidRPr="00F12A9D">
        <w:rPr>
          <w:i/>
          <w:iCs/>
        </w:rPr>
        <w:t>cordon sanitaire,</w:t>
      </w:r>
      <w:r w:rsidRPr="00F12A9D">
        <w:t xml:space="preserve">” pointing to the distancing in the narrative structure in which the narrator served to hold the lower-class subject at arm’s length thereby protecting the polite reader from contamination and offense. </w:t>
      </w:r>
      <w:r>
        <w:t xml:space="preserve">More recent critics of Old Southwest Humor, such as Ed </w:t>
      </w:r>
      <w:proofErr w:type="spellStart"/>
      <w:r>
        <w:t>Piaciento</w:t>
      </w:r>
      <w:proofErr w:type="spellEnd"/>
      <w:r>
        <w:t xml:space="preserve"> and James Justus discredit Lynn’s reading of the genre’s genteel conservatism. See, for instance, </w:t>
      </w:r>
      <w:r>
        <w:rPr>
          <w:i/>
          <w:iCs/>
        </w:rPr>
        <w:t>Southern Frontier Humor: New Approaches</w:t>
      </w:r>
      <w:r>
        <w:t xml:space="preserve">, edited by Ed </w:t>
      </w:r>
      <w:proofErr w:type="spellStart"/>
      <w:r>
        <w:t>Piaciento</w:t>
      </w:r>
      <w:proofErr w:type="spellEnd"/>
      <w:r>
        <w:t>, University Press of Mississippi, 2013.</w:t>
      </w:r>
    </w:p>
  </w:footnote>
  <w:footnote w:id="34">
    <w:p w14:paraId="3B0E0914" w14:textId="77777777" w:rsidR="00AC7D90" w:rsidRPr="00304302" w:rsidRDefault="00AC7D90" w:rsidP="00AC7D90">
      <w:pPr>
        <w:pStyle w:val="FootnoteText"/>
      </w:pPr>
      <w:r>
        <w:rPr>
          <w:rStyle w:val="FootnoteReference"/>
        </w:rPr>
        <w:footnoteRef/>
      </w:r>
      <w:r>
        <w:t xml:space="preserve"> For a comprehensive bibliography of Harris’s story’s first appearances as well as some subsequent reprintings, see M. Thomas Inge, “A Bibliography of George Washington Harris,” in </w:t>
      </w:r>
      <w:r>
        <w:rPr>
          <w:i/>
          <w:iCs/>
        </w:rPr>
        <w:t xml:space="preserve">Sut Lovingood’s </w:t>
      </w:r>
      <w:proofErr w:type="spellStart"/>
      <w:r>
        <w:rPr>
          <w:i/>
          <w:iCs/>
        </w:rPr>
        <w:t>Nat’ral</w:t>
      </w:r>
      <w:proofErr w:type="spellEnd"/>
      <w:r>
        <w:rPr>
          <w:i/>
          <w:iCs/>
        </w:rPr>
        <w:t xml:space="preserve"> Born </w:t>
      </w:r>
      <w:proofErr w:type="spellStart"/>
      <w:r>
        <w:rPr>
          <w:i/>
          <w:iCs/>
        </w:rPr>
        <w:t>Yarnspinner</w:t>
      </w:r>
      <w:proofErr w:type="spellEnd"/>
      <w:r>
        <w:rPr>
          <w:i/>
          <w:iCs/>
        </w:rPr>
        <w:t>: Essays on George Washington Harris</w:t>
      </w:r>
      <w:r>
        <w:t>, University of Alabama Press, 1996, pp. 315-22.</w:t>
      </w:r>
    </w:p>
  </w:footnote>
  <w:footnote w:id="35">
    <w:p w14:paraId="247F2407" w14:textId="77777777" w:rsidR="00AC7D90" w:rsidRDefault="00AC7D90" w:rsidP="00AC7D90">
      <w:pPr>
        <w:pStyle w:val="FootnoteText"/>
      </w:pPr>
      <w:r>
        <w:rPr>
          <w:rStyle w:val="FootnoteReference"/>
        </w:rPr>
        <w:footnoteRef/>
      </w:r>
      <w:r>
        <w:t xml:space="preserve"> </w:t>
      </w:r>
      <w:r w:rsidRPr="00F12A9D">
        <w:t>George’s</w:t>
      </w:r>
      <w:r>
        <w:t xml:space="preserve"> presence in the text follows a common convention in Old Southwestern Humor of</w:t>
      </w:r>
      <w:r w:rsidRPr="00F12A9D">
        <w:t xml:space="preserve"> framing </w:t>
      </w:r>
      <w:r>
        <w:t>the local figures’ stories and perspectives, rendered in dialect, within the more “literary” consciousness of a genteel narrator</w:t>
      </w:r>
      <w:r w:rsidRPr="00F12A9D">
        <w:t>.</w:t>
      </w:r>
      <w:r>
        <w:t xml:space="preserve"> These narrators are usually professional men, judges, lawyers, or writers, from the South’s urban centers.</w:t>
      </w:r>
      <w:r w:rsidRPr="00F12A9D">
        <w:t xml:space="preserve"> Influentially, in </w:t>
      </w:r>
      <w:r w:rsidRPr="00F12A9D">
        <w:rPr>
          <w:i/>
          <w:iCs/>
        </w:rPr>
        <w:t xml:space="preserve">Mark Twain and Southwestern Humor </w:t>
      </w:r>
      <w:r w:rsidRPr="00F12A9D">
        <w:t xml:space="preserve">(1959) Kenneth Lynn called </w:t>
      </w:r>
      <w:r>
        <w:t xml:space="preserve">this </w:t>
      </w:r>
      <w:r w:rsidRPr="00F12A9D">
        <w:t>conventional narrative frame the “</w:t>
      </w:r>
      <w:r w:rsidRPr="00F12A9D">
        <w:rPr>
          <w:i/>
          <w:iCs/>
        </w:rPr>
        <w:t>cordon sanitaire,</w:t>
      </w:r>
      <w:r w:rsidRPr="00F12A9D">
        <w:t xml:space="preserve">” pointing to the </w:t>
      </w:r>
      <w:r>
        <w:t xml:space="preserve">ideological work of the narrator, who </w:t>
      </w:r>
      <w:r w:rsidRPr="00F12A9D">
        <w:t>distanc</w:t>
      </w:r>
      <w:r>
        <w:t>ed himself and the cosmopolitan reader outside of the South from the text’s</w:t>
      </w:r>
      <w:r w:rsidRPr="00F12A9D">
        <w:t xml:space="preserve"> lower-class subject</w:t>
      </w:r>
      <w:r>
        <w:t>s</w:t>
      </w:r>
      <w:r w:rsidRPr="00F12A9D">
        <w:t xml:space="preserve">. </w:t>
      </w:r>
      <w:r>
        <w:t xml:space="preserve">More recent critics of Old Southwest Humor, such as Ed </w:t>
      </w:r>
      <w:proofErr w:type="spellStart"/>
      <w:r>
        <w:t>Piaciento</w:t>
      </w:r>
      <w:proofErr w:type="spellEnd"/>
      <w:r>
        <w:t xml:space="preserve"> and James Justus, discredit Lynn’s reading of the genre’s genteel conservatism. See, for instance, </w:t>
      </w:r>
      <w:r>
        <w:rPr>
          <w:i/>
          <w:iCs/>
        </w:rPr>
        <w:t>Southern Frontier Humor: New Approaches</w:t>
      </w:r>
      <w:r>
        <w:t xml:space="preserve">, edited by Ed </w:t>
      </w:r>
      <w:proofErr w:type="spellStart"/>
      <w:r>
        <w:t>Piaciento</w:t>
      </w:r>
      <w:proofErr w:type="spellEnd"/>
      <w:r>
        <w:t>, University Press of Mississippi, 2013.</w:t>
      </w:r>
    </w:p>
  </w:footnote>
  <w:footnote w:id="36">
    <w:p w14:paraId="3C95D944" w14:textId="77777777" w:rsidR="00AC7D90" w:rsidRDefault="00AC7D90" w:rsidP="00AC7D90">
      <w:pPr>
        <w:pStyle w:val="FootnoteText"/>
      </w:pPr>
      <w:r>
        <w:rPr>
          <w:rStyle w:val="FootnoteReference"/>
        </w:rPr>
        <w:footnoteRef/>
      </w:r>
      <w:r>
        <w:t xml:space="preserve"> Razor-grinding was one of the services offered by itinerant Yankee peddlers throughout the eighteenth and nineteenth centuries. As Harris’s story suggests, these peddlers carried with them machines designed to sharpen razor blades. See J. R. Dolan, </w:t>
      </w:r>
      <w:r>
        <w:rPr>
          <w:i/>
          <w:iCs/>
        </w:rPr>
        <w:t>The Yankee Peddlers of Early America</w:t>
      </w:r>
      <w:r>
        <w:t xml:space="preserve">, Clarkson N. Potter, Inc., 1964, especially p. 102, where Dolan quotes a notice posted on a tavern in New York: “No Razor grinders or Tinkers taken in.”  </w:t>
      </w:r>
    </w:p>
  </w:footnote>
  <w:footnote w:id="37">
    <w:p w14:paraId="5BBCCC6F" w14:textId="77777777" w:rsidR="00AC7D90" w:rsidRDefault="00AC7D90" w:rsidP="00AC7D90">
      <w:pPr>
        <w:pStyle w:val="FootnoteText"/>
      </w:pPr>
      <w:r>
        <w:rPr>
          <w:rStyle w:val="FootnoteReference"/>
        </w:rPr>
        <w:footnoteRef/>
      </w:r>
      <w:r>
        <w:t xml:space="preserve"> White’s father, James White, was an important figure in territorial politics in the late eighteenth and early nineteenth centuries. In 1786, he founded White’s Fort, the settlement which became the City of Knoxville. A number of buildings in modern-day Knoxville, including buildings owned by the University of Tennessee, are named in honor of White or his relatives, such as the McClungs. </w:t>
      </w:r>
    </w:p>
  </w:footnote>
  <w:footnote w:id="38">
    <w:p w14:paraId="74FBAA25" w14:textId="77777777" w:rsidR="00AC7D90" w:rsidRDefault="00AC7D90" w:rsidP="00AC7D90">
      <w:pPr>
        <w:pStyle w:val="FootnoteText"/>
      </w:pPr>
      <w:r>
        <w:rPr>
          <w:rStyle w:val="FootnoteReference"/>
        </w:rPr>
        <w:footnoteRef/>
      </w:r>
      <w:r>
        <w:t xml:space="preserve"> John W. Williams served in the U.S. Senate from 1815 to 1823. Pleasant Miller served in the U.S. House of Representatives from 1809-1811 and in Tennessee’s state House of Representatives from 1811-12 and 1817-1823. </w:t>
      </w:r>
    </w:p>
  </w:footnote>
  <w:footnote w:id="39">
    <w:p w14:paraId="6AC60AE6"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w:t>
      </w:r>
      <w:r>
        <w:rPr>
          <w:sz w:val="24"/>
          <w:szCs w:val="24"/>
        </w:rPr>
        <w:t>Most</w:t>
      </w:r>
      <w:r w:rsidRPr="000A31E8">
        <w:rPr>
          <w:sz w:val="24"/>
          <w:szCs w:val="24"/>
        </w:rPr>
        <w:t xml:space="preserve"> scholars and biographers of </w:t>
      </w:r>
      <w:r>
        <w:rPr>
          <w:sz w:val="24"/>
          <w:szCs w:val="24"/>
        </w:rPr>
        <w:t>Winnemucca Hopkins</w:t>
      </w:r>
      <w:r w:rsidRPr="000A31E8">
        <w:rPr>
          <w:sz w:val="24"/>
          <w:szCs w:val="24"/>
        </w:rPr>
        <w:t xml:space="preserve"> refer to her by the last name “Winnemucca.” However, I have chosen to refer to her by the last name “</w:t>
      </w:r>
      <w:r>
        <w:rPr>
          <w:sz w:val="24"/>
          <w:szCs w:val="24"/>
        </w:rPr>
        <w:t>Winnemucca Hopkins</w:t>
      </w:r>
      <w:r w:rsidRPr="000A31E8">
        <w:rPr>
          <w:sz w:val="24"/>
          <w:szCs w:val="24"/>
        </w:rPr>
        <w:t xml:space="preserve">” because that is the name that she identified with during the period 1879-1884 that I am discussing. “Sarah Winnemucca” was born </w:t>
      </w:r>
      <w:proofErr w:type="spellStart"/>
      <w:r w:rsidRPr="000A31E8">
        <w:rPr>
          <w:sz w:val="24"/>
          <w:szCs w:val="24"/>
        </w:rPr>
        <w:t>Thocmetony</w:t>
      </w:r>
      <w:proofErr w:type="spellEnd"/>
      <w:r w:rsidRPr="000A31E8">
        <w:rPr>
          <w:sz w:val="24"/>
          <w:szCs w:val="24"/>
        </w:rPr>
        <w:t xml:space="preserve"> (</w:t>
      </w:r>
      <w:r>
        <w:rPr>
          <w:sz w:val="24"/>
          <w:szCs w:val="24"/>
        </w:rPr>
        <w:t xml:space="preserve">or </w:t>
      </w:r>
      <w:r w:rsidRPr="000A31E8">
        <w:rPr>
          <w:sz w:val="24"/>
          <w:szCs w:val="24"/>
        </w:rPr>
        <w:t xml:space="preserve">“Shell Flower”) around 1844. It is unclear where the name “Winnemucca” came from, but it is likely an Anglicization of a Northern Paiute name or word and attributed to </w:t>
      </w:r>
      <w:proofErr w:type="spellStart"/>
      <w:r w:rsidRPr="000A31E8">
        <w:rPr>
          <w:sz w:val="24"/>
          <w:szCs w:val="24"/>
        </w:rPr>
        <w:t>Thocmetony’s</w:t>
      </w:r>
      <w:proofErr w:type="spellEnd"/>
      <w:r w:rsidRPr="000A31E8">
        <w:rPr>
          <w:sz w:val="24"/>
          <w:szCs w:val="24"/>
        </w:rPr>
        <w:t xml:space="preserve"> father and grandfather by </w:t>
      </w:r>
      <w:r>
        <w:rPr>
          <w:sz w:val="24"/>
          <w:szCs w:val="24"/>
        </w:rPr>
        <w:t>non-Native</w:t>
      </w:r>
      <w:r w:rsidRPr="000A31E8">
        <w:rPr>
          <w:sz w:val="24"/>
          <w:szCs w:val="24"/>
        </w:rPr>
        <w:t xml:space="preserve"> settlers. Similarly, </w:t>
      </w:r>
      <w:proofErr w:type="spellStart"/>
      <w:r w:rsidRPr="000A31E8">
        <w:rPr>
          <w:sz w:val="24"/>
          <w:szCs w:val="24"/>
        </w:rPr>
        <w:t>Thocmetony</w:t>
      </w:r>
      <w:proofErr w:type="spellEnd"/>
      <w:r w:rsidRPr="000A31E8">
        <w:rPr>
          <w:sz w:val="24"/>
          <w:szCs w:val="24"/>
        </w:rPr>
        <w:t xml:space="preserve"> likely became “Sarah” when she began to work for and live with </w:t>
      </w:r>
      <w:r>
        <w:rPr>
          <w:sz w:val="24"/>
          <w:szCs w:val="24"/>
        </w:rPr>
        <w:t>non-Native</w:t>
      </w:r>
      <w:r w:rsidRPr="000A31E8">
        <w:rPr>
          <w:sz w:val="24"/>
          <w:szCs w:val="24"/>
        </w:rPr>
        <w:t xml:space="preserve"> families in settlements like Carson City. When she later worked as an interpreter for various </w:t>
      </w:r>
      <w:r>
        <w:rPr>
          <w:sz w:val="24"/>
          <w:szCs w:val="24"/>
        </w:rPr>
        <w:t>non-Native</w:t>
      </w:r>
      <w:r w:rsidRPr="000A31E8">
        <w:rPr>
          <w:sz w:val="24"/>
          <w:szCs w:val="24"/>
        </w:rPr>
        <w:t xml:space="preserve"> officials, they all called her Sarah. After she married Army officer Lewis H. </w:t>
      </w:r>
      <w:r>
        <w:rPr>
          <w:sz w:val="24"/>
          <w:szCs w:val="24"/>
        </w:rPr>
        <w:t>Winnemucca Hopkins</w:t>
      </w:r>
      <w:r w:rsidRPr="000A31E8">
        <w:rPr>
          <w:sz w:val="24"/>
          <w:szCs w:val="24"/>
        </w:rPr>
        <w:t xml:space="preserve"> in 1881, Sarah adopted his last name. In 1833 she published her only book, </w:t>
      </w:r>
      <w:r w:rsidRPr="000A31E8">
        <w:rPr>
          <w:i/>
          <w:iCs/>
          <w:sz w:val="24"/>
          <w:szCs w:val="24"/>
        </w:rPr>
        <w:t xml:space="preserve">Life Among the Piutes, Their Wrongs and Claims </w:t>
      </w:r>
      <w:r w:rsidRPr="000A31E8">
        <w:rPr>
          <w:sz w:val="24"/>
          <w:szCs w:val="24"/>
        </w:rPr>
        <w:t xml:space="preserve">under the name </w:t>
      </w:r>
      <w:r>
        <w:rPr>
          <w:sz w:val="24"/>
          <w:szCs w:val="24"/>
        </w:rPr>
        <w:t>Sarah Winnemucca Hopkins</w:t>
      </w:r>
      <w:r w:rsidRPr="000A31E8">
        <w:rPr>
          <w:sz w:val="24"/>
          <w:szCs w:val="24"/>
        </w:rPr>
        <w:t>.</w:t>
      </w:r>
      <w:r>
        <w:rPr>
          <w:sz w:val="24"/>
          <w:szCs w:val="24"/>
        </w:rPr>
        <w:t xml:space="preserve"> Similarly, in her biography of the poet Phillis Wheatley Peters, </w:t>
      </w:r>
      <w:r w:rsidRPr="000A31E8">
        <w:rPr>
          <w:i/>
          <w:iCs/>
          <w:sz w:val="24"/>
          <w:szCs w:val="24"/>
        </w:rPr>
        <w:t xml:space="preserve">The Age of Phillis </w:t>
      </w:r>
      <w:r w:rsidRPr="000A31E8">
        <w:rPr>
          <w:sz w:val="24"/>
          <w:szCs w:val="24"/>
        </w:rPr>
        <w:t>(2020)</w:t>
      </w:r>
      <w:r>
        <w:rPr>
          <w:sz w:val="24"/>
          <w:szCs w:val="24"/>
        </w:rPr>
        <w:t>,</w:t>
      </w:r>
      <w:r w:rsidRPr="000A31E8">
        <w:rPr>
          <w:sz w:val="24"/>
          <w:szCs w:val="24"/>
        </w:rPr>
        <w:t xml:space="preserve">  </w:t>
      </w:r>
      <w:proofErr w:type="spellStart"/>
      <w:r w:rsidRPr="000A31E8">
        <w:rPr>
          <w:sz w:val="24"/>
          <w:szCs w:val="24"/>
        </w:rPr>
        <w:t>Honorée</w:t>
      </w:r>
      <w:proofErr w:type="spellEnd"/>
      <w:r w:rsidRPr="000A31E8">
        <w:rPr>
          <w:sz w:val="24"/>
          <w:szCs w:val="24"/>
        </w:rPr>
        <w:t xml:space="preserve"> </w:t>
      </w:r>
      <w:proofErr w:type="spellStart"/>
      <w:r w:rsidRPr="000A31E8">
        <w:rPr>
          <w:sz w:val="24"/>
          <w:szCs w:val="24"/>
        </w:rPr>
        <w:t>Fanonne</w:t>
      </w:r>
      <w:proofErr w:type="spellEnd"/>
      <w:r w:rsidRPr="000A31E8">
        <w:rPr>
          <w:sz w:val="24"/>
          <w:szCs w:val="24"/>
        </w:rPr>
        <w:t xml:space="preserve"> Jeffer</w:t>
      </w:r>
      <w:r>
        <w:rPr>
          <w:sz w:val="24"/>
          <w:szCs w:val="24"/>
        </w:rPr>
        <w:t>s retains the name the poet</w:t>
      </w:r>
      <w:r w:rsidRPr="000A31E8">
        <w:rPr>
          <w:sz w:val="24"/>
          <w:szCs w:val="24"/>
        </w:rPr>
        <w:t xml:space="preserve"> </w:t>
      </w:r>
      <w:r>
        <w:rPr>
          <w:sz w:val="24"/>
          <w:szCs w:val="24"/>
        </w:rPr>
        <w:t>adopted</w:t>
      </w:r>
      <w:r w:rsidRPr="000A31E8">
        <w:rPr>
          <w:sz w:val="24"/>
          <w:szCs w:val="24"/>
        </w:rPr>
        <w:t xml:space="preserve"> after</w:t>
      </w:r>
      <w:r>
        <w:rPr>
          <w:sz w:val="24"/>
          <w:szCs w:val="24"/>
        </w:rPr>
        <w:t xml:space="preserve"> her</w:t>
      </w:r>
      <w:r w:rsidRPr="000A31E8">
        <w:rPr>
          <w:sz w:val="24"/>
          <w:szCs w:val="24"/>
        </w:rPr>
        <w:t xml:space="preserve"> marriage</w:t>
      </w:r>
      <w:r>
        <w:rPr>
          <w:sz w:val="24"/>
          <w:szCs w:val="24"/>
        </w:rPr>
        <w:t xml:space="preserve"> to John Peters,</w:t>
      </w:r>
      <w:r w:rsidRPr="000A31E8">
        <w:rPr>
          <w:sz w:val="24"/>
          <w:szCs w:val="24"/>
        </w:rPr>
        <w:t xml:space="preserve"> in order to emphasize </w:t>
      </w:r>
      <w:r>
        <w:rPr>
          <w:sz w:val="24"/>
          <w:szCs w:val="24"/>
        </w:rPr>
        <w:t xml:space="preserve">Wheatley </w:t>
      </w:r>
      <w:proofErr w:type="spellStart"/>
      <w:r>
        <w:rPr>
          <w:sz w:val="24"/>
          <w:szCs w:val="24"/>
        </w:rPr>
        <w:t>Peters’s</w:t>
      </w:r>
      <w:proofErr w:type="spellEnd"/>
      <w:r w:rsidRPr="000A31E8">
        <w:rPr>
          <w:sz w:val="24"/>
          <w:szCs w:val="24"/>
        </w:rPr>
        <w:t xml:space="preserve"> agency rather than acknowledging only the name given to her by her enslavers</w:t>
      </w:r>
      <w:r>
        <w:rPr>
          <w:sz w:val="24"/>
          <w:szCs w:val="24"/>
        </w:rPr>
        <w:t>.</w:t>
      </w:r>
      <w:r w:rsidRPr="000A31E8">
        <w:rPr>
          <w:sz w:val="24"/>
          <w:szCs w:val="24"/>
        </w:rPr>
        <w:t xml:space="preserve"> </w:t>
      </w:r>
      <w:r>
        <w:rPr>
          <w:sz w:val="24"/>
          <w:szCs w:val="24"/>
        </w:rPr>
        <w:t>Likewise, my choice to refer</w:t>
      </w:r>
      <w:r w:rsidRPr="000A31E8">
        <w:rPr>
          <w:sz w:val="24"/>
          <w:szCs w:val="24"/>
        </w:rPr>
        <w:t xml:space="preserve"> </w:t>
      </w:r>
      <w:proofErr w:type="spellStart"/>
      <w:r>
        <w:rPr>
          <w:sz w:val="24"/>
          <w:szCs w:val="24"/>
        </w:rPr>
        <w:t>ti</w:t>
      </w:r>
      <w:proofErr w:type="spellEnd"/>
      <w:r>
        <w:rPr>
          <w:sz w:val="24"/>
          <w:szCs w:val="24"/>
        </w:rPr>
        <w:t xml:space="preserve"> Sarah Winnemucca Hopkins by the name she chose and identified with as an </w:t>
      </w:r>
      <w:proofErr w:type="gramStart"/>
      <w:r>
        <w:rPr>
          <w:sz w:val="24"/>
          <w:szCs w:val="24"/>
        </w:rPr>
        <w:t>adult points</w:t>
      </w:r>
      <w:proofErr w:type="gramEnd"/>
      <w:r>
        <w:rPr>
          <w:sz w:val="24"/>
          <w:szCs w:val="24"/>
        </w:rPr>
        <w:t xml:space="preserve"> to her</w:t>
      </w:r>
      <w:r w:rsidRPr="000A31E8">
        <w:rPr>
          <w:sz w:val="24"/>
          <w:szCs w:val="24"/>
        </w:rPr>
        <w:t xml:space="preserve"> lived experiences and agency, and </w:t>
      </w:r>
      <w:r>
        <w:rPr>
          <w:sz w:val="24"/>
          <w:szCs w:val="24"/>
        </w:rPr>
        <w:t>should</w:t>
      </w:r>
      <w:r w:rsidRPr="000A31E8">
        <w:rPr>
          <w:sz w:val="24"/>
          <w:szCs w:val="24"/>
        </w:rPr>
        <w:t xml:space="preserve"> not </w:t>
      </w:r>
      <w:r>
        <w:rPr>
          <w:sz w:val="24"/>
          <w:szCs w:val="24"/>
        </w:rPr>
        <w:t>be understood to define her as an “assimilated”</w:t>
      </w:r>
      <w:r w:rsidRPr="000A31E8">
        <w:rPr>
          <w:sz w:val="24"/>
          <w:szCs w:val="24"/>
        </w:rPr>
        <w:t xml:space="preserve"> or “inauthentic” Native woman.  </w:t>
      </w:r>
    </w:p>
  </w:footnote>
  <w:footnote w:id="40">
    <w:p w14:paraId="4A9D005B"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w:t>
      </w:r>
      <w:proofErr w:type="spellStart"/>
      <w:r w:rsidRPr="000A31E8">
        <w:rPr>
          <w:sz w:val="24"/>
          <w:szCs w:val="24"/>
        </w:rPr>
        <w:t>Kooyooee</w:t>
      </w:r>
      <w:proofErr w:type="spellEnd"/>
      <w:r w:rsidRPr="000A31E8">
        <w:rPr>
          <w:sz w:val="24"/>
          <w:szCs w:val="24"/>
        </w:rPr>
        <w:t xml:space="preserve"> </w:t>
      </w:r>
      <w:proofErr w:type="spellStart"/>
      <w:r w:rsidRPr="000A31E8">
        <w:rPr>
          <w:sz w:val="24"/>
          <w:szCs w:val="24"/>
        </w:rPr>
        <w:t>Panunadu</w:t>
      </w:r>
      <w:proofErr w:type="spellEnd"/>
      <w:r w:rsidRPr="000A31E8">
        <w:rPr>
          <w:sz w:val="24"/>
          <w:szCs w:val="24"/>
        </w:rPr>
        <w:t xml:space="preserve"> means “Cui-</w:t>
      </w:r>
      <w:proofErr w:type="spellStart"/>
      <w:r w:rsidRPr="000A31E8">
        <w:rPr>
          <w:sz w:val="24"/>
          <w:szCs w:val="24"/>
        </w:rPr>
        <w:t>ui</w:t>
      </w:r>
      <w:proofErr w:type="spellEnd"/>
      <w:r w:rsidRPr="000A31E8">
        <w:rPr>
          <w:sz w:val="24"/>
          <w:szCs w:val="24"/>
        </w:rPr>
        <w:t xml:space="preserve"> Standing Water” and refers to the lake in what is now western Nevada that was the </w:t>
      </w:r>
      <w:proofErr w:type="gramStart"/>
      <w:r w:rsidRPr="000A31E8">
        <w:rPr>
          <w:sz w:val="24"/>
          <w:szCs w:val="24"/>
        </w:rPr>
        <w:t>main lands</w:t>
      </w:r>
      <w:proofErr w:type="gramEnd"/>
      <w:r w:rsidRPr="000A31E8">
        <w:rPr>
          <w:sz w:val="24"/>
          <w:szCs w:val="24"/>
        </w:rPr>
        <w:t xml:space="preserve"> of the </w:t>
      </w:r>
      <w:proofErr w:type="spellStart"/>
      <w:r w:rsidRPr="000A31E8">
        <w:rPr>
          <w:sz w:val="24"/>
          <w:szCs w:val="24"/>
        </w:rPr>
        <w:t>Kuyuidika</w:t>
      </w:r>
      <w:proofErr w:type="spellEnd"/>
      <w:r w:rsidRPr="000A31E8">
        <w:rPr>
          <w:sz w:val="24"/>
          <w:szCs w:val="24"/>
        </w:rPr>
        <w:t xml:space="preserve"> band of the Northern Paiutes. Paiute bands were loose, </w:t>
      </w:r>
      <w:proofErr w:type="gramStart"/>
      <w:r w:rsidRPr="000A31E8">
        <w:rPr>
          <w:sz w:val="24"/>
          <w:szCs w:val="24"/>
        </w:rPr>
        <w:t>independently-governed</w:t>
      </w:r>
      <w:proofErr w:type="gramEnd"/>
      <w:r w:rsidRPr="000A31E8">
        <w:rPr>
          <w:sz w:val="24"/>
          <w:szCs w:val="24"/>
        </w:rPr>
        <w:t xml:space="preserve"> groups that were identified by important food staples in their seasonal subsistence practices. The </w:t>
      </w:r>
      <w:proofErr w:type="spellStart"/>
      <w:r w:rsidRPr="000A31E8">
        <w:rPr>
          <w:sz w:val="24"/>
          <w:szCs w:val="24"/>
        </w:rPr>
        <w:t>Kuyuidika</w:t>
      </w:r>
      <w:proofErr w:type="spellEnd"/>
      <w:r w:rsidRPr="000A31E8">
        <w:rPr>
          <w:sz w:val="24"/>
          <w:szCs w:val="24"/>
        </w:rPr>
        <w:t xml:space="preserve"> were so named for their reliance on the Cui-</w:t>
      </w:r>
      <w:proofErr w:type="spellStart"/>
      <w:r w:rsidRPr="000A31E8">
        <w:rPr>
          <w:sz w:val="24"/>
          <w:szCs w:val="24"/>
        </w:rPr>
        <w:t>ui</w:t>
      </w:r>
      <w:proofErr w:type="spellEnd"/>
      <w:r w:rsidRPr="000A31E8">
        <w:rPr>
          <w:sz w:val="24"/>
          <w:szCs w:val="24"/>
        </w:rPr>
        <w:t xml:space="preserve">, a kind of sucker fish endemic to </w:t>
      </w:r>
      <w:proofErr w:type="spellStart"/>
      <w:r w:rsidRPr="000A31E8">
        <w:rPr>
          <w:sz w:val="24"/>
          <w:szCs w:val="24"/>
        </w:rPr>
        <w:t>Kooyooee</w:t>
      </w:r>
      <w:proofErr w:type="spellEnd"/>
      <w:r w:rsidRPr="000A31E8">
        <w:rPr>
          <w:sz w:val="24"/>
          <w:szCs w:val="24"/>
        </w:rPr>
        <w:t xml:space="preserve"> </w:t>
      </w:r>
      <w:proofErr w:type="spellStart"/>
      <w:r w:rsidRPr="000A31E8">
        <w:rPr>
          <w:sz w:val="24"/>
          <w:szCs w:val="24"/>
        </w:rPr>
        <w:t>Panunadu</w:t>
      </w:r>
      <w:proofErr w:type="spellEnd"/>
      <w:r w:rsidRPr="000A31E8">
        <w:rPr>
          <w:sz w:val="24"/>
          <w:szCs w:val="24"/>
        </w:rPr>
        <w:t xml:space="preserve">. The </w:t>
      </w:r>
      <w:proofErr w:type="spellStart"/>
      <w:r w:rsidRPr="000A31E8">
        <w:rPr>
          <w:sz w:val="24"/>
          <w:szCs w:val="24"/>
        </w:rPr>
        <w:t>Kuyuidika</w:t>
      </w:r>
      <w:proofErr w:type="spellEnd"/>
      <w:r w:rsidRPr="000A31E8">
        <w:rPr>
          <w:sz w:val="24"/>
          <w:szCs w:val="24"/>
        </w:rPr>
        <w:t xml:space="preserve"> were adept fishermen and constructed sophisticated weirs to catch the Cui-</w:t>
      </w:r>
      <w:proofErr w:type="spellStart"/>
      <w:r w:rsidRPr="000A31E8">
        <w:rPr>
          <w:sz w:val="24"/>
          <w:szCs w:val="24"/>
        </w:rPr>
        <w:t>ui</w:t>
      </w:r>
      <w:proofErr w:type="spellEnd"/>
      <w:r w:rsidRPr="000A31E8">
        <w:rPr>
          <w:sz w:val="24"/>
          <w:szCs w:val="24"/>
        </w:rPr>
        <w:t xml:space="preserve"> during their summer mating seasons. </w:t>
      </w:r>
      <w:r>
        <w:rPr>
          <w:sz w:val="24"/>
          <w:szCs w:val="24"/>
        </w:rPr>
        <w:t>Non-Native</w:t>
      </w:r>
      <w:r w:rsidRPr="000A31E8">
        <w:rPr>
          <w:sz w:val="24"/>
          <w:szCs w:val="24"/>
        </w:rPr>
        <w:t xml:space="preserve">s called </w:t>
      </w:r>
      <w:proofErr w:type="spellStart"/>
      <w:r w:rsidRPr="000A31E8">
        <w:rPr>
          <w:sz w:val="24"/>
          <w:szCs w:val="24"/>
        </w:rPr>
        <w:t>Kooyooee</w:t>
      </w:r>
      <w:proofErr w:type="spellEnd"/>
      <w:r w:rsidRPr="000A31E8">
        <w:rPr>
          <w:sz w:val="24"/>
          <w:szCs w:val="24"/>
        </w:rPr>
        <w:t xml:space="preserve"> </w:t>
      </w:r>
      <w:proofErr w:type="spellStart"/>
      <w:r w:rsidRPr="000A31E8">
        <w:rPr>
          <w:sz w:val="24"/>
          <w:szCs w:val="24"/>
        </w:rPr>
        <w:t>Panunadu</w:t>
      </w:r>
      <w:proofErr w:type="spellEnd"/>
      <w:r w:rsidRPr="000A31E8">
        <w:rPr>
          <w:sz w:val="24"/>
          <w:szCs w:val="24"/>
        </w:rPr>
        <w:t xml:space="preserve"> “Pyramid Lake” after the lake’s iconic rock formations. Today it is the home of the </w:t>
      </w:r>
      <w:proofErr w:type="spellStart"/>
      <w:r w:rsidRPr="000A31E8">
        <w:rPr>
          <w:sz w:val="24"/>
          <w:szCs w:val="24"/>
        </w:rPr>
        <w:t>Kooyooee</w:t>
      </w:r>
      <w:proofErr w:type="spellEnd"/>
      <w:r w:rsidRPr="000A31E8">
        <w:rPr>
          <w:sz w:val="24"/>
          <w:szCs w:val="24"/>
        </w:rPr>
        <w:t xml:space="preserve"> </w:t>
      </w:r>
      <w:proofErr w:type="spellStart"/>
      <w:r w:rsidRPr="000A31E8">
        <w:rPr>
          <w:sz w:val="24"/>
          <w:szCs w:val="24"/>
        </w:rPr>
        <w:t>Tukadu</w:t>
      </w:r>
      <w:proofErr w:type="spellEnd"/>
      <w:r w:rsidRPr="000A31E8">
        <w:rPr>
          <w:sz w:val="24"/>
          <w:szCs w:val="24"/>
        </w:rPr>
        <w:t xml:space="preserve">, the Pyramid Lake Paiute Tribe.    </w:t>
      </w:r>
    </w:p>
  </w:footnote>
  <w:footnote w:id="41">
    <w:p w14:paraId="042384FE"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There does not seem to be a consensus as to the name of this conflict. From what I can tell, more recent (though not tribal) materials tend to refer to it as the Pyramid Lake War and older books and articles call it the Paiute War. However, this is not universal. I have yet to find how the Pyramid Lake Paiute Tribe names this period of history. Throughout this chapter I will refer to it as the Pyramid Lake War.</w:t>
      </w:r>
    </w:p>
  </w:footnote>
  <w:footnote w:id="42">
    <w:p w14:paraId="61B1C742"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Plains Indian Sign Language (PISL) is the most well-documented form of Native signing and was among the systems that influenced the codification of American sign language (ASL) in the nineteenth century. In fact, Melanie R. McKay-Cody (Cherokee) calls ASL a “colonizing language” in recognition of how ASL and its predecessor languages practiced in North American schools for the deaf “nearly accomplished the erasure of tribal signed languages” (221). Throughout the nineteenth and twentieth centuries, Native children were enrolled in schools for the deaf as well as residential boarding schools. Indigenous oral tradition and practice as well as archaeological evidence attest to the existence of many </w:t>
      </w:r>
      <w:proofErr w:type="gramStart"/>
      <w:r w:rsidRPr="000A31E8">
        <w:rPr>
          <w:sz w:val="24"/>
          <w:szCs w:val="24"/>
        </w:rPr>
        <w:t>regionally-distinct</w:t>
      </w:r>
      <w:proofErr w:type="gramEnd"/>
      <w:r w:rsidRPr="000A31E8">
        <w:rPr>
          <w:sz w:val="24"/>
          <w:szCs w:val="24"/>
        </w:rPr>
        <w:t xml:space="preserve"> and tribally-specific sign languages throughout North America. For a historical and cultural overview of hand talk, see McKay-Cody, “Memory Comes Before Knowledge—North American Indigenous Deaf: Socio-Cultural Study of Rock/Picture Writing, Community, Sign Languages, and Kinship,” Dissertation, University of Oklahoma, 2019; and Jeffrey E. Davis, </w:t>
      </w:r>
      <w:r w:rsidRPr="000A31E8">
        <w:rPr>
          <w:i/>
          <w:iCs/>
          <w:sz w:val="24"/>
          <w:szCs w:val="24"/>
        </w:rPr>
        <w:t>Hand Talk: Sign Language Among American Indian Nations</w:t>
      </w:r>
      <w:r w:rsidRPr="000A31E8">
        <w:rPr>
          <w:sz w:val="24"/>
          <w:szCs w:val="24"/>
        </w:rPr>
        <w:t xml:space="preserve">, Cambridge UP, 2010. For more about Great Basin Sign Language, see LaVan Martineau’s books, </w:t>
      </w:r>
      <w:r w:rsidRPr="000A31E8">
        <w:rPr>
          <w:i/>
          <w:iCs/>
          <w:sz w:val="24"/>
          <w:szCs w:val="24"/>
        </w:rPr>
        <w:t>The Rocks Begin to Speak</w:t>
      </w:r>
      <w:r w:rsidRPr="000A31E8">
        <w:rPr>
          <w:sz w:val="24"/>
          <w:szCs w:val="24"/>
        </w:rPr>
        <w:t xml:space="preserve">, KC Publications, 1973; and </w:t>
      </w:r>
      <w:r w:rsidRPr="000A31E8">
        <w:rPr>
          <w:i/>
          <w:iCs/>
          <w:sz w:val="24"/>
          <w:szCs w:val="24"/>
        </w:rPr>
        <w:t>Southern Paiutes: Legends, Lore, Language, and Lineage</w:t>
      </w:r>
      <w:r w:rsidRPr="000A31E8">
        <w:rPr>
          <w:sz w:val="24"/>
          <w:szCs w:val="24"/>
        </w:rPr>
        <w:t xml:space="preserve">, KC Publications, 1992. </w:t>
      </w:r>
    </w:p>
  </w:footnote>
  <w:footnote w:id="43">
    <w:p w14:paraId="7C3617A6"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Andrew Gale Ontko relates that the name Winnemucca, which is not a Numic word (Numic being the language group inclusive of the Paiutes, Shoshones, Snakes, and other tribes) derives from the meeting between </w:t>
      </w:r>
      <w:r>
        <w:rPr>
          <w:sz w:val="24"/>
          <w:szCs w:val="24"/>
        </w:rPr>
        <w:t>Winnemucca Hopkins</w:t>
      </w:r>
      <w:r w:rsidRPr="000A31E8">
        <w:rPr>
          <w:sz w:val="24"/>
          <w:szCs w:val="24"/>
        </w:rPr>
        <w:t xml:space="preserve">’s paternal grandfather and European traders in Canada in 1807. According to Ontko, </w:t>
      </w:r>
      <w:r>
        <w:rPr>
          <w:sz w:val="24"/>
          <w:szCs w:val="24"/>
        </w:rPr>
        <w:t>Winnemucca Hopkins</w:t>
      </w:r>
      <w:r w:rsidRPr="000A31E8">
        <w:rPr>
          <w:sz w:val="24"/>
          <w:szCs w:val="24"/>
        </w:rPr>
        <w:t>’s grandfather met the traders wearing only one moccasin and the traders jokingly dubbed him “</w:t>
      </w:r>
      <w:proofErr w:type="spellStart"/>
      <w:r w:rsidRPr="000A31E8">
        <w:rPr>
          <w:sz w:val="24"/>
          <w:szCs w:val="24"/>
        </w:rPr>
        <w:t>Wuna</w:t>
      </w:r>
      <w:proofErr w:type="spellEnd"/>
      <w:r w:rsidRPr="000A31E8">
        <w:rPr>
          <w:sz w:val="24"/>
          <w:szCs w:val="24"/>
        </w:rPr>
        <w:t xml:space="preserve"> </w:t>
      </w:r>
      <w:proofErr w:type="spellStart"/>
      <w:r w:rsidRPr="000A31E8">
        <w:rPr>
          <w:sz w:val="24"/>
          <w:szCs w:val="24"/>
        </w:rPr>
        <w:t>Mucca</w:t>
      </w:r>
      <w:proofErr w:type="spellEnd"/>
      <w:r w:rsidRPr="000A31E8">
        <w:rPr>
          <w:sz w:val="24"/>
          <w:szCs w:val="24"/>
        </w:rPr>
        <w:t xml:space="preserve">,” meaning “One Moccasin.” The young man apparently adopted the name. By the 1860’s he was known among the white settlers of the Great Basin as “Old Winnemucca” and his son, </w:t>
      </w:r>
      <w:r>
        <w:rPr>
          <w:sz w:val="24"/>
          <w:szCs w:val="24"/>
        </w:rPr>
        <w:t>Winnemucca Hopkins</w:t>
      </w:r>
      <w:r w:rsidRPr="000A31E8">
        <w:rPr>
          <w:sz w:val="24"/>
          <w:szCs w:val="24"/>
        </w:rPr>
        <w:t xml:space="preserve">’s father, as Chief Winnemucca. It was evidently the white media who mistakenly identified the name as a surname and thus young Sarah’s last name (Ontko 72 n62).     </w:t>
      </w:r>
    </w:p>
  </w:footnote>
  <w:footnote w:id="44">
    <w:p w14:paraId="423631FE"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Stephen Railton’s website </w:t>
      </w:r>
      <w:r w:rsidRPr="000A31E8">
        <w:rPr>
          <w:i/>
          <w:iCs/>
          <w:sz w:val="24"/>
          <w:szCs w:val="24"/>
        </w:rPr>
        <w:t>Mark Twain and His Times</w:t>
      </w:r>
      <w:r w:rsidRPr="000A31E8">
        <w:rPr>
          <w:sz w:val="24"/>
          <w:szCs w:val="24"/>
        </w:rPr>
        <w:t xml:space="preserve">, hosted by the University of Virginia, provides invaluable and exhaustive information about all of Twain’s lecture tours, including interactive maps, tour schedules, and composite texts of Twain’s spoken performances. For more, see “The Trouble Begins at 8:00,” the section of Railton’s website devoted to Twain’s lecturing career: </w:t>
      </w:r>
      <w:hyperlink r:id="rId1" w:history="1">
        <w:r w:rsidRPr="000A31E8">
          <w:rPr>
            <w:rStyle w:val="Hyperlink"/>
            <w:sz w:val="24"/>
            <w:szCs w:val="24"/>
          </w:rPr>
          <w:t>https://twain.lib.virginia.edu/onstage/lectures.html</w:t>
        </w:r>
      </w:hyperlink>
      <w:r w:rsidRPr="000A31E8">
        <w:rPr>
          <w:sz w:val="24"/>
          <w:szCs w:val="24"/>
        </w:rPr>
        <w:t>.</w:t>
      </w:r>
    </w:p>
  </w:footnote>
  <w:footnote w:id="45">
    <w:p w14:paraId="3428AC53"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Sarah married three times, all to white military men: first to Edward Bartlett, 1872-1876; Joseph </w:t>
      </w:r>
      <w:proofErr w:type="spellStart"/>
      <w:r w:rsidRPr="000A31E8">
        <w:rPr>
          <w:sz w:val="24"/>
          <w:szCs w:val="24"/>
        </w:rPr>
        <w:t>Satewaller</w:t>
      </w:r>
      <w:proofErr w:type="spellEnd"/>
      <w:r w:rsidRPr="000A31E8">
        <w:rPr>
          <w:sz w:val="24"/>
          <w:szCs w:val="24"/>
        </w:rPr>
        <w:t xml:space="preserve">, whom Sarah apparently married in 1876 according to Oregon marriage records; and Lewis </w:t>
      </w:r>
      <w:r>
        <w:rPr>
          <w:sz w:val="24"/>
          <w:szCs w:val="24"/>
        </w:rPr>
        <w:t>Winnemucca Hopkins</w:t>
      </w:r>
      <w:r w:rsidRPr="000A31E8">
        <w:rPr>
          <w:sz w:val="24"/>
          <w:szCs w:val="24"/>
        </w:rPr>
        <w:t xml:space="preserve">, in 1881. </w:t>
      </w:r>
      <w:r>
        <w:rPr>
          <w:sz w:val="24"/>
          <w:szCs w:val="24"/>
        </w:rPr>
        <w:t>Winnemucca Hopkins</w:t>
      </w:r>
      <w:r w:rsidRPr="000A31E8">
        <w:rPr>
          <w:sz w:val="24"/>
          <w:szCs w:val="24"/>
        </w:rPr>
        <w:t xml:space="preserve">’s biographer Sally Zanjani suggests that </w:t>
      </w:r>
      <w:r>
        <w:rPr>
          <w:sz w:val="24"/>
          <w:szCs w:val="24"/>
        </w:rPr>
        <w:t>Winnemucca Hopkins</w:t>
      </w:r>
      <w:r w:rsidRPr="000A31E8">
        <w:rPr>
          <w:sz w:val="24"/>
          <w:szCs w:val="24"/>
        </w:rPr>
        <w:t xml:space="preserve"> may have had as many three other marriages (and at least one of these to a Native man) but </w:t>
      </w:r>
      <w:r>
        <w:rPr>
          <w:sz w:val="24"/>
          <w:szCs w:val="24"/>
        </w:rPr>
        <w:t>Winnemucca Hopkins</w:t>
      </w:r>
      <w:r w:rsidRPr="000A31E8">
        <w:rPr>
          <w:sz w:val="24"/>
          <w:szCs w:val="24"/>
        </w:rPr>
        <w:t xml:space="preserve"> does not mention these in </w:t>
      </w:r>
      <w:r w:rsidRPr="000A31E8">
        <w:rPr>
          <w:i/>
          <w:iCs/>
          <w:sz w:val="24"/>
          <w:szCs w:val="24"/>
        </w:rPr>
        <w:t>Life Among the Piutes</w:t>
      </w:r>
      <w:r w:rsidRPr="000A31E8">
        <w:rPr>
          <w:sz w:val="24"/>
          <w:szCs w:val="24"/>
        </w:rPr>
        <w:t xml:space="preserve"> (Zanjani 143-45). </w:t>
      </w:r>
      <w:r w:rsidRPr="000A31E8">
        <w:rPr>
          <w:i/>
          <w:iCs/>
          <w:sz w:val="24"/>
          <w:szCs w:val="24"/>
        </w:rPr>
        <w:t xml:space="preserve"> </w:t>
      </w:r>
    </w:p>
  </w:footnote>
  <w:footnote w:id="46">
    <w:p w14:paraId="1767B7D5" w14:textId="77777777" w:rsidR="00287C65" w:rsidRPr="00076D04" w:rsidRDefault="00287C65" w:rsidP="00287C65">
      <w:pPr>
        <w:pStyle w:val="FootnoteText"/>
        <w:rPr>
          <w:sz w:val="24"/>
          <w:szCs w:val="24"/>
        </w:rPr>
      </w:pPr>
      <w:r w:rsidRPr="00076D04">
        <w:rPr>
          <w:rStyle w:val="FootnoteReference"/>
          <w:sz w:val="24"/>
          <w:szCs w:val="24"/>
        </w:rPr>
        <w:footnoteRef/>
      </w:r>
      <w:r w:rsidRPr="00076D04">
        <w:rPr>
          <w:sz w:val="24"/>
          <w:szCs w:val="24"/>
        </w:rPr>
        <w:t xml:space="preserve"> The dates and locations for </w:t>
      </w:r>
      <w:r>
        <w:rPr>
          <w:sz w:val="24"/>
          <w:szCs w:val="24"/>
        </w:rPr>
        <w:t>Winnemucca Hopkins</w:t>
      </w:r>
      <w:r w:rsidRPr="00076D04">
        <w:rPr>
          <w:sz w:val="24"/>
          <w:szCs w:val="24"/>
        </w:rPr>
        <w:t xml:space="preserve">’s performances here and throughout this chapter come from newspaper reportage of </w:t>
      </w:r>
      <w:r>
        <w:rPr>
          <w:sz w:val="24"/>
          <w:szCs w:val="24"/>
        </w:rPr>
        <w:t>Winnemucca Hopkins</w:t>
      </w:r>
      <w:r w:rsidRPr="00076D04">
        <w:rPr>
          <w:sz w:val="24"/>
          <w:szCs w:val="24"/>
        </w:rPr>
        <w:t xml:space="preserve">’s public appearances, collected in Carpenter and Sorisio, </w:t>
      </w:r>
      <w:r w:rsidRPr="00076D04">
        <w:rPr>
          <w:i/>
          <w:iCs/>
          <w:sz w:val="24"/>
          <w:szCs w:val="24"/>
        </w:rPr>
        <w:t>Newspaper Warrior</w:t>
      </w:r>
      <w:r w:rsidRPr="00076D04">
        <w:rPr>
          <w:sz w:val="24"/>
          <w:szCs w:val="24"/>
        </w:rPr>
        <w:t xml:space="preserve">. Similarly, dates and locations for Twain’s tours comes from Stephen Railton’s website </w:t>
      </w:r>
      <w:r w:rsidRPr="00076D04">
        <w:rPr>
          <w:i/>
          <w:iCs/>
          <w:sz w:val="24"/>
          <w:szCs w:val="24"/>
        </w:rPr>
        <w:t>Mark Twain and His Times</w:t>
      </w:r>
      <w:r w:rsidRPr="00076D04">
        <w:rPr>
          <w:sz w:val="24"/>
          <w:szCs w:val="24"/>
        </w:rPr>
        <w:t xml:space="preserve">. </w:t>
      </w:r>
    </w:p>
  </w:footnote>
  <w:footnote w:id="47">
    <w:p w14:paraId="01042B64"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This despite the fact that Twain reportedly enjoyed performing for Southern audiences. Stephen Railton notes that “after speaking in Louisville, [Twain] wrote [his wife] Livy that southern audiences always brought out the best in him.” See Stephen Railton, “‘Mark Twain’ Cable Route,” </w:t>
      </w:r>
      <w:r w:rsidRPr="000A31E8">
        <w:rPr>
          <w:i/>
          <w:iCs/>
          <w:sz w:val="24"/>
          <w:szCs w:val="24"/>
        </w:rPr>
        <w:t>Mark Twain and His Times</w:t>
      </w:r>
      <w:r w:rsidRPr="000A31E8">
        <w:rPr>
          <w:sz w:val="24"/>
          <w:szCs w:val="24"/>
        </w:rPr>
        <w:t xml:space="preserve">, </w:t>
      </w:r>
      <w:hyperlink r:id="rId2" w:history="1">
        <w:r w:rsidRPr="000A31E8">
          <w:rPr>
            <w:rStyle w:val="Hyperlink"/>
            <w:sz w:val="24"/>
            <w:szCs w:val="24"/>
          </w:rPr>
          <w:t>https://twain.lib.virginia.edu/huckfinn/tourschd.html</w:t>
        </w:r>
      </w:hyperlink>
      <w:r w:rsidRPr="000A31E8">
        <w:rPr>
          <w:sz w:val="24"/>
          <w:szCs w:val="24"/>
        </w:rPr>
        <w:t>.</w:t>
      </w:r>
    </w:p>
  </w:footnote>
  <w:footnote w:id="48">
    <w:p w14:paraId="180159F9"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On 1884 tour programs provided by Stephen Railton, one of Cable’s performances is advertised as “The Songs of Place Congo,” indicating that Cable may have split his lecture across two later essays or, conversely, combined his notes for the two essays into one performance for the time’s sake. See Stephen Railton, “A Night at the Opera House,” </w:t>
      </w:r>
      <w:r w:rsidRPr="000A31E8">
        <w:rPr>
          <w:i/>
          <w:iCs/>
          <w:sz w:val="24"/>
          <w:szCs w:val="24"/>
        </w:rPr>
        <w:t>Mark Twain and His Times</w:t>
      </w:r>
      <w:r w:rsidRPr="000A31E8">
        <w:rPr>
          <w:sz w:val="24"/>
          <w:szCs w:val="24"/>
        </w:rPr>
        <w:t xml:space="preserve">, </w:t>
      </w:r>
      <w:hyperlink r:id="rId3" w:history="1">
        <w:r w:rsidRPr="000A31E8">
          <w:rPr>
            <w:rStyle w:val="Hyperlink"/>
            <w:sz w:val="24"/>
            <w:szCs w:val="24"/>
          </w:rPr>
          <w:t>https://twain.lib.virginia.edu/huckfinn/hfprogrm.html</w:t>
        </w:r>
      </w:hyperlink>
      <w:r w:rsidRPr="000A31E8">
        <w:rPr>
          <w:sz w:val="24"/>
          <w:szCs w:val="24"/>
        </w:rPr>
        <w:t>.</w:t>
      </w:r>
    </w:p>
  </w:footnote>
  <w:footnote w:id="49">
    <w:p w14:paraId="06E5533E"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The journalist covering this first show for the </w:t>
      </w:r>
      <w:r w:rsidRPr="000A31E8">
        <w:rPr>
          <w:i/>
          <w:iCs/>
          <w:sz w:val="24"/>
          <w:szCs w:val="24"/>
        </w:rPr>
        <w:t xml:space="preserve">Virginia Daily Union </w:t>
      </w:r>
      <w:r w:rsidRPr="000A31E8">
        <w:rPr>
          <w:sz w:val="24"/>
          <w:szCs w:val="24"/>
        </w:rPr>
        <w:t xml:space="preserve">may have been Alfred Doten, the “prolific Virginia City diarist” (Bergen 12). Doten wrote many articles for the </w:t>
      </w:r>
      <w:r w:rsidRPr="000A31E8">
        <w:rPr>
          <w:i/>
          <w:iCs/>
          <w:sz w:val="24"/>
          <w:szCs w:val="24"/>
        </w:rPr>
        <w:t>Union</w:t>
      </w:r>
      <w:r w:rsidRPr="000A31E8">
        <w:rPr>
          <w:sz w:val="24"/>
          <w:szCs w:val="24"/>
        </w:rPr>
        <w:t xml:space="preserve"> and became in 1864 “Local Editor” of the paper. He also frequented Sutliff’s and always noted the entertainment he saw there. His diary entry for 5 October 1864 reads: “…Entered in full upon my duties today as Local Editor of the Virginia Daily Union…Evening I attended Sutliff’s – Winnemucca, his 2 daughters &amp; 7 braves went through war scenes, dances, scalping scene &amp;c – very interesting – reported it…” Alfred Doten, </w:t>
      </w:r>
      <w:r w:rsidRPr="000A31E8">
        <w:rPr>
          <w:i/>
          <w:iCs/>
          <w:sz w:val="24"/>
          <w:szCs w:val="24"/>
        </w:rPr>
        <w:t>The Journals of Alfred Doten, 1849-1903</w:t>
      </w:r>
      <w:r w:rsidRPr="000A31E8">
        <w:rPr>
          <w:sz w:val="24"/>
          <w:szCs w:val="24"/>
        </w:rPr>
        <w:t>, Ed. Walter Van Tilburg Clark, University of Nevada Press, 1973, 807.</w:t>
      </w:r>
    </w:p>
  </w:footnote>
  <w:footnote w:id="50">
    <w:p w14:paraId="26B72FD4"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Though money was Winnemucca’s motivation, unfortunately these shows, though popular, were not lucrative for the Paiutes. As </w:t>
      </w:r>
      <w:proofErr w:type="spellStart"/>
      <w:r w:rsidRPr="000A31E8">
        <w:rPr>
          <w:sz w:val="24"/>
          <w:szCs w:val="24"/>
        </w:rPr>
        <w:t>Gae</w:t>
      </w:r>
      <w:proofErr w:type="spellEnd"/>
      <w:r w:rsidRPr="000A31E8">
        <w:rPr>
          <w:sz w:val="24"/>
          <w:szCs w:val="24"/>
        </w:rPr>
        <w:t xml:space="preserve"> Whitney Canfield writes, “The cost of theater rental, traveling expenses, hotel rooms and meals, promoter’s cuts, and some minimal payment to the performers had to be deducted from the receipts” (42).</w:t>
      </w:r>
    </w:p>
  </w:footnote>
  <w:footnote w:id="51">
    <w:p w14:paraId="5CB29FFC"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For more on the transatlantic tradition of the tableaux vivants see, for instance, </w:t>
      </w:r>
      <w:r>
        <w:rPr>
          <w:sz w:val="24"/>
          <w:szCs w:val="24"/>
        </w:rPr>
        <w:t xml:space="preserve">Mary </w:t>
      </w:r>
      <w:r w:rsidRPr="00AE1C4C">
        <w:rPr>
          <w:sz w:val="24"/>
          <w:szCs w:val="24"/>
        </w:rPr>
        <w:t>Chapman</w:t>
      </w:r>
      <w:r>
        <w:rPr>
          <w:sz w:val="24"/>
          <w:szCs w:val="24"/>
        </w:rPr>
        <w:t xml:space="preserve">, </w:t>
      </w:r>
      <w:r w:rsidRPr="00AE1C4C">
        <w:rPr>
          <w:sz w:val="24"/>
          <w:szCs w:val="24"/>
        </w:rPr>
        <w:t xml:space="preserve">“‘Living Pictures’: Women and Tableaux Vivants in Nineteenth-Century American Fiction and Culture.” </w:t>
      </w:r>
      <w:r w:rsidRPr="00AE1C4C">
        <w:rPr>
          <w:i/>
          <w:iCs/>
          <w:sz w:val="24"/>
          <w:szCs w:val="24"/>
        </w:rPr>
        <w:t>Wide Angle</w:t>
      </w:r>
      <w:r w:rsidRPr="00AE1C4C">
        <w:rPr>
          <w:sz w:val="24"/>
          <w:szCs w:val="24"/>
        </w:rPr>
        <w:t xml:space="preserve"> 18.3 (1996): 22-52</w:t>
      </w:r>
      <w:r>
        <w:rPr>
          <w:sz w:val="24"/>
          <w:szCs w:val="24"/>
        </w:rPr>
        <w:t xml:space="preserve">; </w:t>
      </w:r>
      <w:r w:rsidRPr="000A31E8">
        <w:rPr>
          <w:sz w:val="24"/>
          <w:szCs w:val="24"/>
        </w:rPr>
        <w:t xml:space="preserve">David Glassberg, </w:t>
      </w:r>
      <w:r w:rsidRPr="000A31E8">
        <w:rPr>
          <w:i/>
          <w:iCs/>
          <w:sz w:val="24"/>
          <w:szCs w:val="24"/>
        </w:rPr>
        <w:t>American Historical Pageantry: The Uses of Tradition in the Early Twentieth Century</w:t>
      </w:r>
      <w:r w:rsidRPr="000A31E8">
        <w:rPr>
          <w:sz w:val="24"/>
          <w:szCs w:val="24"/>
        </w:rPr>
        <w:t xml:space="preserve">, UNC Press, 1990, 18-22; Brenda Assael, “Art or Indecency? </w:t>
      </w:r>
      <w:r w:rsidRPr="000A31E8">
        <w:rPr>
          <w:i/>
          <w:iCs/>
          <w:sz w:val="24"/>
          <w:szCs w:val="24"/>
        </w:rPr>
        <w:t xml:space="preserve">Tableaux Vivants </w:t>
      </w:r>
      <w:r w:rsidRPr="000A31E8">
        <w:rPr>
          <w:sz w:val="24"/>
          <w:szCs w:val="24"/>
        </w:rPr>
        <w:t xml:space="preserve">on the London Stage and the Failure of Late Victorian Moral Reform,” </w:t>
      </w:r>
      <w:r w:rsidRPr="000A31E8">
        <w:rPr>
          <w:i/>
          <w:iCs/>
          <w:sz w:val="24"/>
          <w:szCs w:val="24"/>
        </w:rPr>
        <w:t xml:space="preserve">Journal of British Studies </w:t>
      </w:r>
      <w:r w:rsidRPr="000A31E8">
        <w:rPr>
          <w:sz w:val="24"/>
          <w:szCs w:val="24"/>
        </w:rPr>
        <w:t xml:space="preserve">45, October 2006, 744-758; and Robert M. Lewis, “Tableaux Vivants: Parlor Theatricals in Victorian America,” </w:t>
      </w:r>
      <w:r w:rsidRPr="000A31E8">
        <w:rPr>
          <w:i/>
          <w:iCs/>
          <w:sz w:val="24"/>
          <w:szCs w:val="24"/>
        </w:rPr>
        <w:t xml:space="preserve">Revue </w:t>
      </w:r>
      <w:proofErr w:type="spellStart"/>
      <w:r w:rsidRPr="000A31E8">
        <w:rPr>
          <w:i/>
          <w:iCs/>
          <w:sz w:val="24"/>
          <w:szCs w:val="24"/>
        </w:rPr>
        <w:t>francaise</w:t>
      </w:r>
      <w:proofErr w:type="spellEnd"/>
      <w:r w:rsidRPr="000A31E8">
        <w:rPr>
          <w:i/>
          <w:iCs/>
          <w:sz w:val="24"/>
          <w:szCs w:val="24"/>
        </w:rPr>
        <w:t xml:space="preserve"> </w:t>
      </w:r>
      <w:proofErr w:type="spellStart"/>
      <w:r w:rsidRPr="000A31E8">
        <w:rPr>
          <w:i/>
          <w:iCs/>
          <w:sz w:val="24"/>
          <w:szCs w:val="24"/>
        </w:rPr>
        <w:t>d’etudes</w:t>
      </w:r>
      <w:proofErr w:type="spellEnd"/>
      <w:r w:rsidRPr="000A31E8">
        <w:rPr>
          <w:i/>
          <w:iCs/>
          <w:sz w:val="24"/>
          <w:szCs w:val="24"/>
        </w:rPr>
        <w:t xml:space="preserve"> </w:t>
      </w:r>
      <w:proofErr w:type="spellStart"/>
      <w:r w:rsidRPr="000A31E8">
        <w:rPr>
          <w:i/>
          <w:iCs/>
          <w:sz w:val="24"/>
          <w:szCs w:val="24"/>
        </w:rPr>
        <w:t>americaines</w:t>
      </w:r>
      <w:proofErr w:type="spellEnd"/>
      <w:r w:rsidRPr="000A31E8">
        <w:rPr>
          <w:sz w:val="24"/>
          <w:szCs w:val="24"/>
        </w:rPr>
        <w:t xml:space="preserve">, 36, April 1988, 280-291. </w:t>
      </w:r>
    </w:p>
  </w:footnote>
  <w:footnote w:id="52">
    <w:p w14:paraId="4BB05F13"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For more on Catlin’s “Indian Gallery,” see Mary Sayre Haverstock, </w:t>
      </w:r>
      <w:r w:rsidRPr="000A31E8">
        <w:rPr>
          <w:i/>
          <w:iCs/>
          <w:sz w:val="24"/>
          <w:szCs w:val="24"/>
        </w:rPr>
        <w:t>Indian Gallery; the Story of George Catlin</w:t>
      </w:r>
      <w:r w:rsidRPr="000A31E8">
        <w:rPr>
          <w:sz w:val="24"/>
          <w:szCs w:val="24"/>
        </w:rPr>
        <w:t xml:space="preserve">, Four Winds Press, 1973; George Gurney and Therese </w:t>
      </w:r>
      <w:proofErr w:type="spellStart"/>
      <w:r w:rsidRPr="000A31E8">
        <w:rPr>
          <w:sz w:val="24"/>
          <w:szCs w:val="24"/>
        </w:rPr>
        <w:t>Thau</w:t>
      </w:r>
      <w:proofErr w:type="spellEnd"/>
      <w:r w:rsidRPr="000A31E8">
        <w:rPr>
          <w:sz w:val="24"/>
          <w:szCs w:val="24"/>
        </w:rPr>
        <w:t xml:space="preserve"> Heyman, eds. </w:t>
      </w:r>
      <w:r w:rsidRPr="000A31E8">
        <w:rPr>
          <w:i/>
          <w:iCs/>
          <w:sz w:val="24"/>
          <w:szCs w:val="24"/>
        </w:rPr>
        <w:t>George Catlin and His Indian Gallery</w:t>
      </w:r>
      <w:r w:rsidRPr="000A31E8">
        <w:rPr>
          <w:sz w:val="24"/>
          <w:szCs w:val="24"/>
        </w:rPr>
        <w:t xml:space="preserve">, Smithsonian American Art Museum, Norton, 2002; Robert M. Lewis, “Wild American Savages and the Civilized English: Catlin’s Indian Gallery and the Shows of London,” </w:t>
      </w:r>
      <w:r w:rsidRPr="000A31E8">
        <w:rPr>
          <w:i/>
          <w:iCs/>
          <w:sz w:val="24"/>
          <w:szCs w:val="24"/>
        </w:rPr>
        <w:t>European Journal of American Studies</w:t>
      </w:r>
      <w:r w:rsidRPr="000A31E8">
        <w:rPr>
          <w:sz w:val="24"/>
          <w:szCs w:val="24"/>
        </w:rPr>
        <w:t xml:space="preserve"> 3.1, Spring 2008, </w:t>
      </w:r>
      <w:hyperlink r:id="rId4" w:history="1">
        <w:r w:rsidRPr="000A31E8">
          <w:rPr>
            <w:rStyle w:val="Hyperlink"/>
            <w:sz w:val="24"/>
            <w:szCs w:val="24"/>
          </w:rPr>
          <w:t>https://doi.org/10.4000/ejas.2263</w:t>
        </w:r>
      </w:hyperlink>
      <w:r w:rsidRPr="000A31E8">
        <w:rPr>
          <w:sz w:val="24"/>
          <w:szCs w:val="24"/>
        </w:rPr>
        <w:t>.</w:t>
      </w:r>
    </w:p>
  </w:footnote>
  <w:footnote w:id="53">
    <w:p w14:paraId="483C39DD" w14:textId="77777777" w:rsidR="00287C65" w:rsidRPr="000A31E8" w:rsidRDefault="00287C65" w:rsidP="00287C65">
      <w:pPr>
        <w:pStyle w:val="FootnoteText"/>
        <w:tabs>
          <w:tab w:val="left" w:pos="1385"/>
        </w:tabs>
        <w:rPr>
          <w:sz w:val="24"/>
          <w:szCs w:val="24"/>
        </w:rPr>
      </w:pPr>
      <w:r w:rsidRPr="000A31E8">
        <w:rPr>
          <w:rStyle w:val="FootnoteReference"/>
          <w:sz w:val="24"/>
          <w:szCs w:val="24"/>
        </w:rPr>
        <w:footnoteRef/>
      </w:r>
      <w:r w:rsidRPr="000A31E8">
        <w:rPr>
          <w:sz w:val="24"/>
          <w:szCs w:val="24"/>
        </w:rPr>
        <w:t xml:space="preserve"> See also Christopher Mulvey, “Among the Sag-A-Noshes: Ojibwe and Iowa Indians with George Catlin in Europe, 1843-1848” in </w:t>
      </w:r>
      <w:r w:rsidRPr="000A31E8">
        <w:rPr>
          <w:i/>
          <w:iCs/>
          <w:sz w:val="24"/>
          <w:szCs w:val="24"/>
        </w:rPr>
        <w:t>Indians and Europe: An Interdisciplinary Collection of Essays</w:t>
      </w:r>
      <w:r w:rsidRPr="000A31E8">
        <w:rPr>
          <w:sz w:val="24"/>
          <w:szCs w:val="24"/>
        </w:rPr>
        <w:t xml:space="preserve">, edited by Christian F. Feest, University of Nebraska Press, 1989, 253-275, and Donald B. Smith, “International Entrepreneur: </w:t>
      </w:r>
      <w:proofErr w:type="spellStart"/>
      <w:r w:rsidRPr="000A31E8">
        <w:rPr>
          <w:sz w:val="24"/>
          <w:szCs w:val="24"/>
        </w:rPr>
        <w:t>Maungwudaus</w:t>
      </w:r>
      <w:proofErr w:type="spellEnd"/>
      <w:r w:rsidRPr="000A31E8">
        <w:rPr>
          <w:sz w:val="24"/>
          <w:szCs w:val="24"/>
        </w:rPr>
        <w:t xml:space="preserve">, or George Henry (ca. 1805-after 1877)” in </w:t>
      </w:r>
      <w:r w:rsidRPr="000A31E8">
        <w:rPr>
          <w:i/>
          <w:iCs/>
          <w:sz w:val="24"/>
          <w:szCs w:val="24"/>
        </w:rPr>
        <w:t>Mississauga Portraits: Ojibwe Voices from Nineteenth-Century Canada</w:t>
      </w:r>
      <w:r w:rsidRPr="000A31E8">
        <w:rPr>
          <w:sz w:val="24"/>
          <w:szCs w:val="24"/>
        </w:rPr>
        <w:t xml:space="preserve">, University of Toronto Press, 2013, 126-163. Catlin gives his own account of the </w:t>
      </w:r>
      <w:proofErr w:type="spellStart"/>
      <w:r w:rsidRPr="000A31E8">
        <w:rPr>
          <w:sz w:val="24"/>
          <w:szCs w:val="24"/>
        </w:rPr>
        <w:t>Objiwes</w:t>
      </w:r>
      <w:proofErr w:type="spellEnd"/>
      <w:r w:rsidRPr="000A31E8">
        <w:rPr>
          <w:sz w:val="24"/>
          <w:szCs w:val="24"/>
        </w:rPr>
        <w:t xml:space="preserve">’ and </w:t>
      </w:r>
      <w:proofErr w:type="spellStart"/>
      <w:r w:rsidRPr="000A31E8">
        <w:rPr>
          <w:sz w:val="24"/>
          <w:szCs w:val="24"/>
        </w:rPr>
        <w:t>Iowas</w:t>
      </w:r>
      <w:proofErr w:type="spellEnd"/>
      <w:r w:rsidRPr="000A31E8">
        <w:rPr>
          <w:sz w:val="24"/>
          <w:szCs w:val="24"/>
        </w:rPr>
        <w:t xml:space="preserve">’ experiences in </w:t>
      </w:r>
      <w:r w:rsidRPr="000A31E8">
        <w:rPr>
          <w:i/>
          <w:iCs/>
          <w:sz w:val="24"/>
          <w:szCs w:val="24"/>
        </w:rPr>
        <w:t>Catlin’s Notes of Eight Years’ Travels and Residence in Europe, with his North American Indian Collection</w:t>
      </w:r>
      <w:r w:rsidRPr="000A31E8">
        <w:rPr>
          <w:sz w:val="24"/>
          <w:szCs w:val="24"/>
        </w:rPr>
        <w:t xml:space="preserve">, vol. 2, George Catlin, 1848. </w:t>
      </w:r>
    </w:p>
  </w:footnote>
  <w:footnote w:id="54">
    <w:p w14:paraId="4984A495" w14:textId="77777777" w:rsidR="00287C65" w:rsidRDefault="00287C65" w:rsidP="00287C65">
      <w:pPr>
        <w:pStyle w:val="FootnoteText"/>
      </w:pPr>
      <w:r>
        <w:rPr>
          <w:rStyle w:val="FootnoteReference"/>
        </w:rPr>
        <w:footnoteRef/>
      </w:r>
      <w:r>
        <w:t xml:space="preserve"> </w:t>
      </w:r>
      <w:r w:rsidRPr="0095558D">
        <w:rPr>
          <w:color w:val="000000"/>
          <w:sz w:val="24"/>
          <w:szCs w:val="24"/>
        </w:rPr>
        <w:t xml:space="preserve">Like the New England Yankee or the “ring-tailed roarers” of the Old Southwest in Chapter 2, the honest miner was a regionalist caricature mocking the hundreds of rough-mannered miners who flooded to the Great Basin in the 1850’s hoping to make it rich mining silver but who blew their meager earnings on gambling and alcohol in places like Virginia City. In his 1913 memoirs, C. C. Goodwin, the former editor of the </w:t>
      </w:r>
      <w:r w:rsidRPr="0095558D">
        <w:rPr>
          <w:i/>
          <w:iCs/>
          <w:color w:val="000000"/>
          <w:sz w:val="24"/>
          <w:szCs w:val="24"/>
        </w:rPr>
        <w:t>Territorial Enterprise</w:t>
      </w:r>
      <w:r w:rsidRPr="0095558D">
        <w:rPr>
          <w:color w:val="000000"/>
          <w:sz w:val="24"/>
          <w:szCs w:val="24"/>
        </w:rPr>
        <w:t>,</w:t>
      </w:r>
      <w:r w:rsidRPr="0095558D">
        <w:rPr>
          <w:i/>
          <w:iCs/>
          <w:color w:val="000000"/>
          <w:sz w:val="24"/>
          <w:szCs w:val="24"/>
        </w:rPr>
        <w:t xml:space="preserve"> </w:t>
      </w:r>
      <w:r w:rsidRPr="0095558D">
        <w:rPr>
          <w:color w:val="000000"/>
          <w:sz w:val="24"/>
          <w:szCs w:val="24"/>
        </w:rPr>
        <w:t xml:space="preserve">described the type: “When, after a little, the men from the diggings came with their dust and from the proceeds began the fashion of painting the town red, then the </w:t>
      </w:r>
      <w:r>
        <w:rPr>
          <w:color w:val="000000"/>
          <w:sz w:val="24"/>
          <w:szCs w:val="24"/>
        </w:rPr>
        <w:t>‘</w:t>
      </w:r>
      <w:r w:rsidRPr="0095558D">
        <w:rPr>
          <w:color w:val="000000"/>
          <w:sz w:val="24"/>
          <w:szCs w:val="24"/>
        </w:rPr>
        <w:t>honest miner</w:t>
      </w:r>
      <w:r>
        <w:rPr>
          <w:color w:val="000000"/>
          <w:sz w:val="24"/>
          <w:szCs w:val="24"/>
        </w:rPr>
        <w:t>’</w:t>
      </w:r>
      <w:r w:rsidRPr="0095558D">
        <w:rPr>
          <w:color w:val="000000"/>
          <w:sz w:val="24"/>
          <w:szCs w:val="24"/>
        </w:rPr>
        <w:t xml:space="preserve"> acquired a name. He was of a new species never seen before, and, praise God, he has kept the species distinct and pure ever since” (76). Dan De Quille included in </w:t>
      </w:r>
      <w:r w:rsidRPr="0095558D">
        <w:rPr>
          <w:i/>
          <w:iCs/>
          <w:color w:val="000000"/>
          <w:sz w:val="24"/>
          <w:szCs w:val="24"/>
        </w:rPr>
        <w:t>The Big Bonanza</w:t>
      </w:r>
      <w:r w:rsidRPr="0095558D">
        <w:rPr>
          <w:color w:val="000000"/>
          <w:sz w:val="24"/>
          <w:szCs w:val="24"/>
        </w:rPr>
        <w:t xml:space="preserve"> a paean to the honest miner, a parody of George Sand’s “Goddess of Poverty,” in which he sarcastically praises the character of “the bully Honest Miner”: “He it is that makes it hot for the free-lunch table; it is he that bucks at </w:t>
      </w:r>
      <w:r w:rsidRPr="0095558D">
        <w:rPr>
          <w:i/>
          <w:iCs/>
          <w:color w:val="000000"/>
          <w:sz w:val="24"/>
          <w:szCs w:val="24"/>
        </w:rPr>
        <w:t>monte</w:t>
      </w:r>
      <w:r w:rsidRPr="0095558D">
        <w:rPr>
          <w:color w:val="000000"/>
          <w:sz w:val="24"/>
          <w:szCs w:val="24"/>
        </w:rPr>
        <w:t xml:space="preserve">; plays draw-poker; fights the tiger; patronizes the Hurdies; sings like a </w:t>
      </w:r>
      <w:r>
        <w:rPr>
          <w:color w:val="000000"/>
          <w:sz w:val="24"/>
          <w:szCs w:val="24"/>
        </w:rPr>
        <w:t>‘</w:t>
      </w:r>
      <w:r w:rsidRPr="0095558D">
        <w:rPr>
          <w:color w:val="000000"/>
          <w:sz w:val="24"/>
          <w:szCs w:val="24"/>
        </w:rPr>
        <w:t>Washoe canary;</w:t>
      </w:r>
      <w:r>
        <w:rPr>
          <w:color w:val="000000"/>
          <w:sz w:val="24"/>
          <w:szCs w:val="24"/>
        </w:rPr>
        <w:t>’</w:t>
      </w:r>
      <w:r w:rsidRPr="0095558D">
        <w:rPr>
          <w:color w:val="000000"/>
          <w:sz w:val="24"/>
          <w:szCs w:val="24"/>
        </w:rPr>
        <w:t xml:space="preserve"> it is he who sees the first peep of dawn—through the bottom of a tumbler—through the same cocks his eye on the last smile of evening…It is he who carries the pick, pan, and shovel; who digs about </w:t>
      </w:r>
      <w:proofErr w:type="spellStart"/>
      <w:r w:rsidRPr="0095558D">
        <w:rPr>
          <w:color w:val="000000"/>
          <w:sz w:val="24"/>
          <w:szCs w:val="24"/>
        </w:rPr>
        <w:t>croppings</w:t>
      </w:r>
      <w:proofErr w:type="spellEnd"/>
      <w:r w:rsidRPr="0095558D">
        <w:rPr>
          <w:color w:val="000000"/>
          <w:sz w:val="24"/>
          <w:szCs w:val="24"/>
        </w:rPr>
        <w:t xml:space="preserve">; who picks up </w:t>
      </w:r>
      <w:r>
        <w:rPr>
          <w:color w:val="000000"/>
          <w:sz w:val="24"/>
          <w:szCs w:val="24"/>
        </w:rPr>
        <w:t>‘</w:t>
      </w:r>
      <w:r w:rsidRPr="0095558D">
        <w:rPr>
          <w:color w:val="000000"/>
          <w:sz w:val="24"/>
          <w:szCs w:val="24"/>
        </w:rPr>
        <w:t>indications,</w:t>
      </w:r>
      <w:r>
        <w:rPr>
          <w:color w:val="000000"/>
          <w:sz w:val="24"/>
          <w:szCs w:val="24"/>
        </w:rPr>
        <w:t>’</w:t>
      </w:r>
      <w:r w:rsidRPr="0095558D">
        <w:rPr>
          <w:color w:val="000000"/>
          <w:sz w:val="24"/>
          <w:szCs w:val="24"/>
        </w:rPr>
        <w:t xml:space="preserve"> pounds them into a mortar, and</w:t>
      </w:r>
      <w:r>
        <w:rPr>
          <w:color w:val="000000"/>
          <w:sz w:val="24"/>
          <w:szCs w:val="24"/>
        </w:rPr>
        <w:t xml:space="preserve"> ‘</w:t>
      </w:r>
      <w:r w:rsidRPr="0095558D">
        <w:rPr>
          <w:color w:val="000000"/>
          <w:sz w:val="24"/>
          <w:szCs w:val="24"/>
        </w:rPr>
        <w:t>salts</w:t>
      </w:r>
      <w:r>
        <w:rPr>
          <w:color w:val="000000"/>
          <w:sz w:val="24"/>
          <w:szCs w:val="24"/>
        </w:rPr>
        <w:t>’</w:t>
      </w:r>
      <w:r w:rsidRPr="0095558D">
        <w:rPr>
          <w:color w:val="000000"/>
          <w:sz w:val="24"/>
          <w:szCs w:val="24"/>
        </w:rPr>
        <w:t xml:space="preserve"> the </w:t>
      </w:r>
      <w:r>
        <w:rPr>
          <w:color w:val="000000"/>
          <w:sz w:val="24"/>
          <w:szCs w:val="24"/>
        </w:rPr>
        <w:t>‘</w:t>
      </w:r>
      <w:r w:rsidRPr="0095558D">
        <w:rPr>
          <w:color w:val="000000"/>
          <w:sz w:val="24"/>
          <w:szCs w:val="24"/>
        </w:rPr>
        <w:t>prospect</w:t>
      </w:r>
      <w:r>
        <w:rPr>
          <w:color w:val="000000"/>
          <w:sz w:val="24"/>
          <w:szCs w:val="24"/>
        </w:rPr>
        <w:t>’</w:t>
      </w:r>
      <w:r w:rsidRPr="0095558D">
        <w:rPr>
          <w:color w:val="000000"/>
          <w:sz w:val="24"/>
          <w:szCs w:val="24"/>
        </w:rPr>
        <w:t xml:space="preserve">” (339). De Quille’s song is illustrated with a sketch depicting the comic figure of the honest miner fighting and passing out drunk (fig. 2). Later, in </w:t>
      </w:r>
      <w:r w:rsidRPr="0095558D">
        <w:rPr>
          <w:i/>
          <w:iCs/>
          <w:color w:val="000000"/>
          <w:sz w:val="24"/>
          <w:szCs w:val="24"/>
        </w:rPr>
        <w:t>Roughing It</w:t>
      </w:r>
      <w:r w:rsidRPr="0095558D">
        <w:rPr>
          <w:color w:val="000000"/>
          <w:sz w:val="24"/>
          <w:szCs w:val="24"/>
        </w:rPr>
        <w:t>, Mark Twain fondly recalled the “wild, free, disorderly, grotesque society” where “[t]he honest miner raked from a hundred to a thousand dollars out of his claim a day, and what with the gambling dens and the other entertainments, he hadn’t a cent the next morning, if he had any sort of luck” and fought any man who dared to go out spruced up in a “‘</w:t>
      </w:r>
      <w:proofErr w:type="spellStart"/>
      <w:r w:rsidRPr="0095558D">
        <w:rPr>
          <w:color w:val="000000"/>
          <w:sz w:val="24"/>
          <w:szCs w:val="24"/>
        </w:rPr>
        <w:t>biled</w:t>
      </w:r>
      <w:proofErr w:type="spellEnd"/>
      <w:r w:rsidRPr="0095558D">
        <w:rPr>
          <w:color w:val="000000"/>
          <w:sz w:val="24"/>
          <w:szCs w:val="24"/>
        </w:rPr>
        <w:t xml:space="preserve"> shirt’” (415-6).</w:t>
      </w:r>
    </w:p>
  </w:footnote>
  <w:footnote w:id="55">
    <w:p w14:paraId="00AAC50B"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These quotes from </w:t>
      </w:r>
      <w:proofErr w:type="spellStart"/>
      <w:r w:rsidRPr="000A31E8">
        <w:rPr>
          <w:sz w:val="24"/>
          <w:szCs w:val="24"/>
        </w:rPr>
        <w:t>Shivwit</w:t>
      </w:r>
      <w:proofErr w:type="spellEnd"/>
      <w:r w:rsidRPr="000A31E8">
        <w:rPr>
          <w:sz w:val="24"/>
          <w:szCs w:val="24"/>
        </w:rPr>
        <w:t xml:space="preserve"> Paiute elders and other southwestern Indigenous individuals come from the Indigenous-operated website nuwupaiute.com, which is devoted to keeping available important cultural information about the Southern Paiutes by digitally curating material originally collected by enrolled Paiute tribal member and scholar LaVan Martineau. See “Materials on this Website,” nuwupaiute.com/about-</w:t>
      </w:r>
      <w:proofErr w:type="spellStart"/>
      <w:r w:rsidRPr="000A31E8">
        <w:rPr>
          <w:sz w:val="24"/>
          <w:szCs w:val="24"/>
        </w:rPr>
        <w:t>nuwu</w:t>
      </w:r>
      <w:proofErr w:type="spellEnd"/>
      <w:r w:rsidRPr="000A31E8">
        <w:rPr>
          <w:sz w:val="24"/>
          <w:szCs w:val="24"/>
        </w:rPr>
        <w:t>, Martineau Visual Media, 2023.</w:t>
      </w:r>
    </w:p>
  </w:footnote>
  <w:footnote w:id="56">
    <w:p w14:paraId="3255F377"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Readers may debate whether or not the system of oppression represented by the reservation system and other institutions listed above designed by the Bureau of Indian Affairs and other departments of the federal government  to discipline, contain, and eliminate Natives may be analyzed as  “simple models of domination” as Luc </w:t>
      </w:r>
      <w:proofErr w:type="spellStart"/>
      <w:r w:rsidRPr="000A31E8">
        <w:rPr>
          <w:sz w:val="24"/>
          <w:szCs w:val="24"/>
        </w:rPr>
        <w:t>Boltanski</w:t>
      </w:r>
      <w:proofErr w:type="spellEnd"/>
      <w:r w:rsidRPr="000A31E8">
        <w:rPr>
          <w:sz w:val="24"/>
          <w:szCs w:val="24"/>
        </w:rPr>
        <w:t xml:space="preserve"> defines them. In </w:t>
      </w:r>
      <w:proofErr w:type="spellStart"/>
      <w:r w:rsidRPr="000A31E8">
        <w:rPr>
          <w:sz w:val="24"/>
          <w:szCs w:val="24"/>
        </w:rPr>
        <w:t>Boltanski’s</w:t>
      </w:r>
      <w:proofErr w:type="spellEnd"/>
      <w:r w:rsidRPr="000A31E8">
        <w:rPr>
          <w:sz w:val="24"/>
          <w:szCs w:val="24"/>
        </w:rPr>
        <w:t xml:space="preserve"> essay </w:t>
      </w:r>
      <w:r w:rsidRPr="000A31E8">
        <w:rPr>
          <w:i/>
          <w:iCs/>
          <w:sz w:val="24"/>
          <w:szCs w:val="24"/>
        </w:rPr>
        <w:t>On Critique</w:t>
      </w:r>
      <w:r w:rsidRPr="000A31E8">
        <w:rPr>
          <w:sz w:val="24"/>
          <w:szCs w:val="24"/>
        </w:rPr>
        <w:t xml:space="preserve">, which Holm quotes, “simple models of domination” are marked by a separation of an “official” truth and reality via physical violence (including police violence) and the maintenance of deep social asymmetries based on race, gender, or other traits (123-4). </w:t>
      </w:r>
      <w:proofErr w:type="spellStart"/>
      <w:r w:rsidRPr="000A31E8">
        <w:rPr>
          <w:sz w:val="24"/>
          <w:szCs w:val="24"/>
        </w:rPr>
        <w:t>Boltanski</w:t>
      </w:r>
      <w:proofErr w:type="spellEnd"/>
      <w:r w:rsidRPr="000A31E8">
        <w:rPr>
          <w:sz w:val="24"/>
          <w:szCs w:val="24"/>
        </w:rPr>
        <w:t xml:space="preserve"> differentiates “simple systems” from “complex systems,” in which domination is achieved by “continually altering the contours of reality as if to inscribe the world in it, as a site of constant change” (123). Holm provides Nazi Germany and other despotic regimes as examples of the former type of domination, while the latter type is more evident in modern neoliberal governments. To test the applicability of either model to the nineteenth-century United States is far beyond the parameters of my project, but I think that even if one argues that as a whole the United States practiced (and continues to practice) mainly complex systems of domination to maintain its hegemonic power, the microcosmic governmental system that was the nineteenth-century reservation system seems marked by simple models of domination. As Martha C. Knack writes about reservation life generally in the nineteenth century, “Agents had nearly total dictatorial authority within their reservation domains, and Indians dared resist only under extreme duress” (97). While Knack’s definition of “resistance” is far too narrow, her point regarding the arbitrary biopower practiced by many agents upon reservations nevertheless stands.</w:t>
      </w:r>
    </w:p>
  </w:footnote>
  <w:footnote w:id="57">
    <w:p w14:paraId="2669E61D"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See Jim Zwick, ed. </w:t>
      </w:r>
      <w:r w:rsidRPr="000A31E8">
        <w:rPr>
          <w:i/>
          <w:iCs/>
          <w:sz w:val="24"/>
          <w:szCs w:val="24"/>
        </w:rPr>
        <w:t>Mark Twain’s Weapons of Satire: Anti-Imperialist Writings on the Philippine-American War</w:t>
      </w:r>
      <w:r w:rsidRPr="000A31E8">
        <w:rPr>
          <w:sz w:val="24"/>
          <w:szCs w:val="24"/>
        </w:rPr>
        <w:t>, Syracuse UP, 1992, 119-132.</w:t>
      </w:r>
    </w:p>
  </w:footnote>
  <w:footnote w:id="58">
    <w:p w14:paraId="47ADA942"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Rohrer self-identifies as haole, a racial term originating in the Hawaiian language that has come to designate </w:t>
      </w:r>
      <w:r>
        <w:rPr>
          <w:sz w:val="24"/>
          <w:szCs w:val="24"/>
        </w:rPr>
        <w:t>non-Native</w:t>
      </w:r>
      <w:r w:rsidRPr="000A31E8">
        <w:rPr>
          <w:sz w:val="24"/>
          <w:szCs w:val="24"/>
        </w:rPr>
        <w:t xml:space="preserve"> white Hawaiians. As Rohrer explains it, “‘Haole’ is originally a Hawaiian word meaning foreign or introduced. It has come to mean white people but also, more broadly, settler colonial whiteness in Hawai’i and its manifestations in culture, ideology, and performance. From Cook’s arrival to the present day, haole and haole desires have driven the dispossession of Kanaka </w:t>
      </w:r>
      <w:proofErr w:type="spellStart"/>
      <w:r w:rsidRPr="000A31E8">
        <w:rPr>
          <w:sz w:val="24"/>
          <w:szCs w:val="24"/>
        </w:rPr>
        <w:t>Maoli</w:t>
      </w:r>
      <w:proofErr w:type="spellEnd"/>
      <w:r w:rsidRPr="000A31E8">
        <w:rPr>
          <w:sz w:val="24"/>
          <w:szCs w:val="24"/>
        </w:rPr>
        <w:t xml:space="preserve"> and the colonization of Hawai’i through the imposition of Western institutions of science, religion, law and politics, capitalism, language, and communication” (10). </w:t>
      </w:r>
    </w:p>
  </w:footnote>
  <w:footnote w:id="59">
    <w:p w14:paraId="6C432C71"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There is no single, authoritative text of any Twain lecture. According to Stephen Railton, Twain continuously reworked lecture materials while on tour, meaning that each individual lecture was singularly unique. Twain scholars such as Paul </w:t>
      </w:r>
      <w:proofErr w:type="spellStart"/>
      <w:r w:rsidRPr="000A31E8">
        <w:rPr>
          <w:sz w:val="24"/>
          <w:szCs w:val="24"/>
        </w:rPr>
        <w:t>Fatout</w:t>
      </w:r>
      <w:proofErr w:type="spellEnd"/>
      <w:r w:rsidRPr="000A31E8">
        <w:rPr>
          <w:sz w:val="24"/>
          <w:szCs w:val="24"/>
        </w:rPr>
        <w:t xml:space="preserve">, Fred Lorch, and Walter Frear have reconstructed critical texts of Twain’s lectures based on extant manuscripts and contemporary newspaper summaries that recorded Twain’s material, sometimes in great detail. I base my discussion of Twain’s Hawaiian lectures, below, on Paul </w:t>
      </w:r>
      <w:proofErr w:type="spellStart"/>
      <w:r w:rsidRPr="000A31E8">
        <w:rPr>
          <w:sz w:val="24"/>
          <w:szCs w:val="24"/>
        </w:rPr>
        <w:t>Fatout’s</w:t>
      </w:r>
      <w:proofErr w:type="spellEnd"/>
      <w:r w:rsidRPr="000A31E8">
        <w:rPr>
          <w:sz w:val="24"/>
          <w:szCs w:val="24"/>
        </w:rPr>
        <w:t xml:space="preserve"> reconstruction provided in </w:t>
      </w:r>
      <w:r w:rsidRPr="000A31E8">
        <w:rPr>
          <w:i/>
          <w:iCs/>
          <w:sz w:val="24"/>
          <w:szCs w:val="24"/>
        </w:rPr>
        <w:t>Mark Twain Speaking</w:t>
      </w:r>
      <w:r w:rsidRPr="000A31E8">
        <w:rPr>
          <w:sz w:val="24"/>
          <w:szCs w:val="24"/>
        </w:rPr>
        <w:t xml:space="preserve"> (1976), pp. 4-15.</w:t>
      </w:r>
    </w:p>
  </w:footnote>
  <w:footnote w:id="60">
    <w:p w14:paraId="680CDCF1"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Paul </w:t>
      </w:r>
      <w:proofErr w:type="spellStart"/>
      <w:r w:rsidRPr="000A31E8">
        <w:rPr>
          <w:sz w:val="24"/>
          <w:szCs w:val="24"/>
        </w:rPr>
        <w:t>Fatout’s</w:t>
      </w:r>
      <w:proofErr w:type="spellEnd"/>
      <w:r w:rsidRPr="000A31E8">
        <w:rPr>
          <w:sz w:val="24"/>
          <w:szCs w:val="24"/>
        </w:rPr>
        <w:t xml:space="preserve"> composite text of the “Sandwich Islands” lecture is based mainly on newspaper reports of Twain’s performances between 1869-73. This accounts for St. Bartholomew’s presence in </w:t>
      </w:r>
      <w:proofErr w:type="spellStart"/>
      <w:r w:rsidRPr="000A31E8">
        <w:rPr>
          <w:sz w:val="24"/>
          <w:szCs w:val="24"/>
        </w:rPr>
        <w:t>Fatout’s</w:t>
      </w:r>
      <w:proofErr w:type="spellEnd"/>
      <w:r w:rsidRPr="000A31E8">
        <w:rPr>
          <w:sz w:val="24"/>
          <w:szCs w:val="24"/>
        </w:rPr>
        <w:t xml:space="preserve"> lecture text, despite the fact that Twain’s earliest performances of this lecture predate his voyage on the </w:t>
      </w:r>
      <w:r w:rsidRPr="000A31E8">
        <w:rPr>
          <w:i/>
          <w:iCs/>
          <w:sz w:val="24"/>
          <w:szCs w:val="24"/>
        </w:rPr>
        <w:t xml:space="preserve">Quaker City </w:t>
      </w:r>
      <w:r w:rsidRPr="000A31E8">
        <w:rPr>
          <w:sz w:val="24"/>
          <w:szCs w:val="24"/>
        </w:rPr>
        <w:t xml:space="preserve">that make up the material of </w:t>
      </w:r>
      <w:r w:rsidRPr="000A31E8">
        <w:rPr>
          <w:i/>
          <w:iCs/>
          <w:sz w:val="24"/>
          <w:szCs w:val="24"/>
        </w:rPr>
        <w:t>Innocents Abroad</w:t>
      </w:r>
      <w:r w:rsidRPr="000A31E8">
        <w:rPr>
          <w:sz w:val="24"/>
          <w:szCs w:val="24"/>
        </w:rPr>
        <w:t xml:space="preserve">. Twain often used his lectures as testing grounds, exhibitions, or as marketing platforms for his published works, so we can see his inclusion of this material from </w:t>
      </w:r>
      <w:r w:rsidRPr="000A31E8">
        <w:rPr>
          <w:i/>
          <w:iCs/>
          <w:sz w:val="24"/>
          <w:szCs w:val="24"/>
        </w:rPr>
        <w:t xml:space="preserve">Innocents Abroad </w:t>
      </w:r>
      <w:r w:rsidRPr="000A31E8">
        <w:rPr>
          <w:sz w:val="24"/>
          <w:szCs w:val="24"/>
        </w:rPr>
        <w:t xml:space="preserve">in that light. Further, it is a good reminder that Twain’s lectures were not published texts and that he constantly updated, changed their content. </w:t>
      </w:r>
    </w:p>
  </w:footnote>
  <w:footnote w:id="61">
    <w:p w14:paraId="5084E6FC"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See, for instance, John M. Coward, </w:t>
      </w:r>
      <w:r w:rsidRPr="000A31E8">
        <w:rPr>
          <w:i/>
          <w:iCs/>
          <w:sz w:val="24"/>
          <w:szCs w:val="24"/>
        </w:rPr>
        <w:t>The Newspaper Indian: Native American Identity in the Press, 1820-90</w:t>
      </w:r>
      <w:r w:rsidRPr="000A31E8">
        <w:rPr>
          <w:sz w:val="24"/>
          <w:szCs w:val="24"/>
        </w:rPr>
        <w:t>, University of Illinois Press, 1999.</w:t>
      </w:r>
    </w:p>
  </w:footnote>
  <w:footnote w:id="62">
    <w:p w14:paraId="159E3ECC" w14:textId="77777777" w:rsidR="00287C65" w:rsidRPr="000A31E8" w:rsidRDefault="00287C65" w:rsidP="00287C65">
      <w:pPr>
        <w:rPr>
          <w:rFonts w:ascii="Times New Roman" w:hAnsi="Times New Roman" w:cs="Times New Roman"/>
        </w:rPr>
      </w:pPr>
      <w:r w:rsidRPr="000A31E8">
        <w:rPr>
          <w:rStyle w:val="FootnoteReference"/>
          <w:rFonts w:ascii="Times New Roman" w:eastAsiaTheme="majorEastAsia" w:hAnsi="Times New Roman" w:cs="Times New Roman"/>
        </w:rPr>
        <w:footnoteRef/>
      </w:r>
      <w:r w:rsidRPr="000A31E8">
        <w:rPr>
          <w:rFonts w:ascii="Times New Roman" w:hAnsi="Times New Roman" w:cs="Times New Roman"/>
        </w:rPr>
        <w:t xml:space="preserve"> Originally, in 1871-2 Twain toured another lecture where he reminisced about his fellow American humorist Artemus Ward, who had passed away from tuberculosis in 1867. However, he decided to give up that speech after newspapers leaked its content ahead of the tour, in Twain’s opinion spoiling the effect of the lecture’s humor for future audiences. To address this, Twain went against local advertisements and delivered another lecture pieced together from anecdotes and material from </w:t>
      </w:r>
      <w:r w:rsidRPr="000A31E8">
        <w:rPr>
          <w:rFonts w:ascii="Times New Roman" w:hAnsi="Times New Roman" w:cs="Times New Roman"/>
          <w:i/>
          <w:iCs/>
        </w:rPr>
        <w:t>Roughing It</w:t>
      </w:r>
      <w:r w:rsidRPr="000A31E8">
        <w:rPr>
          <w:rFonts w:ascii="Times New Roman" w:hAnsi="Times New Roman" w:cs="Times New Roman"/>
        </w:rPr>
        <w:t xml:space="preserve">, his forthcoming book about his experiences as a silver miner and reporter in Nevada Territory. The change of program had the dual advantages of providing Twain with fresh comedic material, which always energized him, as well as advertising his book. He had done this before, featuring material from </w:t>
      </w:r>
      <w:r w:rsidRPr="000A31E8">
        <w:rPr>
          <w:rFonts w:ascii="Times New Roman" w:hAnsi="Times New Roman" w:cs="Times New Roman"/>
          <w:i/>
          <w:iCs/>
        </w:rPr>
        <w:t xml:space="preserve">Innocents Abroad </w:t>
      </w:r>
      <w:r w:rsidRPr="000A31E8">
        <w:rPr>
          <w:rFonts w:ascii="Times New Roman" w:hAnsi="Times New Roman" w:cs="Times New Roman"/>
        </w:rPr>
        <w:t xml:space="preserve">for his “American Vandal” lecture tour (1868-69) and would do it again for his “Twins of Genius” (1884-5) and “Around the World” (1895), in which he presented material in progress from </w:t>
      </w:r>
      <w:r w:rsidRPr="000A31E8">
        <w:rPr>
          <w:rFonts w:ascii="Times New Roman" w:hAnsi="Times New Roman" w:cs="Times New Roman"/>
          <w:i/>
          <w:iCs/>
        </w:rPr>
        <w:t xml:space="preserve">Huck Finn </w:t>
      </w:r>
      <w:r w:rsidRPr="000A31E8">
        <w:rPr>
          <w:rFonts w:ascii="Times New Roman" w:hAnsi="Times New Roman" w:cs="Times New Roman"/>
        </w:rPr>
        <w:t xml:space="preserve">and </w:t>
      </w:r>
      <w:r w:rsidRPr="000A31E8">
        <w:rPr>
          <w:rFonts w:ascii="Times New Roman" w:hAnsi="Times New Roman" w:cs="Times New Roman"/>
          <w:i/>
          <w:iCs/>
        </w:rPr>
        <w:t>Following the Equator</w:t>
      </w:r>
      <w:r w:rsidRPr="000A31E8">
        <w:rPr>
          <w:rFonts w:ascii="Times New Roman" w:hAnsi="Times New Roman" w:cs="Times New Roman"/>
        </w:rPr>
        <w:t xml:space="preserve">, respectively.  </w:t>
      </w:r>
    </w:p>
  </w:footnote>
  <w:footnote w:id="63">
    <w:p w14:paraId="72DBC523"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Again, I am using Paul </w:t>
      </w:r>
      <w:proofErr w:type="spellStart"/>
      <w:r w:rsidRPr="000A31E8">
        <w:rPr>
          <w:sz w:val="24"/>
          <w:szCs w:val="24"/>
        </w:rPr>
        <w:t>Fatout’s</w:t>
      </w:r>
      <w:proofErr w:type="spellEnd"/>
      <w:r w:rsidRPr="000A31E8">
        <w:rPr>
          <w:sz w:val="24"/>
          <w:szCs w:val="24"/>
        </w:rPr>
        <w:t xml:space="preserve"> composite text of this lecture, based on contemporary newspaper reports. </w:t>
      </w:r>
      <w:r w:rsidRPr="000A31E8">
        <w:rPr>
          <w:i/>
          <w:iCs/>
          <w:sz w:val="24"/>
          <w:szCs w:val="24"/>
        </w:rPr>
        <w:t>Mark Twain Speaking</w:t>
      </w:r>
      <w:r w:rsidRPr="000A31E8">
        <w:rPr>
          <w:sz w:val="24"/>
          <w:szCs w:val="24"/>
        </w:rPr>
        <w:t>, pp. 48-63.</w:t>
      </w:r>
    </w:p>
  </w:footnote>
  <w:footnote w:id="64">
    <w:p w14:paraId="7426D648"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I choose the verb “map” here to point to its ideological and political opposition to the (re)mapping practiced by </w:t>
      </w:r>
      <w:r>
        <w:rPr>
          <w:sz w:val="24"/>
          <w:szCs w:val="24"/>
        </w:rPr>
        <w:t>Sarah Winnemucca Hopkins</w:t>
      </w:r>
      <w:r w:rsidRPr="000A31E8">
        <w:rPr>
          <w:sz w:val="24"/>
          <w:szCs w:val="24"/>
        </w:rPr>
        <w:t xml:space="preserve"> and other Native activists.</w:t>
      </w:r>
    </w:p>
  </w:footnote>
  <w:footnote w:id="65">
    <w:p w14:paraId="10F7910E"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Of course, there was little “morally right” about American planters’ historical abuse of Indigenous and exogenous immigrant labor on Hawaiian sugar plantations. Rohrer, </w:t>
      </w:r>
      <w:r w:rsidRPr="000A31E8">
        <w:rPr>
          <w:i/>
          <w:iCs/>
          <w:sz w:val="24"/>
          <w:szCs w:val="24"/>
        </w:rPr>
        <w:t>Staking Claim</w:t>
      </w:r>
      <w:r w:rsidRPr="000A31E8">
        <w:rPr>
          <w:sz w:val="24"/>
          <w:szCs w:val="24"/>
        </w:rPr>
        <w:t>, 61-62.</w:t>
      </w:r>
    </w:p>
  </w:footnote>
  <w:footnote w:id="66">
    <w:p w14:paraId="0484742C" w14:textId="77777777" w:rsidR="00287C65" w:rsidRPr="000A31E8" w:rsidRDefault="00287C65" w:rsidP="00287C65">
      <w:pPr>
        <w:pStyle w:val="FootnoteText"/>
        <w:rPr>
          <w:sz w:val="24"/>
          <w:szCs w:val="24"/>
        </w:rPr>
      </w:pPr>
      <w:r w:rsidRPr="000A31E8">
        <w:rPr>
          <w:rStyle w:val="FootnoteReference"/>
          <w:sz w:val="24"/>
          <w:szCs w:val="24"/>
        </w:rPr>
        <w:footnoteRef/>
      </w:r>
      <w:r w:rsidRPr="000A31E8">
        <w:rPr>
          <w:sz w:val="24"/>
          <w:szCs w:val="24"/>
        </w:rPr>
        <w:t xml:space="preserve"> See, for instance, Harriet </w:t>
      </w:r>
      <w:proofErr w:type="spellStart"/>
      <w:r w:rsidRPr="000A31E8">
        <w:rPr>
          <w:sz w:val="24"/>
          <w:szCs w:val="24"/>
        </w:rPr>
        <w:t>Ritvo</w:t>
      </w:r>
      <w:proofErr w:type="spellEnd"/>
      <w:r w:rsidRPr="000A31E8">
        <w:rPr>
          <w:sz w:val="24"/>
          <w:szCs w:val="24"/>
        </w:rPr>
        <w:t xml:space="preserve">, </w:t>
      </w:r>
      <w:r w:rsidRPr="000A31E8">
        <w:rPr>
          <w:i/>
          <w:iCs/>
          <w:sz w:val="24"/>
          <w:szCs w:val="24"/>
        </w:rPr>
        <w:t>The Animal Estate: The English and Other Creatures in the Victorian Age</w:t>
      </w:r>
      <w:r w:rsidRPr="000A31E8">
        <w:rPr>
          <w:sz w:val="24"/>
          <w:szCs w:val="24"/>
        </w:rPr>
        <w:t xml:space="preserve">, Harvard UP, 1987; Sarah Amato, </w:t>
      </w:r>
      <w:r w:rsidRPr="000A31E8">
        <w:rPr>
          <w:i/>
          <w:iCs/>
          <w:sz w:val="24"/>
          <w:szCs w:val="24"/>
        </w:rPr>
        <w:t>Beastly Possessions: Animals in Victorian Consumer Culture</w:t>
      </w:r>
      <w:r w:rsidRPr="000A31E8">
        <w:rPr>
          <w:sz w:val="24"/>
          <w:szCs w:val="24"/>
        </w:rPr>
        <w:t xml:space="preserve">, University of Toronto Press, 2015; Monica Flegel, </w:t>
      </w:r>
      <w:r w:rsidRPr="000A31E8">
        <w:rPr>
          <w:i/>
          <w:iCs/>
          <w:sz w:val="24"/>
          <w:szCs w:val="24"/>
        </w:rPr>
        <w:t>Pets and Domesticity in Victorian Literature and Culture: Animality, Queer Relations, and the Victorian Family</w:t>
      </w:r>
      <w:r w:rsidRPr="000A31E8">
        <w:rPr>
          <w:sz w:val="24"/>
          <w:szCs w:val="24"/>
        </w:rPr>
        <w:t xml:space="preserve">, Routledge, 2015; and Philip Howell, </w:t>
      </w:r>
      <w:r w:rsidRPr="000A31E8">
        <w:rPr>
          <w:i/>
          <w:iCs/>
          <w:sz w:val="24"/>
          <w:szCs w:val="24"/>
        </w:rPr>
        <w:t>At Home and Astray: The Domestic Dog in Victorian Britain</w:t>
      </w:r>
      <w:r w:rsidRPr="000A31E8">
        <w:rPr>
          <w:sz w:val="24"/>
          <w:szCs w:val="24"/>
        </w:rPr>
        <w:t xml:space="preserve">, University of Virginia Press, 2015. </w:t>
      </w:r>
    </w:p>
  </w:footnote>
  <w:footnote w:id="67">
    <w:p w14:paraId="03E3DCCF"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Chapter 2 of Gavin Jones’s </w:t>
      </w:r>
      <w:r w:rsidRPr="0053520F">
        <w:rPr>
          <w:rFonts w:ascii="Times New Roman" w:hAnsi="Times New Roman" w:cs="Times New Roman"/>
          <w:i/>
          <w:sz w:val="20"/>
          <w:szCs w:val="20"/>
        </w:rPr>
        <w:t>Strange Talk</w:t>
      </w:r>
      <w:r w:rsidRPr="0053520F">
        <w:rPr>
          <w:rFonts w:ascii="Times New Roman" w:hAnsi="Times New Roman" w:cs="Times New Roman"/>
          <w:sz w:val="20"/>
          <w:szCs w:val="20"/>
        </w:rPr>
        <w:t xml:space="preserve">, “The Cult of the Vernacular,” provides an excellent overview of the diverse political work of dialect literature throughout the nineteenth century. See </w:t>
      </w:r>
      <w:r w:rsidRPr="0053520F">
        <w:rPr>
          <w:rFonts w:ascii="Times New Roman" w:hAnsi="Times New Roman" w:cs="Times New Roman"/>
          <w:i/>
          <w:sz w:val="20"/>
          <w:szCs w:val="20"/>
        </w:rPr>
        <w:t>Strange Talk</w:t>
      </w:r>
      <w:r w:rsidRPr="0053520F">
        <w:rPr>
          <w:rFonts w:ascii="Times New Roman" w:hAnsi="Times New Roman" w:cs="Times New Roman"/>
          <w:sz w:val="20"/>
          <w:szCs w:val="20"/>
        </w:rPr>
        <w:t>, 37-63. For early studies of the “</w:t>
      </w:r>
      <w:proofErr w:type="spellStart"/>
      <w:r w:rsidRPr="0053520F">
        <w:rPr>
          <w:rFonts w:ascii="Times New Roman" w:hAnsi="Times New Roman" w:cs="Times New Roman"/>
          <w:sz w:val="20"/>
          <w:szCs w:val="20"/>
        </w:rPr>
        <w:t>crackerbox</w:t>
      </w:r>
      <w:proofErr w:type="spellEnd"/>
      <w:r w:rsidRPr="0053520F">
        <w:rPr>
          <w:rFonts w:ascii="Times New Roman" w:hAnsi="Times New Roman" w:cs="Times New Roman"/>
          <w:sz w:val="20"/>
          <w:szCs w:val="20"/>
        </w:rPr>
        <w:t xml:space="preserve"> philosopher” tradition in American humor, see Jennette Tandy, </w:t>
      </w:r>
      <w:r w:rsidRPr="0053520F">
        <w:rPr>
          <w:rFonts w:ascii="Times New Roman" w:hAnsi="Times New Roman" w:cs="Times New Roman"/>
          <w:i/>
          <w:sz w:val="20"/>
          <w:szCs w:val="20"/>
        </w:rPr>
        <w:t>Crackerbox Philosophers in American Humor and Satire</w:t>
      </w:r>
      <w:r w:rsidRPr="0053520F">
        <w:rPr>
          <w:rFonts w:ascii="Times New Roman" w:hAnsi="Times New Roman" w:cs="Times New Roman"/>
          <w:sz w:val="20"/>
          <w:szCs w:val="20"/>
        </w:rPr>
        <w:t xml:space="preserve">, Columbia UP, 1925 and Walter Blair, </w:t>
      </w:r>
      <w:r w:rsidRPr="0053520F">
        <w:rPr>
          <w:rFonts w:ascii="Times New Roman" w:hAnsi="Times New Roman" w:cs="Times New Roman"/>
          <w:i/>
          <w:sz w:val="20"/>
          <w:szCs w:val="20"/>
        </w:rPr>
        <w:t>Horse Sense in American Humor, From Benjamin Franklin to Ogden Nash</w:t>
      </w:r>
      <w:r w:rsidRPr="0053520F">
        <w:rPr>
          <w:rFonts w:ascii="Times New Roman" w:hAnsi="Times New Roman" w:cs="Times New Roman"/>
          <w:sz w:val="20"/>
          <w:szCs w:val="20"/>
        </w:rPr>
        <w:t>, Russell &amp; Russell, 1962.</w:t>
      </w:r>
    </w:p>
  </w:footnote>
  <w:footnote w:id="68">
    <w:p w14:paraId="579AB66F" w14:textId="77777777" w:rsidR="00287C65" w:rsidRPr="0053520F" w:rsidRDefault="00287C65" w:rsidP="00287C65">
      <w:pPr>
        <w:pStyle w:val="FootnoteText"/>
      </w:pPr>
      <w:r w:rsidRPr="0053520F">
        <w:rPr>
          <w:rStyle w:val="FootnoteReference"/>
        </w:rPr>
        <w:footnoteRef/>
      </w:r>
      <w:r w:rsidRPr="0053520F">
        <w:t xml:space="preserve"> The 1887 General Allotment Act, also known as the Dawes Act, sought to force Native assimilation by dividing or “allotting” Native reservation lands into private property. Prior to the passage of the Act, reservation lands were held in common by members of Native nations, and legislated by tribal governments whose sovereignty over the lands was protected through various treaties between these nations and the United States. Initially, the Dawes Act required tribal governments to create tribal rolls, official lists of every citizen of the nation. However, the Curtis Act of 1898 invalidated the Dawes Rolls and replaced them with federal enrollment lists, based on data collected by hundreds of BIA bureaucrats and field workers. Posey was employed as one the latter. </w:t>
      </w:r>
    </w:p>
    <w:p w14:paraId="655593DE" w14:textId="77777777" w:rsidR="00287C65" w:rsidRPr="0053520F" w:rsidRDefault="00287C65" w:rsidP="00287C65">
      <w:pPr>
        <w:pStyle w:val="FootnoteText"/>
      </w:pPr>
      <w:r w:rsidRPr="0053520F">
        <w:tab/>
        <w:t>The U.S. government’s official tribal enrollment lists are based on the racializing idea of blood quantum. Blood quantum is a settler notion based in the ideology of race. It purports to measure an individual’s Native ancestry, or “blood,” and was used by U.S. policymakers to determine who they would consider legitimate citizens of Native tribal nations for the purpose of allotting private property and, later, for managing individuals’ claims to federal support programs designed for Native Americans.</w:t>
      </w:r>
    </w:p>
    <w:p w14:paraId="1F1699CC" w14:textId="77777777" w:rsidR="00287C65" w:rsidRPr="0053520F" w:rsidRDefault="00287C65" w:rsidP="00287C65">
      <w:pPr>
        <w:pStyle w:val="FootnoteText"/>
      </w:pPr>
      <w:r w:rsidRPr="0053520F">
        <w:tab/>
        <w:t xml:space="preserve">Prior to the eighteenth century and well into the nineteenth, tribal governments determined “citizenship”—itself a settler concept—according to complex Indigenous notions of belonging, such as kinship. However, as many Native nations adopted constitutional governments in the nineteenth and twentieth centuries, some adopted enrollment policies that reflected the Western discourse of blood. The Native Governance Center attributes many contemporary Native nations’ observance of blood quantum policies to certain stipulations within the Indian Reorganization Act of 1934, which required tribal governments to include citizenship criteria based in blood quantum in their national constitutions.  </w:t>
      </w:r>
    </w:p>
    <w:p w14:paraId="4116DB09" w14:textId="77777777" w:rsidR="00287C65" w:rsidRPr="0053520F" w:rsidRDefault="00287C65" w:rsidP="00287C65">
      <w:pPr>
        <w:pStyle w:val="FootnoteText"/>
      </w:pPr>
      <w:r w:rsidRPr="0053520F">
        <w:tab/>
        <w:t xml:space="preserve">For more on blood quantum and its complex history in relation to tribal governance and citizenship, see Melissa Meyer, “American Indian Blood Quantum Requirements,” in </w:t>
      </w:r>
      <w:r w:rsidRPr="0053520F">
        <w:rPr>
          <w:i/>
          <w:iCs/>
        </w:rPr>
        <w:t xml:space="preserve">Over the Edge: Remapping the American </w:t>
      </w:r>
      <w:r w:rsidRPr="0053520F">
        <w:t xml:space="preserve">West, edited by V. Matsumoto and B. Allmendinger, University of California Press, 1999, pp. 231-49; Paul Spruhan, “A Legal History of Blood Quantum in Federal Indian Law to 1935,” </w:t>
      </w:r>
      <w:r w:rsidRPr="0053520F">
        <w:rPr>
          <w:i/>
          <w:iCs/>
        </w:rPr>
        <w:t>South Dakota Law Review</w:t>
      </w:r>
      <w:r w:rsidRPr="0053520F">
        <w:t xml:space="preserve">, vol. 51, no. 1, 2006, pp. 1-50; Stremlau, </w:t>
      </w:r>
      <w:r w:rsidRPr="0053520F">
        <w:rPr>
          <w:i/>
          <w:iCs/>
        </w:rPr>
        <w:t>Sustaining the Cherokee Family</w:t>
      </w:r>
      <w:r w:rsidRPr="0053520F">
        <w:t xml:space="preserve">; Kimberly </w:t>
      </w:r>
      <w:proofErr w:type="spellStart"/>
      <w:r w:rsidRPr="0053520F">
        <w:t>Tallbear</w:t>
      </w:r>
      <w:proofErr w:type="spellEnd"/>
      <w:r w:rsidRPr="0053520F">
        <w:t xml:space="preserve">, </w:t>
      </w:r>
      <w:r w:rsidRPr="0053520F">
        <w:rPr>
          <w:i/>
          <w:iCs/>
        </w:rPr>
        <w:t>Native American DNA: Tribal Belonging and the False Promise of Genetic Science</w:t>
      </w:r>
      <w:r w:rsidRPr="0053520F">
        <w:t>, University of Minnesota Press, 2013; and the Native Governance Center’s “Blood Quantum and Sovereignty: A Guide,” available at https://nativegov.org/resources/blood-quantum-and-sovereignty-a-guide/.</w:t>
      </w:r>
    </w:p>
  </w:footnote>
  <w:footnote w:id="69">
    <w:p w14:paraId="24DDBD64" w14:textId="77777777" w:rsidR="00287C65" w:rsidRPr="0053520F" w:rsidRDefault="00287C65" w:rsidP="00287C65">
      <w:pPr>
        <w:pStyle w:val="FootnoteText"/>
      </w:pPr>
      <w:r w:rsidRPr="0053520F">
        <w:rPr>
          <w:rStyle w:val="FootnoteReference"/>
        </w:rPr>
        <w:footnoteRef/>
      </w:r>
      <w:r w:rsidRPr="0053520F">
        <w:t xml:space="preserve"> The “allotment era” refers to the period from about 1887 to 1935 when Native nations withstood intense efforts from the U.S. government to assimilate Native individuals into U.S. culture. The beginning of this period is typically associated with the passage of the Dawes Act (1887) which began the process of transforming </w:t>
      </w:r>
      <w:proofErr w:type="gramStart"/>
      <w:r w:rsidRPr="0053520F">
        <w:t>tribally-held</w:t>
      </w:r>
      <w:proofErr w:type="gramEnd"/>
      <w:r w:rsidRPr="0053520F">
        <w:t xml:space="preserve"> reservation lands into private property, also known as allotment. During this period, the U.S. government passed several other policies aimed at forcibly acculturating Native peoples, including kidnapping Native children and enrolling them against their will in boarding schools. </w:t>
      </w:r>
    </w:p>
  </w:footnote>
  <w:footnote w:id="70">
    <w:p w14:paraId="69B765FD"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The settler discourse of blood permeates Posey’s writing and that of his contemporaries, such as Charley Gibson, George Washington Grayson, Chitto Harjo, and Chief Pleasant Porter. Designations of full and mixed blood seem problematic to modern readers, but Indian Territory writers used the terms frequently and (usually) non-derogatorily. In the allotment era, the labels fullblood and mixed blood became nearly synonymous with political positions. Fullbloods were typically considered rural and conservative, resistant to change and antagonistic towards the United States’s assimilatory policies. Mixed bloods, those of Native and white heritage, were typically considered urbane, progressive, and talented in the “white” realms of politics and business. Throughout this chapter I follow Posey in identifying Fus Fixico, Hotgun, and the other characters of the Fus Fixico Letters as “full blood,” though I try to avoid the ready assumption that such characters and communities automatically hold conservative political opinions.  </w:t>
      </w:r>
    </w:p>
  </w:footnote>
  <w:footnote w:id="71">
    <w:p w14:paraId="3BD091BF"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The town, or </w:t>
      </w:r>
      <w:proofErr w:type="spellStart"/>
      <w:r w:rsidRPr="0053520F">
        <w:rPr>
          <w:rFonts w:ascii="Times New Roman" w:hAnsi="Times New Roman" w:cs="Times New Roman"/>
          <w:sz w:val="20"/>
          <w:szCs w:val="20"/>
        </w:rPr>
        <w:t>talwa</w:t>
      </w:r>
      <w:proofErr w:type="spellEnd"/>
      <w:r w:rsidRPr="0053520F">
        <w:rPr>
          <w:rFonts w:ascii="Times New Roman" w:hAnsi="Times New Roman" w:cs="Times New Roman"/>
          <w:sz w:val="20"/>
          <w:szCs w:val="20"/>
        </w:rPr>
        <w:t xml:space="preserve"> in </w:t>
      </w:r>
      <w:proofErr w:type="spellStart"/>
      <w:r w:rsidRPr="0053520F">
        <w:rPr>
          <w:rFonts w:ascii="Times New Roman" w:hAnsi="Times New Roman" w:cs="Times New Roman"/>
          <w:sz w:val="20"/>
          <w:szCs w:val="20"/>
        </w:rPr>
        <w:t>Mvskoke</w:t>
      </w:r>
      <w:proofErr w:type="spellEnd"/>
      <w:r w:rsidRPr="0053520F">
        <w:rPr>
          <w:rFonts w:ascii="Times New Roman" w:hAnsi="Times New Roman" w:cs="Times New Roman"/>
          <w:sz w:val="20"/>
          <w:szCs w:val="20"/>
        </w:rPr>
        <w:t xml:space="preserve">, is traditionally the principle governing unit of Muscogee society. Prior to their deportation to Indian Territory, Muscogee towns were politically and geographically divided into Upper and Lower Towns. As Muscogee-white encounters increased across the eighteenth and early nineteenth centuries through trade, war, and diplomacy, the Lower Towns developed a reputation for welcoming more Euro-American influences than citizens in the Upper Towns, which caused Lower Towns to be considered more “progressive” and the Upper Towns more “conservative” or traditionalist. After clans, Muscogee political and social identity was most closely tied to one’s town, so when Muscogee emigrants lit new fires in Indian Territory and established new towns, they bore the names of the old towns in the Muscogee homelands east of the Mississippi. These towns retained their status as Upper or Lower Towns in these new lands regardless of any real geographic relationship to each other. Thus, Tuskegee, was an Upper Town due to its traditionalist leanings while Eufaula, a little to the North, was considered a Lower Town. For more about Muscogee social organization before and after Removal, see Womack, </w:t>
      </w:r>
      <w:r w:rsidRPr="0053520F">
        <w:rPr>
          <w:rFonts w:ascii="Times New Roman" w:hAnsi="Times New Roman" w:cs="Times New Roman"/>
          <w:i/>
          <w:sz w:val="20"/>
          <w:szCs w:val="20"/>
        </w:rPr>
        <w:t>Red on Red</w:t>
      </w:r>
      <w:r w:rsidRPr="0053520F">
        <w:rPr>
          <w:rFonts w:ascii="Times New Roman" w:hAnsi="Times New Roman" w:cs="Times New Roman"/>
          <w:sz w:val="20"/>
          <w:szCs w:val="20"/>
        </w:rPr>
        <w:t xml:space="preserve">, </w:t>
      </w:r>
      <w:proofErr w:type="spellStart"/>
      <w:r w:rsidRPr="0053520F">
        <w:rPr>
          <w:rFonts w:ascii="Times New Roman" w:hAnsi="Times New Roman" w:cs="Times New Roman"/>
          <w:sz w:val="20"/>
          <w:szCs w:val="20"/>
        </w:rPr>
        <w:t>ch.</w:t>
      </w:r>
      <w:proofErr w:type="spellEnd"/>
      <w:r w:rsidRPr="0053520F">
        <w:rPr>
          <w:rFonts w:ascii="Times New Roman" w:hAnsi="Times New Roman" w:cs="Times New Roman"/>
          <w:sz w:val="20"/>
          <w:szCs w:val="20"/>
        </w:rPr>
        <w:t xml:space="preserve"> 1 and Debo, </w:t>
      </w:r>
      <w:r w:rsidRPr="0053520F">
        <w:rPr>
          <w:rFonts w:ascii="Times New Roman" w:hAnsi="Times New Roman" w:cs="Times New Roman"/>
          <w:i/>
          <w:sz w:val="20"/>
          <w:szCs w:val="20"/>
        </w:rPr>
        <w:t>The Road to Disappearance</w:t>
      </w:r>
      <w:r w:rsidRPr="0053520F">
        <w:rPr>
          <w:rFonts w:ascii="Times New Roman" w:hAnsi="Times New Roman" w:cs="Times New Roman"/>
          <w:sz w:val="20"/>
          <w:szCs w:val="20"/>
        </w:rPr>
        <w:t xml:space="preserve">, </w:t>
      </w:r>
      <w:proofErr w:type="spellStart"/>
      <w:r w:rsidRPr="0053520F">
        <w:rPr>
          <w:rFonts w:ascii="Times New Roman" w:hAnsi="Times New Roman" w:cs="Times New Roman"/>
          <w:sz w:val="20"/>
          <w:szCs w:val="20"/>
        </w:rPr>
        <w:t>chs</w:t>
      </w:r>
      <w:proofErr w:type="spellEnd"/>
      <w:r w:rsidRPr="0053520F">
        <w:rPr>
          <w:rFonts w:ascii="Times New Roman" w:hAnsi="Times New Roman" w:cs="Times New Roman"/>
          <w:sz w:val="20"/>
          <w:szCs w:val="20"/>
        </w:rPr>
        <w:t xml:space="preserve">. 1, 3-4. </w:t>
      </w:r>
    </w:p>
  </w:footnote>
  <w:footnote w:id="72">
    <w:p w14:paraId="4B74295F"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Though it is difficult to find sources on the significance of specific clans in Muscogee social and ceremonial life, several sources attest allusively to the Wind clan’s power and prestige and its importance in Muscogee national politics. For examples, see Debo, </w:t>
      </w:r>
      <w:r w:rsidRPr="0053520F">
        <w:rPr>
          <w:rFonts w:ascii="Times New Roman" w:hAnsi="Times New Roman" w:cs="Times New Roman"/>
          <w:i/>
          <w:sz w:val="20"/>
          <w:szCs w:val="20"/>
        </w:rPr>
        <w:t xml:space="preserve">Road to Disappearance </w:t>
      </w:r>
      <w:r w:rsidRPr="0053520F">
        <w:rPr>
          <w:rFonts w:ascii="Times New Roman" w:hAnsi="Times New Roman" w:cs="Times New Roman"/>
          <w:sz w:val="20"/>
          <w:szCs w:val="20"/>
        </w:rPr>
        <w:t xml:space="preserve">14 and John Walton Caughey, </w:t>
      </w:r>
      <w:r w:rsidRPr="0053520F">
        <w:rPr>
          <w:rFonts w:ascii="Times New Roman" w:hAnsi="Times New Roman" w:cs="Times New Roman"/>
          <w:i/>
          <w:sz w:val="20"/>
          <w:szCs w:val="20"/>
        </w:rPr>
        <w:t>McGillivray of the Creeks</w:t>
      </w:r>
      <w:r w:rsidRPr="0053520F">
        <w:rPr>
          <w:rFonts w:ascii="Times New Roman" w:hAnsi="Times New Roman" w:cs="Times New Roman"/>
          <w:sz w:val="20"/>
          <w:szCs w:val="20"/>
        </w:rPr>
        <w:t xml:space="preserve">, University of Oklahoma Press, 1938, 8.  </w:t>
      </w:r>
    </w:p>
  </w:footnote>
  <w:footnote w:id="73">
    <w:p w14:paraId="42640B50"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Louis </w:t>
      </w:r>
      <w:proofErr w:type="spellStart"/>
      <w:r w:rsidRPr="0053520F">
        <w:rPr>
          <w:rFonts w:ascii="Times New Roman" w:hAnsi="Times New Roman" w:cs="Times New Roman"/>
          <w:sz w:val="20"/>
          <w:szCs w:val="20"/>
        </w:rPr>
        <w:t>Littlecoon</w:t>
      </w:r>
      <w:proofErr w:type="spellEnd"/>
      <w:r w:rsidRPr="0053520F">
        <w:rPr>
          <w:rFonts w:ascii="Times New Roman" w:hAnsi="Times New Roman" w:cs="Times New Roman"/>
          <w:sz w:val="20"/>
          <w:szCs w:val="20"/>
        </w:rPr>
        <w:t xml:space="preserve"> Oliver (1904-1991) was also known by his Muscogee name </w:t>
      </w:r>
      <w:proofErr w:type="spellStart"/>
      <w:r w:rsidRPr="0053520F">
        <w:rPr>
          <w:rFonts w:ascii="Times New Roman" w:hAnsi="Times New Roman" w:cs="Times New Roman"/>
          <w:sz w:val="20"/>
          <w:szCs w:val="20"/>
        </w:rPr>
        <w:t>Wotkoce</w:t>
      </w:r>
      <w:proofErr w:type="spellEnd"/>
      <w:r w:rsidRPr="0053520F">
        <w:rPr>
          <w:rFonts w:ascii="Times New Roman" w:hAnsi="Times New Roman" w:cs="Times New Roman"/>
          <w:sz w:val="20"/>
          <w:szCs w:val="20"/>
        </w:rPr>
        <w:t xml:space="preserve"> or </w:t>
      </w:r>
      <w:proofErr w:type="spellStart"/>
      <w:r w:rsidRPr="0053520F">
        <w:rPr>
          <w:rFonts w:ascii="Times New Roman" w:hAnsi="Times New Roman" w:cs="Times New Roman"/>
          <w:sz w:val="20"/>
          <w:szCs w:val="20"/>
        </w:rPr>
        <w:t>Wotkoce</w:t>
      </w:r>
      <w:proofErr w:type="spellEnd"/>
      <w:r w:rsidRPr="0053520F">
        <w:rPr>
          <w:rFonts w:ascii="Times New Roman" w:hAnsi="Times New Roman" w:cs="Times New Roman"/>
          <w:sz w:val="20"/>
          <w:szCs w:val="20"/>
        </w:rPr>
        <w:t xml:space="preserve"> </w:t>
      </w:r>
      <w:proofErr w:type="spellStart"/>
      <w:r w:rsidRPr="0053520F">
        <w:rPr>
          <w:rFonts w:ascii="Times New Roman" w:hAnsi="Times New Roman" w:cs="Times New Roman"/>
          <w:sz w:val="20"/>
          <w:szCs w:val="20"/>
        </w:rPr>
        <w:t>Okisce</w:t>
      </w:r>
      <w:proofErr w:type="spellEnd"/>
      <w:r w:rsidRPr="0053520F">
        <w:rPr>
          <w:rFonts w:ascii="Times New Roman" w:hAnsi="Times New Roman" w:cs="Times New Roman"/>
          <w:sz w:val="20"/>
          <w:szCs w:val="20"/>
        </w:rPr>
        <w:t>. Like Posey and other influential Muscogee thinkers and writers like Acee Blue Eagle and Thomas E. Moore, Oliver was an alumnus of Bacone Indian University, graduating in 1926.</w:t>
      </w:r>
    </w:p>
  </w:footnote>
  <w:footnote w:id="74">
    <w:p w14:paraId="1312C1D3"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See Matthew Sivils’s introduction to the </w:t>
      </w:r>
      <w:proofErr w:type="spellStart"/>
      <w:r w:rsidRPr="0053520F">
        <w:rPr>
          <w:rFonts w:ascii="Times New Roman" w:hAnsi="Times New Roman" w:cs="Times New Roman"/>
          <w:sz w:val="20"/>
          <w:szCs w:val="20"/>
        </w:rPr>
        <w:t>Chinnubbie</w:t>
      </w:r>
      <w:proofErr w:type="spellEnd"/>
      <w:r w:rsidRPr="0053520F">
        <w:rPr>
          <w:rFonts w:ascii="Times New Roman" w:hAnsi="Times New Roman" w:cs="Times New Roman"/>
          <w:sz w:val="20"/>
          <w:szCs w:val="20"/>
        </w:rPr>
        <w:t xml:space="preserve"> stories and Posey’s other extant short fiction: Posey, </w:t>
      </w:r>
      <w:proofErr w:type="spellStart"/>
      <w:r w:rsidRPr="0053520F">
        <w:rPr>
          <w:rFonts w:ascii="Times New Roman" w:hAnsi="Times New Roman" w:cs="Times New Roman"/>
          <w:i/>
          <w:sz w:val="20"/>
          <w:szCs w:val="20"/>
        </w:rPr>
        <w:t>Chinnubbie</w:t>
      </w:r>
      <w:proofErr w:type="spellEnd"/>
      <w:r w:rsidRPr="0053520F">
        <w:rPr>
          <w:rFonts w:ascii="Times New Roman" w:hAnsi="Times New Roman" w:cs="Times New Roman"/>
          <w:sz w:val="20"/>
          <w:szCs w:val="20"/>
        </w:rPr>
        <w:t xml:space="preserve">, 27-34. </w:t>
      </w:r>
    </w:p>
  </w:footnote>
  <w:footnote w:id="75">
    <w:p w14:paraId="51A27340"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John P. LaValle, “The General Allotment Act "Eligibility" Hoax: Distortions of Law, Policy, and History in Derogation of Indian Tribes,” </w:t>
      </w:r>
      <w:proofErr w:type="spellStart"/>
      <w:r w:rsidRPr="0053520F">
        <w:rPr>
          <w:rFonts w:ascii="Times New Roman" w:hAnsi="Times New Roman" w:cs="Times New Roman"/>
          <w:i/>
          <w:sz w:val="20"/>
          <w:szCs w:val="20"/>
        </w:rPr>
        <w:t>Wicazo</w:t>
      </w:r>
      <w:proofErr w:type="spellEnd"/>
      <w:r w:rsidRPr="0053520F">
        <w:rPr>
          <w:rFonts w:ascii="Times New Roman" w:hAnsi="Times New Roman" w:cs="Times New Roman"/>
          <w:i/>
          <w:sz w:val="20"/>
          <w:szCs w:val="20"/>
        </w:rPr>
        <w:t xml:space="preserve"> Sa Review</w:t>
      </w:r>
      <w:r w:rsidRPr="0053520F">
        <w:rPr>
          <w:rFonts w:ascii="Times New Roman" w:hAnsi="Times New Roman" w:cs="Times New Roman"/>
          <w:sz w:val="20"/>
          <w:szCs w:val="20"/>
        </w:rPr>
        <w:t xml:space="preserve">, </w:t>
      </w:r>
      <w:r w:rsidRPr="0053520F">
        <w:rPr>
          <w:rFonts w:ascii="Times New Roman" w:hAnsi="Times New Roman" w:cs="Times New Roman"/>
          <w:color w:val="343332"/>
          <w:sz w:val="20"/>
          <w:szCs w:val="20"/>
        </w:rPr>
        <w:t>14.1, Indigenous Resistance and Persistence (Spring, 1999): 251-302.</w:t>
      </w:r>
    </w:p>
  </w:footnote>
  <w:footnote w:id="76">
    <w:p w14:paraId="602C2F8C"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The “Five Tribes,” or the “Five Civilized Tribes,” refers to the five southeastern Native nations that were considered by non-Natives to be the most “civilized” Indigenous peoples based on their adoption of Western forms of agriculture, government, education, and lifestyle. The “Five Tribes” include the Cherokees, Muscogees, Choctaws, Chickasaws, and Seminoles. Due to the location of their traditional homelands in what is today considered the U.S. South, these peoples frequently encountered European and American governments and settlers beginning in the fifteenth century and developed close economic and diplomatic ties with many colonial cultures. Over the course of centuries, intermarriage between Native and non-Native peoples strengthened these ties. Beginning in the nineteenth century, the southeastern peoples were among the first Native nations to adopt constitutional governments and American agricultural techniques, such as homestead farming and chattel slavery, in response to increasingly strident calls for their removal from their homelands. As discussed in Chapter 2, Americans masked their lust for Indigenous lands underneath the contradictory rhetoric of civilization that simultaneously worried that Natives’ proximity to white culture would debase their “purer” society and disparaged Natives for “wasting” land that whites considered profitable for growing. Advocates for Native rights such as Elias Boudinot could respond to such arguments by pointing to the Cherokees’ and other southeastern nations’ “civilized” practices. As this history makes clear, the non-Native designation “Five Civilized Tribes” problematically encodes racist, hierarchical notions of civilization.</w:t>
      </w:r>
    </w:p>
  </w:footnote>
  <w:footnote w:id="77">
    <w:p w14:paraId="1A28EAC6"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A full treatment of the politics of allotment and statehood is beyond the scope of this chapter. For detailed accounts of these processes and the Native and non-Native political actors who shaped their outcomes, see Debo, </w:t>
      </w:r>
      <w:r w:rsidRPr="0053520F">
        <w:rPr>
          <w:rFonts w:ascii="Times New Roman" w:hAnsi="Times New Roman" w:cs="Times New Roman"/>
          <w:i/>
          <w:sz w:val="20"/>
          <w:szCs w:val="20"/>
        </w:rPr>
        <w:t>The Road to Disappearance</w:t>
      </w:r>
      <w:r w:rsidRPr="0053520F">
        <w:rPr>
          <w:rFonts w:ascii="Times New Roman" w:hAnsi="Times New Roman" w:cs="Times New Roman"/>
          <w:sz w:val="20"/>
          <w:szCs w:val="20"/>
        </w:rPr>
        <w:t xml:space="preserve"> and </w:t>
      </w:r>
      <w:r w:rsidRPr="0053520F">
        <w:rPr>
          <w:rFonts w:ascii="Times New Roman" w:hAnsi="Times New Roman" w:cs="Times New Roman"/>
          <w:i/>
          <w:sz w:val="20"/>
          <w:szCs w:val="20"/>
        </w:rPr>
        <w:t>Still the Waters Run: The Betrayal of the Five Civilized Tribes</w:t>
      </w:r>
      <w:r w:rsidRPr="0053520F">
        <w:rPr>
          <w:rFonts w:ascii="Times New Roman" w:hAnsi="Times New Roman" w:cs="Times New Roman"/>
          <w:sz w:val="20"/>
          <w:szCs w:val="20"/>
        </w:rPr>
        <w:t xml:space="preserve">, Princeton UP, 1968; Ellinghaus, </w:t>
      </w:r>
      <w:r w:rsidRPr="0053520F">
        <w:rPr>
          <w:rFonts w:ascii="Times New Roman" w:hAnsi="Times New Roman" w:cs="Times New Roman"/>
          <w:i/>
          <w:sz w:val="20"/>
          <w:szCs w:val="20"/>
        </w:rPr>
        <w:t>Blood Will Tell</w:t>
      </w:r>
      <w:r w:rsidRPr="0053520F">
        <w:rPr>
          <w:rFonts w:ascii="Times New Roman" w:hAnsi="Times New Roman" w:cs="Times New Roman"/>
          <w:sz w:val="20"/>
          <w:szCs w:val="20"/>
        </w:rPr>
        <w:t xml:space="preserve">; Littlefield, </w:t>
      </w:r>
      <w:r w:rsidRPr="0053520F">
        <w:rPr>
          <w:rFonts w:ascii="Times New Roman" w:hAnsi="Times New Roman" w:cs="Times New Roman"/>
          <w:i/>
          <w:sz w:val="20"/>
          <w:szCs w:val="20"/>
        </w:rPr>
        <w:t xml:space="preserve">Alex Posey </w:t>
      </w:r>
      <w:r w:rsidRPr="0053520F">
        <w:rPr>
          <w:rFonts w:ascii="Times New Roman" w:hAnsi="Times New Roman" w:cs="Times New Roman"/>
          <w:sz w:val="20"/>
          <w:szCs w:val="20"/>
        </w:rPr>
        <w:t xml:space="preserve">and </w:t>
      </w:r>
      <w:r w:rsidRPr="0053520F">
        <w:rPr>
          <w:rFonts w:ascii="Times New Roman" w:hAnsi="Times New Roman" w:cs="Times New Roman"/>
          <w:i/>
          <w:sz w:val="20"/>
          <w:szCs w:val="20"/>
        </w:rPr>
        <w:t>The Fus Fixico Letters</w:t>
      </w:r>
      <w:r w:rsidRPr="0053520F">
        <w:rPr>
          <w:rFonts w:ascii="Times New Roman" w:hAnsi="Times New Roman" w:cs="Times New Roman"/>
          <w:sz w:val="20"/>
          <w:szCs w:val="20"/>
        </w:rPr>
        <w:t xml:space="preserve">; </w:t>
      </w:r>
      <w:proofErr w:type="spellStart"/>
      <w:r w:rsidRPr="0053520F">
        <w:rPr>
          <w:rFonts w:ascii="Times New Roman" w:hAnsi="Times New Roman" w:cs="Times New Roman"/>
          <w:sz w:val="20"/>
          <w:szCs w:val="20"/>
        </w:rPr>
        <w:t>McLouglin</w:t>
      </w:r>
      <w:proofErr w:type="spellEnd"/>
      <w:r w:rsidRPr="0053520F">
        <w:rPr>
          <w:rFonts w:ascii="Times New Roman" w:hAnsi="Times New Roman" w:cs="Times New Roman"/>
          <w:sz w:val="20"/>
          <w:szCs w:val="20"/>
        </w:rPr>
        <w:t xml:space="preserve">, </w:t>
      </w:r>
      <w:r w:rsidRPr="0053520F">
        <w:rPr>
          <w:rFonts w:ascii="Times New Roman" w:hAnsi="Times New Roman" w:cs="Times New Roman"/>
          <w:i/>
          <w:sz w:val="20"/>
          <w:szCs w:val="20"/>
        </w:rPr>
        <w:t>After the Trail of Tears</w:t>
      </w:r>
      <w:r w:rsidRPr="0053520F">
        <w:rPr>
          <w:rFonts w:ascii="Times New Roman" w:hAnsi="Times New Roman" w:cs="Times New Roman"/>
          <w:sz w:val="20"/>
          <w:szCs w:val="20"/>
        </w:rPr>
        <w:t xml:space="preserve">; and Stremlau, </w:t>
      </w:r>
      <w:r w:rsidRPr="0053520F">
        <w:rPr>
          <w:rFonts w:ascii="Times New Roman" w:hAnsi="Times New Roman" w:cs="Times New Roman"/>
          <w:i/>
          <w:sz w:val="20"/>
          <w:szCs w:val="20"/>
        </w:rPr>
        <w:t>Sustaining the Cherokee Family</w:t>
      </w:r>
      <w:r w:rsidRPr="0053520F">
        <w:rPr>
          <w:rFonts w:ascii="Times New Roman" w:hAnsi="Times New Roman" w:cs="Times New Roman"/>
          <w:sz w:val="20"/>
          <w:szCs w:val="20"/>
        </w:rPr>
        <w:t xml:space="preserve">. </w:t>
      </w:r>
    </w:p>
  </w:footnote>
  <w:footnote w:id="78">
    <w:p w14:paraId="2EC36A66"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It is unclear why Posey switched positions on the statehood question. Littlefield suggests that Posey may have doubted the viability of an independent state initiative because he believed the tribal governments of Indian Territory to be inefficient. Impressed by Chief McCurtain’s political competency, Posey was convinced. However, Littlefield also suggests that Posey may have simply been swayed to whatever position he felt the most politically popular (153-5). </w:t>
      </w:r>
    </w:p>
  </w:footnote>
  <w:footnote w:id="79">
    <w:p w14:paraId="19D594F0"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This is only part of the picture. As Pamela Innes explains, non-Native scholars’ descriptions of binary, gendered social roles in Muscogee society is only partially accurate and does not capture the complexity of Native social, political, or ceremonial practice (235). Boundaries between gender roles often blurred, and these categories became even more complex as Muscogee society adapted allotment and statehood through the nineteenth and twentieth centuries. See Innes, particularly 233-35.</w:t>
      </w:r>
    </w:p>
  </w:footnote>
  <w:footnote w:id="80">
    <w:p w14:paraId="31BF7269"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As Rose Stremlau points out, the gendered division of labor within many Native societies led nineteenth-century non-Native observers to decry Native men as lazy and Native women as drudges. Assimilation discourse was partly fueled by these mischaracterizations. Advocates believed that the institution of private land ownership would instill work ethic in Native men and allow Native women to turn their attention more fully to what white Americans perceived to be the domestic labor of women, keeping house and raising children. However, the Muscogees, like many other southeastern nations, observed complex sustenance and ceremonial practices that caused the need for labor to shift throughout the year. Thus, it was not uncommon for Native women to farm while, to non-Native spectators, men appeared to do no labor whatsoever when, in reality, the labor assigned to men occurred elsewhere at a different time. See Stremlau, 77. </w:t>
      </w:r>
    </w:p>
  </w:footnote>
  <w:footnote w:id="81">
    <w:p w14:paraId="1894FAF7"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A further interesting detail here is Fus’s note that “the wind was from the south.” In an undated poem entitled “To </w:t>
      </w:r>
      <w:proofErr w:type="spellStart"/>
      <w:r w:rsidRPr="0053520F">
        <w:rPr>
          <w:rFonts w:ascii="Times New Roman" w:hAnsi="Times New Roman" w:cs="Times New Roman"/>
          <w:sz w:val="20"/>
          <w:szCs w:val="20"/>
        </w:rPr>
        <w:t>Wahilla</w:t>
      </w:r>
      <w:proofErr w:type="spellEnd"/>
      <w:r w:rsidRPr="0053520F">
        <w:rPr>
          <w:rFonts w:ascii="Times New Roman" w:hAnsi="Times New Roman" w:cs="Times New Roman"/>
          <w:sz w:val="20"/>
          <w:szCs w:val="20"/>
        </w:rPr>
        <w:t xml:space="preserve"> </w:t>
      </w:r>
      <w:proofErr w:type="spellStart"/>
      <w:r w:rsidRPr="0053520F">
        <w:rPr>
          <w:rFonts w:ascii="Times New Roman" w:hAnsi="Times New Roman" w:cs="Times New Roman"/>
          <w:sz w:val="20"/>
          <w:szCs w:val="20"/>
        </w:rPr>
        <w:t>Enhotulle</w:t>
      </w:r>
      <w:proofErr w:type="spellEnd"/>
      <w:r w:rsidRPr="0053520F">
        <w:rPr>
          <w:rFonts w:ascii="Times New Roman" w:hAnsi="Times New Roman" w:cs="Times New Roman"/>
          <w:sz w:val="20"/>
          <w:szCs w:val="20"/>
        </w:rPr>
        <w:t xml:space="preserve"> (To the South Wind)” Posey apostrophizes to the south wind, willing it to “take me, Wind, into / Thy confidence, and tell / Me, whispering soft and low, / The secrets of the dell.” In Posey’s poem, the wind can grant the speaker privileged insight into Nature, another kind of community: “The </w:t>
      </w:r>
      <w:proofErr w:type="gramStart"/>
      <w:r w:rsidRPr="0053520F">
        <w:rPr>
          <w:rFonts w:ascii="Times New Roman" w:hAnsi="Times New Roman" w:cs="Times New Roman"/>
          <w:sz w:val="20"/>
          <w:szCs w:val="20"/>
        </w:rPr>
        <w:t>pass-word</w:t>
      </w:r>
      <w:proofErr w:type="gramEnd"/>
      <w:r w:rsidRPr="0053520F">
        <w:rPr>
          <w:rFonts w:ascii="Times New Roman" w:hAnsi="Times New Roman" w:cs="Times New Roman"/>
          <w:sz w:val="20"/>
          <w:szCs w:val="20"/>
        </w:rPr>
        <w:t xml:space="preserve"> of the leaves / Upon the cottonwood; / And let me join them in / Their mystic brotherhood.” Positioned at the beginning of Letter No. 50, the south wind is once more for Posey a sign of connection, conversation, and sharing stories. Posey, </w:t>
      </w:r>
      <w:r w:rsidRPr="0053520F">
        <w:rPr>
          <w:rFonts w:ascii="Times New Roman" w:hAnsi="Times New Roman" w:cs="Times New Roman"/>
          <w:i/>
          <w:sz w:val="20"/>
          <w:szCs w:val="20"/>
        </w:rPr>
        <w:t xml:space="preserve">Song of the </w:t>
      </w:r>
      <w:proofErr w:type="spellStart"/>
      <w:r w:rsidRPr="0053520F">
        <w:rPr>
          <w:rFonts w:ascii="Times New Roman" w:hAnsi="Times New Roman" w:cs="Times New Roman"/>
          <w:i/>
          <w:sz w:val="20"/>
          <w:szCs w:val="20"/>
        </w:rPr>
        <w:t>Oktahutche</w:t>
      </w:r>
      <w:proofErr w:type="spellEnd"/>
      <w:r w:rsidRPr="0053520F">
        <w:rPr>
          <w:rFonts w:ascii="Times New Roman" w:hAnsi="Times New Roman" w:cs="Times New Roman"/>
          <w:i/>
          <w:sz w:val="20"/>
          <w:szCs w:val="20"/>
        </w:rPr>
        <w:t>: Collected Poems</w:t>
      </w:r>
      <w:r w:rsidRPr="0053520F">
        <w:rPr>
          <w:rFonts w:ascii="Times New Roman" w:hAnsi="Times New Roman" w:cs="Times New Roman"/>
          <w:sz w:val="20"/>
          <w:szCs w:val="20"/>
        </w:rPr>
        <w:t xml:space="preserve">, ed. Matthew Wynn Sivils, University of Nebraska Press, 2008, 77-8.  </w:t>
      </w:r>
    </w:p>
  </w:footnote>
  <w:footnote w:id="82">
    <w:p w14:paraId="266CA0E3"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For more on the Sequoyah Convention, see Amos D. Maxwell, "The Sequoyah Convention,” </w:t>
      </w:r>
      <w:r w:rsidRPr="0053520F">
        <w:rPr>
          <w:rFonts w:ascii="Times New Roman" w:hAnsi="Times New Roman" w:cs="Times New Roman"/>
          <w:i/>
          <w:sz w:val="20"/>
          <w:szCs w:val="20"/>
        </w:rPr>
        <w:t>The Chronicles of Oklahoma</w:t>
      </w:r>
      <w:r w:rsidRPr="0053520F">
        <w:rPr>
          <w:rFonts w:ascii="Times New Roman" w:hAnsi="Times New Roman" w:cs="Times New Roman"/>
          <w:sz w:val="20"/>
          <w:szCs w:val="20"/>
        </w:rPr>
        <w:t xml:space="preserve">,  28.2 (1950), 161-92, and Maxwell, “The Sequoyah Convention, Part II,” </w:t>
      </w:r>
      <w:r w:rsidRPr="0053520F">
        <w:rPr>
          <w:rFonts w:ascii="Times New Roman" w:hAnsi="Times New Roman" w:cs="Times New Roman"/>
          <w:i/>
          <w:sz w:val="20"/>
          <w:szCs w:val="20"/>
        </w:rPr>
        <w:t>The Chronicles of Oklahoma</w:t>
      </w:r>
      <w:r w:rsidRPr="0053520F">
        <w:rPr>
          <w:rFonts w:ascii="Times New Roman" w:hAnsi="Times New Roman" w:cs="Times New Roman"/>
          <w:sz w:val="20"/>
          <w:szCs w:val="20"/>
        </w:rPr>
        <w:t xml:space="preserve">,  28.3 (1950), 299-340; Robert L. Tsai, "The Sequoyah Convention: 1905," in </w:t>
      </w:r>
      <w:r w:rsidRPr="0053520F">
        <w:rPr>
          <w:rFonts w:ascii="Times New Roman" w:hAnsi="Times New Roman" w:cs="Times New Roman"/>
          <w:i/>
          <w:sz w:val="20"/>
          <w:szCs w:val="20"/>
        </w:rPr>
        <w:t>America's Forgotten Constitutions</w:t>
      </w:r>
      <w:r w:rsidRPr="0053520F">
        <w:rPr>
          <w:rFonts w:ascii="Times New Roman" w:hAnsi="Times New Roman" w:cs="Times New Roman"/>
          <w:sz w:val="20"/>
          <w:szCs w:val="20"/>
        </w:rPr>
        <w:t xml:space="preserve">, Harvard UP, 2014, 152-84; and Nicholas Rinehart, “Chief Pleasant Porter: Preeminent Mediator of Creek and American Worlds,” 2020, Texas Christian U, Honors Thesis, TCU Digital Repository, </w:t>
      </w:r>
      <w:hyperlink r:id="rId5">
        <w:r w:rsidRPr="0053520F">
          <w:rPr>
            <w:rFonts w:ascii="Times New Roman" w:hAnsi="Times New Roman" w:cs="Times New Roman"/>
            <w:color w:val="1155CC"/>
            <w:sz w:val="20"/>
            <w:szCs w:val="20"/>
            <w:u w:val="single"/>
          </w:rPr>
          <w:t>https://repository.tcu.edu/bitstream/handle/116099117/40246/Rinehart__Nicholas-Honors_Project.pdf?sequence=1&amp;isAllowed=y</w:t>
        </w:r>
      </w:hyperlink>
      <w:r w:rsidRPr="0053520F">
        <w:rPr>
          <w:rFonts w:ascii="Times New Roman" w:hAnsi="Times New Roman" w:cs="Times New Roman"/>
          <w:sz w:val="20"/>
          <w:szCs w:val="20"/>
        </w:rPr>
        <w:t xml:space="preserve">. </w:t>
      </w:r>
    </w:p>
  </w:footnote>
  <w:footnote w:id="83">
    <w:p w14:paraId="3064DF0F" w14:textId="77777777" w:rsidR="00287C65" w:rsidRPr="0053520F" w:rsidRDefault="00287C65" w:rsidP="00287C65">
      <w:pPr>
        <w:rPr>
          <w:rFonts w:ascii="Times New Roman" w:hAnsi="Times New Roman" w:cs="Times New Roman"/>
          <w:color w:val="242424"/>
          <w:sz w:val="20"/>
          <w:szCs w:val="20"/>
          <w:highlight w:val="white"/>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While there is no legal significance in the title of commonwealth versus state, only Virginia, Massachusetts, Pennsylvania, and Kentucky identify themselves as commonwealths in their state constitutions. Anna Price suggests that the framers of those documents chose to call their governments commonwealths to “​[​</w:t>
      </w:r>
      <w:r w:rsidRPr="0053520F">
        <w:rPr>
          <w:rFonts w:ascii="Times New Roman" w:hAnsi="Times New Roman" w:cs="Times New Roman"/>
          <w:color w:val="242424"/>
          <w:sz w:val="20"/>
          <w:szCs w:val="20"/>
          <w:highlight w:val="white"/>
        </w:rPr>
        <w:t xml:space="preserve">highlight] that the states’ governments were intended to serve the well-being of the people.” Unlike these other states’ constitutions, the Sequoyah constitution did not explicitly call itself a commonwealth.  See </w:t>
      </w:r>
      <w:r w:rsidRPr="0053520F">
        <w:rPr>
          <w:rFonts w:ascii="Times New Roman" w:hAnsi="Times New Roman" w:cs="Times New Roman"/>
          <w:sz w:val="20"/>
          <w:szCs w:val="20"/>
        </w:rPr>
        <w:t xml:space="preserve">Price, “What’s in a Name? The Four U.S. States That Are Technically Commonwealths,” </w:t>
      </w:r>
      <w:r w:rsidRPr="0053520F">
        <w:rPr>
          <w:rFonts w:ascii="Times New Roman" w:hAnsi="Times New Roman" w:cs="Times New Roman"/>
          <w:i/>
          <w:sz w:val="20"/>
          <w:szCs w:val="20"/>
        </w:rPr>
        <w:t>In Custodia Legis: Law Librarians of Congress</w:t>
      </w:r>
      <w:r w:rsidRPr="0053520F">
        <w:rPr>
          <w:rFonts w:ascii="Times New Roman" w:hAnsi="Times New Roman" w:cs="Times New Roman"/>
          <w:sz w:val="20"/>
          <w:szCs w:val="20"/>
        </w:rPr>
        <w:t xml:space="preserve">. 23 August 2023, https://blogs.loc.gov/law/2023/08/whats-in-a-name-the-four-u-s-states-that-are-technically-commonwealths/. </w:t>
      </w:r>
    </w:p>
  </w:footnote>
  <w:footnote w:id="84">
    <w:p w14:paraId="28CE1DF0"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It should be noted that, in the same way that Sarah Winnemucca Hopkins’s service to General Howard during the Bannock War cause many Northern Paiutes today to view her as a traitor to her people (Chapter 3), Posey’s service on behalf of the Dawes Commission has tainted his memory among some contemporary Muscogees. As an agent of the Dawes Commission, Posey was directly complicit in the unlawful theft of lands from not only the Muscogees, but from all the nations of Indian Territory. Over the next several decades, allotment proved catastrophic for many, many Native families while U.S. corporations profited from the sale of “surplus” tribal lands and, later, rich oil deposits on many foreclosed allotment parcels. Oh, ok, here it is </w:t>
      </w:r>
    </w:p>
  </w:footnote>
  <w:footnote w:id="85">
    <w:p w14:paraId="065F51B7"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In her article, Autumn Fourkiller describes many Muscogees’ reticence to discuss grave houses. The tribal sources she spoke with who refused to share information with her all noted the sacred nature of the information she sought as well as the history of abuse that has occasioned the sharing of traditional knowledge outside of Indigenous communities: “</w:t>
      </w:r>
      <w:r w:rsidRPr="0053520F">
        <w:rPr>
          <w:rFonts w:ascii="Times New Roman" w:hAnsi="Times New Roman" w:cs="Times New Roman"/>
          <w:color w:val="382C14"/>
          <w:sz w:val="20"/>
          <w:szCs w:val="20"/>
        </w:rPr>
        <w:t>A slew of tribal members, officials, and historians—even those from my own community—were unwilling to speak about this topic. Protecting Native lines of thought is considered incredibly important, especially given the ways being Native was weaponized against communities in the past….They also shared their fears about this article, about the ways words could be twisted, and how Indigenous traditions are often characterized as primitive just because they do not fit into the white, Western model of logic and sourcing.” My inclusion of certain details about these Muscogee practices and beliefs does not intend to portray these practices as primitive but to indicate the ways that Muscogees in Posey’s time and today continue to protect “Native lines of thought” from the pressures of assimilation. GOOD</w:t>
      </w:r>
    </w:p>
  </w:footnote>
  <w:footnote w:id="86">
    <w:p w14:paraId="11CE7E93"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In tracing the origins of this phrase, historian Wolfgang </w:t>
      </w:r>
      <w:proofErr w:type="spellStart"/>
      <w:r w:rsidRPr="0053520F">
        <w:rPr>
          <w:rFonts w:ascii="Times New Roman" w:hAnsi="Times New Roman" w:cs="Times New Roman"/>
          <w:sz w:val="20"/>
          <w:szCs w:val="20"/>
        </w:rPr>
        <w:t>Meider</w:t>
      </w:r>
      <w:proofErr w:type="spellEnd"/>
      <w:r w:rsidRPr="0053520F">
        <w:rPr>
          <w:rFonts w:ascii="Times New Roman" w:hAnsi="Times New Roman" w:cs="Times New Roman"/>
          <w:sz w:val="20"/>
          <w:szCs w:val="20"/>
        </w:rPr>
        <w:t xml:space="preserve"> casts doubt that it originated with Sheridan. </w:t>
      </w:r>
      <w:proofErr w:type="spellStart"/>
      <w:r w:rsidRPr="0053520F">
        <w:rPr>
          <w:rFonts w:ascii="Times New Roman" w:hAnsi="Times New Roman" w:cs="Times New Roman"/>
          <w:sz w:val="20"/>
          <w:szCs w:val="20"/>
        </w:rPr>
        <w:t>Meider</w:t>
      </w:r>
      <w:proofErr w:type="spellEnd"/>
      <w:r w:rsidRPr="0053520F">
        <w:rPr>
          <w:rFonts w:ascii="Times New Roman" w:hAnsi="Times New Roman" w:cs="Times New Roman"/>
          <w:sz w:val="20"/>
          <w:szCs w:val="20"/>
        </w:rPr>
        <w:t xml:space="preserve"> shows how, though the phrase was widely attributed to Sheridan in the nineteenth and twentieth centuries, it may have started as a misquotation or rumor. Regardless of whether or not Sheridan said it, </w:t>
      </w:r>
      <w:proofErr w:type="spellStart"/>
      <w:r w:rsidRPr="0053520F">
        <w:rPr>
          <w:rFonts w:ascii="Times New Roman" w:hAnsi="Times New Roman" w:cs="Times New Roman"/>
          <w:sz w:val="20"/>
          <w:szCs w:val="20"/>
        </w:rPr>
        <w:t>Meider</w:t>
      </w:r>
      <w:proofErr w:type="spellEnd"/>
      <w:r w:rsidRPr="0053520F">
        <w:rPr>
          <w:rFonts w:ascii="Times New Roman" w:hAnsi="Times New Roman" w:cs="Times New Roman"/>
          <w:sz w:val="20"/>
          <w:szCs w:val="20"/>
        </w:rPr>
        <w:t xml:space="preserve"> shows that the epigram circulated widely through the nineteenth century in various forms and became irrevocably attached to Sheridan’s name. See </w:t>
      </w:r>
      <w:proofErr w:type="spellStart"/>
      <w:r w:rsidRPr="0053520F">
        <w:rPr>
          <w:rFonts w:ascii="Times New Roman" w:hAnsi="Times New Roman" w:cs="Times New Roman"/>
          <w:sz w:val="20"/>
          <w:szCs w:val="20"/>
        </w:rPr>
        <w:t>Meider</w:t>
      </w:r>
      <w:proofErr w:type="spellEnd"/>
      <w:r w:rsidRPr="0053520F">
        <w:rPr>
          <w:rFonts w:ascii="Times New Roman" w:hAnsi="Times New Roman" w:cs="Times New Roman"/>
          <w:sz w:val="20"/>
          <w:szCs w:val="20"/>
        </w:rPr>
        <w:t xml:space="preserve">, ‘“The Only Good Indian is a Dead Indian”: History and Meaning of a Proverbial Stereotype,”  </w:t>
      </w:r>
      <w:r w:rsidRPr="0053520F">
        <w:rPr>
          <w:rFonts w:ascii="Times New Roman" w:hAnsi="Times New Roman" w:cs="Times New Roman"/>
          <w:i/>
          <w:sz w:val="20"/>
          <w:szCs w:val="20"/>
        </w:rPr>
        <w:t xml:space="preserve">Journal of American Folklore </w:t>
      </w:r>
      <w:r w:rsidRPr="0053520F">
        <w:rPr>
          <w:rFonts w:ascii="Times New Roman" w:hAnsi="Times New Roman" w:cs="Times New Roman"/>
          <w:sz w:val="20"/>
          <w:szCs w:val="20"/>
        </w:rPr>
        <w:t>106 (1993): 38-60.</w:t>
      </w:r>
    </w:p>
  </w:footnote>
  <w:footnote w:id="87">
    <w:p w14:paraId="39DA7D82" w14:textId="77777777" w:rsidR="00287C65" w:rsidRPr="0053520F" w:rsidRDefault="00287C65" w:rsidP="00287C65">
      <w:pPr>
        <w:pStyle w:val="FootnoteText"/>
      </w:pPr>
      <w:r w:rsidRPr="0053520F">
        <w:rPr>
          <w:rStyle w:val="FootnoteReference"/>
        </w:rPr>
        <w:footnoteRef/>
      </w:r>
      <w:r w:rsidRPr="0053520F">
        <w:t xml:space="preserve"> </w:t>
      </w:r>
      <w:r w:rsidRPr="0053520F">
        <w:rPr>
          <w:rFonts w:eastAsia="Times New Roman"/>
        </w:rPr>
        <w:t xml:space="preserve">Littlefield calls him “the greatest Indian humorist before Will Rogers” (164). </w:t>
      </w:r>
    </w:p>
  </w:footnote>
  <w:footnote w:id="88">
    <w:p w14:paraId="0E0DAF3C"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Gavin Jones provides summaries of Johnson’s, Jones’s, Baker’s, and Gates’s critiques in </w:t>
      </w:r>
      <w:r w:rsidRPr="0053520F">
        <w:rPr>
          <w:rFonts w:ascii="Times New Roman" w:hAnsi="Times New Roman" w:cs="Times New Roman"/>
          <w:i/>
          <w:sz w:val="20"/>
          <w:szCs w:val="20"/>
        </w:rPr>
        <w:t>Strange Talk</w:t>
      </w:r>
      <w:r w:rsidRPr="0053520F">
        <w:rPr>
          <w:rFonts w:ascii="Times New Roman" w:hAnsi="Times New Roman" w:cs="Times New Roman"/>
          <w:sz w:val="20"/>
          <w:szCs w:val="20"/>
        </w:rPr>
        <w:t xml:space="preserve">, 183-4. </w:t>
      </w:r>
    </w:p>
  </w:footnote>
  <w:footnote w:id="89">
    <w:p w14:paraId="3E083D74" w14:textId="77777777" w:rsidR="00287C65" w:rsidRPr="0053520F" w:rsidRDefault="00287C65" w:rsidP="00287C65">
      <w:pPr>
        <w:rPr>
          <w:rFonts w:ascii="Times New Roman" w:hAnsi="Times New Roman" w:cs="Times New Roman"/>
          <w:color w:val="282828"/>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w:t>
      </w:r>
      <w:r w:rsidRPr="0053520F">
        <w:rPr>
          <w:rFonts w:ascii="Times New Roman" w:hAnsi="Times New Roman" w:cs="Times New Roman"/>
          <w:color w:val="282828"/>
          <w:sz w:val="20"/>
          <w:szCs w:val="20"/>
        </w:rPr>
        <w:t xml:space="preserve">Jarrett also points out that Howells’s review, which became the preface for Dunbar’s next poetry collection </w:t>
      </w:r>
      <w:r w:rsidRPr="0053520F">
        <w:rPr>
          <w:rFonts w:ascii="Times New Roman" w:hAnsi="Times New Roman" w:cs="Times New Roman"/>
          <w:i/>
          <w:color w:val="282828"/>
          <w:sz w:val="20"/>
          <w:szCs w:val="20"/>
        </w:rPr>
        <w:t xml:space="preserve">Lyrics of Lowly Life </w:t>
      </w:r>
      <w:r w:rsidRPr="0053520F">
        <w:rPr>
          <w:rFonts w:ascii="Times New Roman" w:hAnsi="Times New Roman" w:cs="Times New Roman"/>
          <w:color w:val="282828"/>
          <w:sz w:val="20"/>
          <w:szCs w:val="20"/>
        </w:rPr>
        <w:t xml:space="preserve">(1896) “did for Dunbar what various prefatory or concluding letters, signatures, guarantees, and/or tales had done for ex-slave authors: to authenticate a “newfound black voice”’ (“Entirely Black Verse,” 522). Like the more demeaning forms of minstrelsy, minstrel realism propounded a sense of Black life wholly defined by Black authors’ alleged proximity to white ideas of Black culture. This similarity further aligns Howells’s “minstrel realism” with the white gaze of the enchantment/tragedy dialectic.   </w:t>
      </w:r>
    </w:p>
    <w:p w14:paraId="5D2A6EDE" w14:textId="77777777" w:rsidR="00287C65" w:rsidRPr="0053520F" w:rsidRDefault="00287C65" w:rsidP="00287C65">
      <w:pPr>
        <w:rPr>
          <w:rFonts w:ascii="Times New Roman" w:hAnsi="Times New Roman" w:cs="Times New Roman"/>
          <w:color w:val="282828"/>
          <w:sz w:val="20"/>
          <w:szCs w:val="20"/>
        </w:rPr>
      </w:pPr>
    </w:p>
    <w:p w14:paraId="3FEC31C9" w14:textId="77777777" w:rsidR="00287C65" w:rsidRPr="0053520F" w:rsidRDefault="00287C65" w:rsidP="00287C65">
      <w:pPr>
        <w:rPr>
          <w:rFonts w:ascii="Times New Roman" w:hAnsi="Times New Roman" w:cs="Times New Roman"/>
          <w:sz w:val="20"/>
          <w:szCs w:val="20"/>
        </w:rPr>
      </w:pPr>
    </w:p>
  </w:footnote>
  <w:footnote w:id="90">
    <w:p w14:paraId="633EBE84"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I take Gene Jarrett’s point that we should be careful not to racialize Dunbar’s poetry too quickly. Many of his poems contain no clue or reason for readers to assign Blackness to their speakers, except of course our awareness of Dunbar’s race. Unless a poem is explicitly about race, then, we do Dunbar a disservice by making him speak to racial matters as if nothing else inspired him to write. However, “We Wear the Mask” is so widely understood as a credo of subversive Black art that it seems actually more harmful to opt for the narrower interpretation. It is, of course, possible that the speaker of the poem describes only their own private agony which must be hidden beneath a carefree veneer and there is something to be said about privileging this personal experience above the racial one. </w:t>
      </w:r>
    </w:p>
  </w:footnote>
  <w:footnote w:id="91">
    <w:p w14:paraId="791FA744" w14:textId="77777777" w:rsidR="00287C65" w:rsidRPr="0053520F" w:rsidRDefault="00287C65" w:rsidP="00287C65">
      <w:pPr>
        <w:rPr>
          <w:rFonts w:ascii="Times New Roman" w:hAnsi="Times New Roman" w:cs="Times New Roman"/>
          <w:sz w:val="20"/>
          <w:szCs w:val="20"/>
        </w:rPr>
      </w:pPr>
      <w:r w:rsidRPr="0053520F">
        <w:rPr>
          <w:rFonts w:ascii="Times New Roman" w:hAnsi="Times New Roman" w:cs="Times New Roman"/>
          <w:sz w:val="20"/>
          <w:szCs w:val="20"/>
          <w:vertAlign w:val="superscript"/>
        </w:rPr>
        <w:footnoteRef/>
      </w:r>
      <w:r w:rsidRPr="0053520F">
        <w:rPr>
          <w:rFonts w:ascii="Times New Roman" w:hAnsi="Times New Roman" w:cs="Times New Roman"/>
          <w:sz w:val="20"/>
          <w:szCs w:val="20"/>
        </w:rPr>
        <w:t xml:space="preserve"> This despite the fact that Dunbar himself was not from the South.</w:t>
      </w:r>
    </w:p>
  </w:footnote>
  <w:footnote w:id="92">
    <w:p w14:paraId="4E60C953" w14:textId="77777777" w:rsidR="00287C65" w:rsidRPr="0053520F" w:rsidRDefault="00287C65" w:rsidP="00287C65">
      <w:pPr>
        <w:pStyle w:val="FootnoteText"/>
      </w:pPr>
      <w:r w:rsidRPr="0053520F">
        <w:rPr>
          <w:rStyle w:val="FootnoteReference"/>
        </w:rPr>
        <w:footnoteRef/>
      </w:r>
      <w:r w:rsidRPr="0053520F">
        <w:t xml:space="preserve"> The speaker’s imagery in this scene intentionally references blackface minstrelsy, as I explain in more detail below.</w:t>
      </w:r>
    </w:p>
  </w:footnote>
  <w:footnote w:id="93">
    <w:p w14:paraId="72184519" w14:textId="77777777" w:rsidR="00287C65" w:rsidRPr="0053520F" w:rsidRDefault="00287C65" w:rsidP="00287C65">
      <w:pPr>
        <w:pStyle w:val="FootnoteText"/>
      </w:pPr>
      <w:r w:rsidRPr="0053520F">
        <w:rPr>
          <w:rStyle w:val="FootnoteReference"/>
        </w:rPr>
        <w:footnoteRef/>
      </w:r>
      <w:r w:rsidRPr="0053520F">
        <w:t xml:space="preserve"> Alexander does not identify her poet friend for 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6403156"/>
      <w:docPartObj>
        <w:docPartGallery w:val="Page Numbers (Top of Page)"/>
        <w:docPartUnique/>
      </w:docPartObj>
    </w:sdtPr>
    <w:sdtContent>
      <w:p w14:paraId="2D1D93A5" w14:textId="77777777" w:rsidR="00AF1014" w:rsidRDefault="00AF1014" w:rsidP="00AF1014">
        <w:pPr>
          <w:pStyle w:val="Head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ii</w:t>
        </w:r>
        <w:r>
          <w:rPr>
            <w:rFonts w:ascii="Times New Roman" w:hAnsi="Times New Roman" w:cs="Times New Roman"/>
            <w:noProof/>
          </w:rPr>
          <w:fldChar w:fldCharType="end"/>
        </w:r>
      </w:p>
    </w:sdtContent>
  </w:sdt>
  <w:p w14:paraId="62B5ED97" w14:textId="77777777" w:rsidR="00AF1014" w:rsidRDefault="00AF1014" w:rsidP="00AF1014">
    <w:pPr>
      <w:spacing w:line="33" w:lineRule="auto"/>
      <w:jc w:val="center"/>
    </w:pPr>
  </w:p>
  <w:p w14:paraId="388856EC" w14:textId="77777777" w:rsidR="00AF1014" w:rsidRDefault="00AF10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8109007"/>
      <w:docPartObj>
        <w:docPartGallery w:val="Page Numbers (Top of Page)"/>
        <w:docPartUnique/>
      </w:docPartObj>
    </w:sdtPr>
    <w:sdtEndPr>
      <w:rPr>
        <w:rFonts w:ascii="Times New Roman" w:hAnsi="Times New Roman" w:cs="Times New Roman"/>
        <w:noProof/>
      </w:rPr>
    </w:sdtEndPr>
    <w:sdtContent>
      <w:p w14:paraId="70AAD47A" w14:textId="597991F2" w:rsidR="00274B3F" w:rsidRPr="00274B3F" w:rsidRDefault="00274B3F">
        <w:pPr>
          <w:pStyle w:val="Header"/>
          <w:jc w:val="right"/>
          <w:rPr>
            <w:rFonts w:ascii="Times New Roman" w:hAnsi="Times New Roman" w:cs="Times New Roman"/>
          </w:rPr>
        </w:pPr>
        <w:r w:rsidRPr="00274B3F">
          <w:rPr>
            <w:rFonts w:ascii="Times New Roman" w:hAnsi="Times New Roman" w:cs="Times New Roman"/>
          </w:rPr>
          <w:fldChar w:fldCharType="begin"/>
        </w:r>
        <w:r w:rsidRPr="00274B3F">
          <w:rPr>
            <w:rFonts w:ascii="Times New Roman" w:hAnsi="Times New Roman" w:cs="Times New Roman"/>
          </w:rPr>
          <w:instrText xml:space="preserve"> PAGE   \* MERGEFORMAT </w:instrText>
        </w:r>
        <w:r w:rsidRPr="00274B3F">
          <w:rPr>
            <w:rFonts w:ascii="Times New Roman" w:hAnsi="Times New Roman" w:cs="Times New Roman"/>
          </w:rPr>
          <w:fldChar w:fldCharType="separate"/>
        </w:r>
        <w:r w:rsidRPr="00274B3F">
          <w:rPr>
            <w:rFonts w:ascii="Times New Roman" w:hAnsi="Times New Roman" w:cs="Times New Roman"/>
            <w:noProof/>
          </w:rPr>
          <w:t>2</w:t>
        </w:r>
        <w:r w:rsidRPr="00274B3F">
          <w:rPr>
            <w:rFonts w:ascii="Times New Roman" w:hAnsi="Times New Roman" w:cs="Times New Roman"/>
            <w:noProof/>
          </w:rPr>
          <w:fldChar w:fldCharType="end"/>
        </w:r>
      </w:p>
    </w:sdtContent>
  </w:sdt>
  <w:p w14:paraId="68A5B4CE" w14:textId="77777777" w:rsidR="00274B3F" w:rsidRDefault="00274B3F">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Coleman, Dawn Davina">
    <w15:presenceInfo w15:providerId="AD" w15:userId="S::dcolema7@utk.edu::b8ac12ed-1007-400e-9fe1-5efa1df84218"/>
  </w15:person>
  <w15:person w15:author="Chiles, Katherine Leigh">
    <w15:presenceInfo w15:providerId="AD" w15:userId="S::kchiles1@utk.edu::a9e8e83b-6bd9-4442-9f51-cb29a91097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014"/>
    <w:rsid w:val="00030D74"/>
    <w:rsid w:val="000D3488"/>
    <w:rsid w:val="0016407A"/>
    <w:rsid w:val="001761F8"/>
    <w:rsid w:val="00186674"/>
    <w:rsid w:val="001D2535"/>
    <w:rsid w:val="001F7F6B"/>
    <w:rsid w:val="0022470F"/>
    <w:rsid w:val="00241A56"/>
    <w:rsid w:val="00242094"/>
    <w:rsid w:val="00250CCA"/>
    <w:rsid w:val="00274B3F"/>
    <w:rsid w:val="00287C65"/>
    <w:rsid w:val="002A5770"/>
    <w:rsid w:val="002B7541"/>
    <w:rsid w:val="002F71FE"/>
    <w:rsid w:val="0030410F"/>
    <w:rsid w:val="003075D5"/>
    <w:rsid w:val="003121C0"/>
    <w:rsid w:val="00334846"/>
    <w:rsid w:val="003425DF"/>
    <w:rsid w:val="00370EA2"/>
    <w:rsid w:val="00394B13"/>
    <w:rsid w:val="003959AC"/>
    <w:rsid w:val="003B02A8"/>
    <w:rsid w:val="003C5022"/>
    <w:rsid w:val="005C7471"/>
    <w:rsid w:val="005D0244"/>
    <w:rsid w:val="005D0AA1"/>
    <w:rsid w:val="005F4002"/>
    <w:rsid w:val="0062097C"/>
    <w:rsid w:val="006215EF"/>
    <w:rsid w:val="006531BC"/>
    <w:rsid w:val="0067114D"/>
    <w:rsid w:val="00693DD9"/>
    <w:rsid w:val="00727029"/>
    <w:rsid w:val="00784426"/>
    <w:rsid w:val="007B3548"/>
    <w:rsid w:val="007C1487"/>
    <w:rsid w:val="00813AAF"/>
    <w:rsid w:val="00865026"/>
    <w:rsid w:val="00866A08"/>
    <w:rsid w:val="008752E7"/>
    <w:rsid w:val="008D31A0"/>
    <w:rsid w:val="009036E5"/>
    <w:rsid w:val="009612A7"/>
    <w:rsid w:val="00982B30"/>
    <w:rsid w:val="009B472C"/>
    <w:rsid w:val="009B5DD6"/>
    <w:rsid w:val="009C0F29"/>
    <w:rsid w:val="009E5931"/>
    <w:rsid w:val="00A6258C"/>
    <w:rsid w:val="00A729F1"/>
    <w:rsid w:val="00A86630"/>
    <w:rsid w:val="00A9455A"/>
    <w:rsid w:val="00AA14DF"/>
    <w:rsid w:val="00AC7D90"/>
    <w:rsid w:val="00AF1014"/>
    <w:rsid w:val="00B162F5"/>
    <w:rsid w:val="00B43522"/>
    <w:rsid w:val="00B518D5"/>
    <w:rsid w:val="00B9580E"/>
    <w:rsid w:val="00BA3724"/>
    <w:rsid w:val="00BC7092"/>
    <w:rsid w:val="00C6045F"/>
    <w:rsid w:val="00C8068E"/>
    <w:rsid w:val="00CB11FC"/>
    <w:rsid w:val="00DA26F0"/>
    <w:rsid w:val="00EA0B0E"/>
    <w:rsid w:val="00F024E3"/>
    <w:rsid w:val="00F11B47"/>
    <w:rsid w:val="00F17833"/>
    <w:rsid w:val="00F25CEF"/>
    <w:rsid w:val="00F65F98"/>
    <w:rsid w:val="00F70CD9"/>
    <w:rsid w:val="00F75DCD"/>
    <w:rsid w:val="00F8213A"/>
    <w:rsid w:val="00F930F0"/>
    <w:rsid w:val="00F94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1652E"/>
  <w15:chartTrackingRefBased/>
  <w15:docId w15:val="{6468B971-8AFC-43BC-A763-239AB9C82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014"/>
    <w:pPr>
      <w:spacing w:after="0" w:line="240" w:lineRule="auto"/>
    </w:pPr>
    <w:rPr>
      <w:rFonts w:ascii="Arial" w:eastAsia="Times New Roman" w:hAnsi="Arial" w:cs="Arial"/>
      <w:kern w:val="0"/>
      <w:sz w:val="24"/>
      <w:szCs w:val="24"/>
      <w14:ligatures w14:val="none"/>
    </w:rPr>
  </w:style>
  <w:style w:type="paragraph" w:styleId="Heading1">
    <w:name w:val="heading 1"/>
    <w:basedOn w:val="Normal"/>
    <w:next w:val="Normal"/>
    <w:link w:val="Heading1Char"/>
    <w:uiPriority w:val="9"/>
    <w:qFormat/>
    <w:rsid w:val="00AF10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F10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10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10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10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10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0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0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0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0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F10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10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10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10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10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0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0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014"/>
    <w:rPr>
      <w:rFonts w:eastAsiaTheme="majorEastAsia" w:cstheme="majorBidi"/>
      <w:color w:val="272727" w:themeColor="text1" w:themeTint="D8"/>
    </w:rPr>
  </w:style>
  <w:style w:type="paragraph" w:styleId="Title">
    <w:name w:val="Title"/>
    <w:basedOn w:val="Normal"/>
    <w:next w:val="Normal"/>
    <w:link w:val="TitleChar"/>
    <w:uiPriority w:val="10"/>
    <w:qFormat/>
    <w:rsid w:val="00AF10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0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0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10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014"/>
    <w:pPr>
      <w:spacing w:before="160"/>
      <w:jc w:val="center"/>
    </w:pPr>
    <w:rPr>
      <w:i/>
      <w:iCs/>
      <w:color w:val="404040" w:themeColor="text1" w:themeTint="BF"/>
    </w:rPr>
  </w:style>
  <w:style w:type="character" w:customStyle="1" w:styleId="QuoteChar">
    <w:name w:val="Quote Char"/>
    <w:basedOn w:val="DefaultParagraphFont"/>
    <w:link w:val="Quote"/>
    <w:uiPriority w:val="29"/>
    <w:rsid w:val="00AF1014"/>
    <w:rPr>
      <w:i/>
      <w:iCs/>
      <w:color w:val="404040" w:themeColor="text1" w:themeTint="BF"/>
    </w:rPr>
  </w:style>
  <w:style w:type="paragraph" w:styleId="ListParagraph">
    <w:name w:val="List Paragraph"/>
    <w:basedOn w:val="Normal"/>
    <w:uiPriority w:val="34"/>
    <w:qFormat/>
    <w:rsid w:val="00AF1014"/>
    <w:pPr>
      <w:ind w:left="720"/>
      <w:contextualSpacing/>
    </w:pPr>
  </w:style>
  <w:style w:type="character" w:styleId="IntenseEmphasis">
    <w:name w:val="Intense Emphasis"/>
    <w:basedOn w:val="DefaultParagraphFont"/>
    <w:uiPriority w:val="21"/>
    <w:qFormat/>
    <w:rsid w:val="00AF1014"/>
    <w:rPr>
      <w:i/>
      <w:iCs/>
      <w:color w:val="0F4761" w:themeColor="accent1" w:themeShade="BF"/>
    </w:rPr>
  </w:style>
  <w:style w:type="paragraph" w:styleId="IntenseQuote">
    <w:name w:val="Intense Quote"/>
    <w:basedOn w:val="Normal"/>
    <w:next w:val="Normal"/>
    <w:link w:val="IntenseQuoteChar"/>
    <w:uiPriority w:val="30"/>
    <w:qFormat/>
    <w:rsid w:val="00AF10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1014"/>
    <w:rPr>
      <w:i/>
      <w:iCs/>
      <w:color w:val="0F4761" w:themeColor="accent1" w:themeShade="BF"/>
    </w:rPr>
  </w:style>
  <w:style w:type="character" w:styleId="IntenseReference">
    <w:name w:val="Intense Reference"/>
    <w:basedOn w:val="DefaultParagraphFont"/>
    <w:uiPriority w:val="32"/>
    <w:qFormat/>
    <w:rsid w:val="00AF1014"/>
    <w:rPr>
      <w:b/>
      <w:bCs/>
      <w:smallCaps/>
      <w:color w:val="0F4761" w:themeColor="accent1" w:themeShade="BF"/>
      <w:spacing w:val="5"/>
    </w:rPr>
  </w:style>
  <w:style w:type="paragraph" w:styleId="Header">
    <w:name w:val="header"/>
    <w:basedOn w:val="Normal"/>
    <w:link w:val="HeaderChar"/>
    <w:uiPriority w:val="99"/>
    <w:unhideWhenUsed/>
    <w:rsid w:val="00AF1014"/>
    <w:pPr>
      <w:tabs>
        <w:tab w:val="center" w:pos="4680"/>
        <w:tab w:val="right" w:pos="9360"/>
      </w:tabs>
    </w:pPr>
  </w:style>
  <w:style w:type="character" w:customStyle="1" w:styleId="HeaderChar">
    <w:name w:val="Header Char"/>
    <w:basedOn w:val="DefaultParagraphFont"/>
    <w:link w:val="Header"/>
    <w:uiPriority w:val="99"/>
    <w:rsid w:val="00AF1014"/>
    <w:rPr>
      <w:rFonts w:ascii="Arial" w:eastAsia="Times New Roman" w:hAnsi="Arial" w:cs="Arial"/>
      <w:kern w:val="0"/>
      <w:sz w:val="24"/>
      <w:szCs w:val="24"/>
      <w14:ligatures w14:val="none"/>
    </w:rPr>
  </w:style>
  <w:style w:type="paragraph" w:styleId="Footer">
    <w:name w:val="footer"/>
    <w:basedOn w:val="Normal"/>
    <w:link w:val="FooterChar"/>
    <w:uiPriority w:val="99"/>
    <w:unhideWhenUsed/>
    <w:rsid w:val="00AF1014"/>
    <w:pPr>
      <w:tabs>
        <w:tab w:val="center" w:pos="4680"/>
        <w:tab w:val="right" w:pos="9360"/>
      </w:tabs>
    </w:pPr>
  </w:style>
  <w:style w:type="character" w:customStyle="1" w:styleId="FooterChar">
    <w:name w:val="Footer Char"/>
    <w:basedOn w:val="DefaultParagraphFont"/>
    <w:link w:val="Footer"/>
    <w:uiPriority w:val="99"/>
    <w:rsid w:val="00AF1014"/>
    <w:rPr>
      <w:rFonts w:ascii="Arial" w:eastAsia="Times New Roman" w:hAnsi="Arial" w:cs="Arial"/>
      <w:kern w:val="0"/>
      <w:sz w:val="24"/>
      <w:szCs w:val="24"/>
      <w14:ligatures w14:val="none"/>
    </w:rPr>
  </w:style>
  <w:style w:type="paragraph" w:styleId="TOCHeading">
    <w:name w:val="TOC Heading"/>
    <w:basedOn w:val="Heading1"/>
    <w:next w:val="Normal"/>
    <w:autoRedefine/>
    <w:uiPriority w:val="39"/>
    <w:unhideWhenUsed/>
    <w:qFormat/>
    <w:rsid w:val="00AF1014"/>
    <w:pPr>
      <w:spacing w:before="240" w:after="0" w:line="256" w:lineRule="auto"/>
      <w:jc w:val="center"/>
      <w:outlineLvl w:val="9"/>
    </w:pPr>
    <w:rPr>
      <w:rFonts w:ascii="Times New Roman" w:eastAsia="Times New Roman" w:hAnsi="Times New Roman" w:cs="Times New Roman"/>
      <w:b/>
      <w:color w:val="auto"/>
      <w:sz w:val="24"/>
      <w:szCs w:val="24"/>
    </w:rPr>
  </w:style>
  <w:style w:type="character" w:styleId="Hyperlink">
    <w:name w:val="Hyperlink"/>
    <w:uiPriority w:val="99"/>
    <w:rsid w:val="00274B3F"/>
    <w:rPr>
      <w:u w:val="single"/>
    </w:rPr>
  </w:style>
  <w:style w:type="paragraph" w:customStyle="1" w:styleId="Body">
    <w:name w:val="Body"/>
    <w:rsid w:val="00274B3F"/>
    <w:pPr>
      <w:pBdr>
        <w:top w:val="nil"/>
        <w:left w:val="nil"/>
        <w:bottom w:val="nil"/>
        <w:right w:val="nil"/>
        <w:between w:val="nil"/>
        <w:bar w:val="nil"/>
      </w:pBdr>
      <w:spacing w:after="0" w:line="276" w:lineRule="auto"/>
    </w:pPr>
    <w:rPr>
      <w:rFonts w:ascii="Arial" w:eastAsia="Arial Unicode MS" w:hAnsi="Arial" w:cs="Arial Unicode MS"/>
      <w:color w:val="000000"/>
      <w:kern w:val="0"/>
      <w:u w:color="000000"/>
      <w:bdr w:val="nil"/>
      <w14:textOutline w14:w="0" w14:cap="flat" w14:cmpd="sng" w14:algn="ctr">
        <w14:noFill/>
        <w14:prstDash w14:val="solid"/>
        <w14:bevel/>
      </w14:textOutline>
      <w14:ligatures w14:val="none"/>
    </w:rPr>
  </w:style>
  <w:style w:type="paragraph" w:customStyle="1" w:styleId="Heading">
    <w:name w:val="Heading"/>
    <w:next w:val="Body"/>
    <w:rsid w:val="00274B3F"/>
    <w:pPr>
      <w:keepNext/>
      <w:keepLines/>
      <w:pBdr>
        <w:top w:val="nil"/>
        <w:left w:val="nil"/>
        <w:bottom w:val="nil"/>
        <w:right w:val="nil"/>
        <w:between w:val="nil"/>
        <w:bar w:val="nil"/>
      </w:pBdr>
      <w:spacing w:before="400" w:after="120" w:line="276" w:lineRule="auto"/>
      <w:outlineLvl w:val="0"/>
    </w:pPr>
    <w:rPr>
      <w:rFonts w:ascii="Arial" w:eastAsia="Arial" w:hAnsi="Arial" w:cs="Arial"/>
      <w:color w:val="000000"/>
      <w:kern w:val="0"/>
      <w:sz w:val="40"/>
      <w:szCs w:val="40"/>
      <w:u w:color="000000"/>
      <w:bdr w:val="nil"/>
      <w14:textOutline w14:w="0" w14:cap="flat" w14:cmpd="sng" w14:algn="ctr">
        <w14:noFill/>
        <w14:prstDash w14:val="solid"/>
        <w14:bevel/>
      </w14:textOutline>
      <w14:ligatures w14:val="none"/>
    </w:rPr>
  </w:style>
  <w:style w:type="character" w:customStyle="1" w:styleId="None">
    <w:name w:val="None"/>
    <w:rsid w:val="00274B3F"/>
  </w:style>
  <w:style w:type="character" w:customStyle="1" w:styleId="Hyperlink0">
    <w:name w:val="Hyperlink.0"/>
    <w:basedOn w:val="None"/>
    <w:rsid w:val="00274B3F"/>
    <w:rPr>
      <w:rFonts w:ascii="Times New Roman" w:eastAsia="Times New Roman" w:hAnsi="Times New Roman" w:cs="Times New Roman"/>
      <w:outline w:val="0"/>
      <w:color w:val="1155CC"/>
      <w:sz w:val="24"/>
      <w:szCs w:val="24"/>
      <w:u w:val="single" w:color="1155CC"/>
      <w:shd w:val="clear" w:color="auto" w:fill="FFFFFF"/>
    </w:rPr>
  </w:style>
  <w:style w:type="character" w:customStyle="1" w:styleId="Hyperlink1">
    <w:name w:val="Hyperlink.1"/>
    <w:basedOn w:val="None"/>
    <w:rsid w:val="00274B3F"/>
    <w:rPr>
      <w:outline w:val="0"/>
      <w:color w:val="1155CC"/>
      <w:u w:val="single"/>
      <w:shd w:val="clear" w:color="auto" w:fill="FFFFFF"/>
    </w:rPr>
  </w:style>
  <w:style w:type="character" w:customStyle="1" w:styleId="Hyperlink2">
    <w:name w:val="Hyperlink.2"/>
    <w:basedOn w:val="None"/>
    <w:rsid w:val="00274B3F"/>
    <w:rPr>
      <w:rFonts w:ascii="Times New Roman" w:eastAsia="Times New Roman" w:hAnsi="Times New Roman" w:cs="Times New Roman"/>
      <w:outline w:val="0"/>
      <w:color w:val="1155CC"/>
      <w:sz w:val="24"/>
      <w:szCs w:val="24"/>
      <w:u w:val="single" w:color="1155CC"/>
    </w:rPr>
  </w:style>
  <w:style w:type="character" w:styleId="CommentReference">
    <w:name w:val="annotation reference"/>
    <w:basedOn w:val="DefaultParagraphFont"/>
    <w:uiPriority w:val="99"/>
    <w:semiHidden/>
    <w:unhideWhenUsed/>
    <w:rsid w:val="00274B3F"/>
    <w:rPr>
      <w:sz w:val="16"/>
      <w:szCs w:val="16"/>
    </w:rPr>
  </w:style>
  <w:style w:type="character" w:customStyle="1" w:styleId="cf01">
    <w:name w:val="cf01"/>
    <w:basedOn w:val="DefaultParagraphFont"/>
    <w:rsid w:val="00274B3F"/>
    <w:rPr>
      <w:rFonts w:ascii="Segoe UI" w:hAnsi="Segoe UI" w:cs="Segoe UI" w:hint="default"/>
      <w:sz w:val="18"/>
      <w:szCs w:val="18"/>
    </w:rPr>
  </w:style>
  <w:style w:type="paragraph" w:styleId="FootnoteText">
    <w:name w:val="footnote text"/>
    <w:basedOn w:val="Normal"/>
    <w:link w:val="FootnoteTextChar"/>
    <w:uiPriority w:val="99"/>
    <w:semiHidden/>
    <w:unhideWhenUsed/>
    <w:rsid w:val="00274B3F"/>
    <w:pPr>
      <w:pBdr>
        <w:top w:val="nil"/>
        <w:left w:val="nil"/>
        <w:bottom w:val="nil"/>
        <w:right w:val="nil"/>
        <w:between w:val="nil"/>
        <w:bar w:val="nil"/>
      </w:pBdr>
    </w:pPr>
    <w:rPr>
      <w:rFonts w:ascii="Times New Roman" w:eastAsia="PMingLiU" w:hAnsi="Times New Roman" w:cs="Times New Roman"/>
      <w:sz w:val="20"/>
      <w:szCs w:val="20"/>
      <w:bdr w:val="nil"/>
    </w:rPr>
  </w:style>
  <w:style w:type="character" w:customStyle="1" w:styleId="FootnoteTextChar">
    <w:name w:val="Footnote Text Char"/>
    <w:basedOn w:val="DefaultParagraphFont"/>
    <w:link w:val="FootnoteText"/>
    <w:uiPriority w:val="99"/>
    <w:semiHidden/>
    <w:rsid w:val="00274B3F"/>
    <w:rPr>
      <w:rFonts w:ascii="Times New Roman" w:eastAsia="PMingLiU" w:hAnsi="Times New Roman" w:cs="Times New Roman"/>
      <w:kern w:val="0"/>
      <w:sz w:val="20"/>
      <w:szCs w:val="20"/>
      <w:bdr w:val="nil"/>
      <w14:ligatures w14:val="none"/>
    </w:rPr>
  </w:style>
  <w:style w:type="character" w:styleId="FootnoteReference">
    <w:name w:val="footnote reference"/>
    <w:basedOn w:val="DefaultParagraphFont"/>
    <w:uiPriority w:val="99"/>
    <w:semiHidden/>
    <w:unhideWhenUsed/>
    <w:rsid w:val="00274B3F"/>
    <w:rPr>
      <w:vertAlign w:val="superscript"/>
    </w:rPr>
  </w:style>
  <w:style w:type="character" w:styleId="UnresolvedMention">
    <w:name w:val="Unresolved Mention"/>
    <w:basedOn w:val="DefaultParagraphFont"/>
    <w:uiPriority w:val="99"/>
    <w:semiHidden/>
    <w:unhideWhenUsed/>
    <w:rsid w:val="00A86630"/>
    <w:rPr>
      <w:color w:val="605E5C"/>
      <w:shd w:val="clear" w:color="auto" w:fill="E1DFDD"/>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Times New Roman" w:hAnsi="Arial" w:cs="Arial"/>
      <w:kern w:val="0"/>
      <w:sz w:val="20"/>
      <w:szCs w:val="20"/>
      <w14:ligatures w14:val="none"/>
    </w:rPr>
  </w:style>
  <w:style w:type="paragraph" w:styleId="NormalWeb">
    <w:name w:val="Normal (Web)"/>
    <w:basedOn w:val="Normal"/>
    <w:uiPriority w:val="99"/>
    <w:unhideWhenUsed/>
    <w:rsid w:val="00AC7D90"/>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3425DF"/>
  </w:style>
  <w:style w:type="paragraph" w:styleId="TOC1">
    <w:name w:val="toc 1"/>
    <w:basedOn w:val="Normal"/>
    <w:next w:val="Normal"/>
    <w:autoRedefine/>
    <w:uiPriority w:val="39"/>
    <w:unhideWhenUsed/>
    <w:rsid w:val="00287C65"/>
    <w:pPr>
      <w:spacing w:after="100"/>
    </w:pPr>
  </w:style>
  <w:style w:type="paragraph" w:styleId="TOC2">
    <w:name w:val="toc 2"/>
    <w:basedOn w:val="Normal"/>
    <w:next w:val="Normal"/>
    <w:autoRedefine/>
    <w:uiPriority w:val="39"/>
    <w:unhideWhenUsed/>
    <w:rsid w:val="00287C65"/>
    <w:pPr>
      <w:spacing w:after="100"/>
      <w:ind w:left="240"/>
    </w:pPr>
  </w:style>
  <w:style w:type="paragraph" w:styleId="CommentSubject">
    <w:name w:val="annotation subject"/>
    <w:basedOn w:val="CommentText"/>
    <w:next w:val="CommentText"/>
    <w:link w:val="CommentSubjectChar"/>
    <w:uiPriority w:val="99"/>
    <w:semiHidden/>
    <w:unhideWhenUsed/>
    <w:rsid w:val="00287C65"/>
    <w:pPr>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287C65"/>
    <w:rPr>
      <w:rFonts w:ascii="Arial" w:eastAsia="Times New Roman" w:hAnsi="Arial" w:cs="Arial"/>
      <w:b/>
      <w:bCs/>
      <w:kern w:val="0"/>
      <w:sz w:val="20"/>
      <w:szCs w:val="20"/>
      <w14:ligatures w14:val="none"/>
    </w:rPr>
  </w:style>
  <w:style w:type="paragraph" w:styleId="Caption">
    <w:name w:val="caption"/>
    <w:basedOn w:val="Normal"/>
    <w:next w:val="Normal"/>
    <w:uiPriority w:val="35"/>
    <w:unhideWhenUsed/>
    <w:qFormat/>
    <w:rsid w:val="00287C65"/>
    <w:pPr>
      <w:spacing w:after="200"/>
    </w:pPr>
    <w:rPr>
      <w:rFonts w:asciiTheme="minorHAnsi" w:eastAsiaTheme="minorHAnsi" w:hAnsiTheme="minorHAnsi" w:cstheme="minorBidi"/>
      <w:i/>
      <w:iCs/>
      <w:color w:val="0E2841" w:themeColor="text2"/>
      <w:kern w:val="2"/>
      <w:sz w:val="18"/>
      <w:szCs w:val="18"/>
      <w14:ligatures w14:val="standardContextual"/>
    </w:rPr>
  </w:style>
  <w:style w:type="character" w:styleId="FollowedHyperlink">
    <w:name w:val="FollowedHyperlink"/>
    <w:basedOn w:val="DefaultParagraphFont"/>
    <w:uiPriority w:val="99"/>
    <w:semiHidden/>
    <w:unhideWhenUsed/>
    <w:rsid w:val="00287C65"/>
    <w:rPr>
      <w:color w:val="96607D" w:themeColor="followedHyperlink"/>
      <w:u w:val="single"/>
    </w:rPr>
  </w:style>
  <w:style w:type="paragraph" w:styleId="Revision">
    <w:name w:val="Revision"/>
    <w:hidden/>
    <w:uiPriority w:val="99"/>
    <w:semiHidden/>
    <w:rsid w:val="00287C65"/>
    <w:pPr>
      <w:spacing w:after="0" w:line="240" w:lineRule="auto"/>
    </w:pPr>
  </w:style>
  <w:style w:type="paragraph" w:styleId="TableofFigures">
    <w:name w:val="table of figures"/>
    <w:basedOn w:val="Normal"/>
    <w:next w:val="Normal"/>
    <w:uiPriority w:val="99"/>
    <w:unhideWhenUsed/>
    <w:rsid w:val="00287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577108">
      <w:bodyDiv w:val="1"/>
      <w:marLeft w:val="0"/>
      <w:marRight w:val="0"/>
      <w:marTop w:val="0"/>
      <w:marBottom w:val="0"/>
      <w:divBdr>
        <w:top w:val="none" w:sz="0" w:space="0" w:color="auto"/>
        <w:left w:val="none" w:sz="0" w:space="0" w:color="auto"/>
        <w:bottom w:val="none" w:sz="0" w:space="0" w:color="auto"/>
        <w:right w:val="none" w:sz="0" w:space="0" w:color="auto"/>
      </w:divBdr>
    </w:div>
    <w:div w:id="603540117">
      <w:bodyDiv w:val="1"/>
      <w:marLeft w:val="0"/>
      <w:marRight w:val="0"/>
      <w:marTop w:val="0"/>
      <w:marBottom w:val="0"/>
      <w:divBdr>
        <w:top w:val="none" w:sz="0" w:space="0" w:color="auto"/>
        <w:left w:val="none" w:sz="0" w:space="0" w:color="auto"/>
        <w:bottom w:val="none" w:sz="0" w:space="0" w:color="auto"/>
        <w:right w:val="none" w:sz="0" w:space="0" w:color="auto"/>
      </w:divBdr>
    </w:div>
    <w:div w:id="971442137">
      <w:bodyDiv w:val="1"/>
      <w:marLeft w:val="0"/>
      <w:marRight w:val="0"/>
      <w:marTop w:val="0"/>
      <w:marBottom w:val="0"/>
      <w:divBdr>
        <w:top w:val="none" w:sz="0" w:space="0" w:color="auto"/>
        <w:left w:val="none" w:sz="0" w:space="0" w:color="auto"/>
        <w:bottom w:val="none" w:sz="0" w:space="0" w:color="auto"/>
        <w:right w:val="none" w:sz="0" w:space="0" w:color="auto"/>
      </w:divBdr>
    </w:div>
    <w:div w:id="1069113784">
      <w:bodyDiv w:val="1"/>
      <w:marLeft w:val="0"/>
      <w:marRight w:val="0"/>
      <w:marTop w:val="0"/>
      <w:marBottom w:val="0"/>
      <w:divBdr>
        <w:top w:val="none" w:sz="0" w:space="0" w:color="auto"/>
        <w:left w:val="none" w:sz="0" w:space="0" w:color="auto"/>
        <w:bottom w:val="none" w:sz="0" w:space="0" w:color="auto"/>
        <w:right w:val="none" w:sz="0" w:space="0" w:color="auto"/>
      </w:divBdr>
    </w:div>
    <w:div w:id="1135608352">
      <w:bodyDiv w:val="1"/>
      <w:marLeft w:val="0"/>
      <w:marRight w:val="0"/>
      <w:marTop w:val="0"/>
      <w:marBottom w:val="0"/>
      <w:divBdr>
        <w:top w:val="none" w:sz="0" w:space="0" w:color="auto"/>
        <w:left w:val="none" w:sz="0" w:space="0" w:color="auto"/>
        <w:bottom w:val="none" w:sz="0" w:space="0" w:color="auto"/>
        <w:right w:val="none" w:sz="0" w:space="0" w:color="auto"/>
      </w:divBdr>
    </w:div>
    <w:div w:id="1358695178">
      <w:bodyDiv w:val="1"/>
      <w:marLeft w:val="0"/>
      <w:marRight w:val="0"/>
      <w:marTop w:val="0"/>
      <w:marBottom w:val="0"/>
      <w:divBdr>
        <w:top w:val="none" w:sz="0" w:space="0" w:color="auto"/>
        <w:left w:val="none" w:sz="0" w:space="0" w:color="auto"/>
        <w:bottom w:val="none" w:sz="0" w:space="0" w:color="auto"/>
        <w:right w:val="none" w:sz="0" w:space="0" w:color="auto"/>
      </w:divBdr>
    </w:div>
    <w:div w:id="1666349629">
      <w:bodyDiv w:val="1"/>
      <w:marLeft w:val="0"/>
      <w:marRight w:val="0"/>
      <w:marTop w:val="0"/>
      <w:marBottom w:val="0"/>
      <w:divBdr>
        <w:top w:val="none" w:sz="0" w:space="0" w:color="auto"/>
        <w:left w:val="none" w:sz="0" w:space="0" w:color="auto"/>
        <w:bottom w:val="none" w:sz="0" w:space="0" w:color="auto"/>
        <w:right w:val="none" w:sz="0" w:space="0" w:color="auto"/>
      </w:divBdr>
    </w:div>
    <w:div w:id="1774086867">
      <w:bodyDiv w:val="1"/>
      <w:marLeft w:val="0"/>
      <w:marRight w:val="0"/>
      <w:marTop w:val="0"/>
      <w:marBottom w:val="0"/>
      <w:divBdr>
        <w:top w:val="none" w:sz="0" w:space="0" w:color="auto"/>
        <w:left w:val="none" w:sz="0" w:space="0" w:color="auto"/>
        <w:bottom w:val="none" w:sz="0" w:space="0" w:color="auto"/>
        <w:right w:val="none" w:sz="0" w:space="0" w:color="auto"/>
      </w:divBdr>
    </w:div>
    <w:div w:id="1852180557">
      <w:bodyDiv w:val="1"/>
      <w:marLeft w:val="0"/>
      <w:marRight w:val="0"/>
      <w:marTop w:val="0"/>
      <w:marBottom w:val="0"/>
      <w:divBdr>
        <w:top w:val="none" w:sz="0" w:space="0" w:color="auto"/>
        <w:left w:val="none" w:sz="0" w:space="0" w:color="auto"/>
        <w:bottom w:val="none" w:sz="0" w:space="0" w:color="auto"/>
        <w:right w:val="none" w:sz="0" w:space="0" w:color="auto"/>
      </w:divBdr>
    </w:div>
    <w:div w:id="190679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microsoft.com/office/2018/08/relationships/commentsExtensible" Target="commentsExtensible.xm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image" Target="media/image4.png"/><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twain.lib.virginia.edu/huckfinn/hfprogrm.html" TargetMode="External"/><Relationship Id="rId2" Type="http://schemas.openxmlformats.org/officeDocument/2006/relationships/hyperlink" Target="https://twain.lib.virginia.edu/huckfinn/tourschd.html" TargetMode="External"/><Relationship Id="rId1" Type="http://schemas.openxmlformats.org/officeDocument/2006/relationships/hyperlink" Target="https://twain.lib.virginia.edu/onstage/lectures.html" TargetMode="External"/><Relationship Id="rId5" Type="http://schemas.openxmlformats.org/officeDocument/2006/relationships/hyperlink" Target="https://repository.tcu.edu/bitstream/handle/116099117/40246/Rinehart__Nicholas-Honors_Project.pdf?sequence=1&amp;isAllowed=y" TargetMode="External"/><Relationship Id="rId4" Type="http://schemas.openxmlformats.org/officeDocument/2006/relationships/hyperlink" Target="https://doi.org/10.4000/ejas.22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6383E-3AF1-42F0-B3A0-D4518F3E4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1628</TotalTime>
  <Pages>282</Pages>
  <Words>63928</Words>
  <Characters>364394</Characters>
  <Application>Microsoft Office Word</Application>
  <DocSecurity>0</DocSecurity>
  <Lines>3036</Lines>
  <Paragraphs>854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Kirby, Henry Yates</dc:creator>
  <cp:keywords/>
  <dc:description/>
  <cp:lastModifiedBy>Kirby, Henry Yates</cp:lastModifiedBy>
  <cp:revision>28</cp:revision>
  <dcterms:created xsi:type="dcterms:W3CDTF">2024-05-21T17:01:00Z</dcterms:created>
  <dcterms:modified xsi:type="dcterms:W3CDTF">2024-06-14T22:04:00Z</dcterms:modified>
</cp:coreProperties>
</file>