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D52B0" w14:textId="77777777" w:rsidR="00740D3F" w:rsidRPr="003D2D46" w:rsidRDefault="00740D3F"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 xml:space="preserve">An Epidemiologic Study of </w:t>
      </w:r>
      <w:r w:rsidR="00B77FA9" w:rsidRPr="003D2D46">
        <w:rPr>
          <w:rFonts w:ascii="Times New Roman" w:hAnsi="Times New Roman" w:cs="Times New Roman"/>
          <w:color w:val="000000" w:themeColor="text1"/>
          <w:sz w:val="24"/>
        </w:rPr>
        <w:t xml:space="preserve">Vaccination Exemptions and </w:t>
      </w:r>
      <w:r w:rsidRPr="003D2D46">
        <w:rPr>
          <w:rFonts w:ascii="Times New Roman" w:hAnsi="Times New Roman" w:cs="Times New Roman"/>
          <w:color w:val="000000" w:themeColor="text1"/>
          <w:sz w:val="24"/>
        </w:rPr>
        <w:t xml:space="preserve">Pertussis Risk </w:t>
      </w:r>
    </w:p>
    <w:p w14:paraId="1A0A0235" w14:textId="77777777" w:rsidR="003D07F7" w:rsidRPr="003D2D46" w:rsidRDefault="00DD00DE"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ab/>
      </w:r>
    </w:p>
    <w:p w14:paraId="0D035DAF"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552DBF6A"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5715323A"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6334CA69"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4B8E536F"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34058EDC" w14:textId="77777777" w:rsidR="00236E6D" w:rsidRPr="003D2D46" w:rsidRDefault="00236E6D" w:rsidP="00A41EE3">
      <w:pPr>
        <w:pStyle w:val="Title"/>
        <w:spacing w:line="480" w:lineRule="auto"/>
        <w:jc w:val="left"/>
        <w:rPr>
          <w:rFonts w:ascii="Times New Roman" w:hAnsi="Times New Roman" w:cs="Times New Roman"/>
          <w:color w:val="000000" w:themeColor="text1"/>
          <w:sz w:val="24"/>
        </w:rPr>
      </w:pPr>
    </w:p>
    <w:p w14:paraId="54466F54" w14:textId="77777777" w:rsidR="00236E6D" w:rsidRPr="003D2D46" w:rsidRDefault="009C755C"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 xml:space="preserve">A </w:t>
      </w:r>
      <w:r w:rsidR="00C34911" w:rsidRPr="003D2D46">
        <w:rPr>
          <w:rFonts w:ascii="Times New Roman" w:hAnsi="Times New Roman" w:cs="Times New Roman"/>
          <w:color w:val="000000" w:themeColor="text1"/>
          <w:sz w:val="24"/>
        </w:rPr>
        <w:t xml:space="preserve">Dissertation </w:t>
      </w:r>
      <w:r w:rsidRPr="003D2D46">
        <w:rPr>
          <w:rFonts w:ascii="Times New Roman" w:hAnsi="Times New Roman" w:cs="Times New Roman"/>
          <w:color w:val="000000" w:themeColor="text1"/>
          <w:sz w:val="24"/>
        </w:rPr>
        <w:t>Presented for</w:t>
      </w:r>
      <w:r w:rsidR="008865B6" w:rsidRPr="003D2D46">
        <w:rPr>
          <w:rFonts w:ascii="Times New Roman" w:hAnsi="Times New Roman" w:cs="Times New Roman"/>
          <w:color w:val="000000" w:themeColor="text1"/>
          <w:sz w:val="24"/>
        </w:rPr>
        <w:t xml:space="preserve"> the</w:t>
      </w:r>
    </w:p>
    <w:p w14:paraId="2D29C874" w14:textId="77777777" w:rsidR="009C755C" w:rsidRPr="003D2D46" w:rsidRDefault="00C34911"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Doctor of Philosophy</w:t>
      </w:r>
    </w:p>
    <w:p w14:paraId="36FBC2F0" w14:textId="77777777" w:rsidR="009C755C" w:rsidRPr="003D2D46" w:rsidRDefault="009C755C"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Degree</w:t>
      </w:r>
    </w:p>
    <w:p w14:paraId="73723EE3" w14:textId="77777777" w:rsidR="009C755C" w:rsidRPr="003D2D46" w:rsidRDefault="009C755C"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The University of Tennessee, Knoxville</w:t>
      </w:r>
    </w:p>
    <w:p w14:paraId="00E3722B" w14:textId="77777777" w:rsidR="00387656" w:rsidRPr="003D2D46" w:rsidRDefault="00387656" w:rsidP="00A41EE3">
      <w:pPr>
        <w:pStyle w:val="Title"/>
        <w:spacing w:line="480" w:lineRule="auto"/>
        <w:rPr>
          <w:rFonts w:ascii="Times New Roman" w:hAnsi="Times New Roman" w:cs="Times New Roman"/>
          <w:color w:val="000000" w:themeColor="text1"/>
          <w:sz w:val="24"/>
        </w:rPr>
      </w:pPr>
    </w:p>
    <w:p w14:paraId="309F9E15" w14:textId="23A827AC" w:rsidR="00236E6D" w:rsidRDefault="00236E6D" w:rsidP="00A41EE3">
      <w:pPr>
        <w:pStyle w:val="Title"/>
        <w:spacing w:line="480" w:lineRule="auto"/>
        <w:rPr>
          <w:rFonts w:ascii="Times New Roman" w:hAnsi="Times New Roman" w:cs="Times New Roman"/>
          <w:color w:val="000000" w:themeColor="text1"/>
          <w:sz w:val="24"/>
        </w:rPr>
      </w:pPr>
    </w:p>
    <w:p w14:paraId="0506BA9E" w14:textId="6E31FDA9" w:rsidR="008B6FEE" w:rsidRDefault="008B6FEE" w:rsidP="00A41EE3">
      <w:pPr>
        <w:pStyle w:val="Title"/>
        <w:spacing w:line="480" w:lineRule="auto"/>
        <w:rPr>
          <w:rFonts w:ascii="Times New Roman" w:hAnsi="Times New Roman" w:cs="Times New Roman"/>
          <w:color w:val="000000" w:themeColor="text1"/>
          <w:sz w:val="24"/>
        </w:rPr>
      </w:pPr>
    </w:p>
    <w:p w14:paraId="0EDD3A6D" w14:textId="58172F27" w:rsidR="008B6FEE" w:rsidRDefault="008B6FEE" w:rsidP="00A41EE3">
      <w:pPr>
        <w:pStyle w:val="Title"/>
        <w:spacing w:line="480" w:lineRule="auto"/>
        <w:rPr>
          <w:rFonts w:ascii="Times New Roman" w:hAnsi="Times New Roman" w:cs="Times New Roman"/>
          <w:color w:val="000000" w:themeColor="text1"/>
          <w:sz w:val="24"/>
        </w:rPr>
      </w:pPr>
    </w:p>
    <w:p w14:paraId="0C78D6EB" w14:textId="12D9B07E" w:rsidR="008B6FEE" w:rsidRDefault="008B6FEE" w:rsidP="00A41EE3">
      <w:pPr>
        <w:pStyle w:val="Title"/>
        <w:spacing w:line="480" w:lineRule="auto"/>
        <w:rPr>
          <w:rFonts w:ascii="Times New Roman" w:hAnsi="Times New Roman" w:cs="Times New Roman"/>
          <w:color w:val="000000" w:themeColor="text1"/>
          <w:sz w:val="24"/>
        </w:rPr>
      </w:pPr>
    </w:p>
    <w:p w14:paraId="44549150" w14:textId="77777777" w:rsidR="008B6FEE" w:rsidRPr="003D2D46" w:rsidRDefault="008B6FEE" w:rsidP="00A41EE3">
      <w:pPr>
        <w:pStyle w:val="Title"/>
        <w:spacing w:line="480" w:lineRule="auto"/>
        <w:rPr>
          <w:rFonts w:ascii="Times New Roman" w:hAnsi="Times New Roman" w:cs="Times New Roman"/>
          <w:color w:val="000000" w:themeColor="text1"/>
          <w:sz w:val="24"/>
        </w:rPr>
      </w:pPr>
    </w:p>
    <w:p w14:paraId="768069E3" w14:textId="77777777" w:rsidR="00236E6D" w:rsidRPr="003D2D46" w:rsidRDefault="00236E6D" w:rsidP="00A41EE3">
      <w:pPr>
        <w:pStyle w:val="Title"/>
        <w:spacing w:line="480" w:lineRule="auto"/>
        <w:jc w:val="left"/>
        <w:rPr>
          <w:rFonts w:ascii="Times New Roman" w:hAnsi="Times New Roman" w:cs="Times New Roman"/>
          <w:color w:val="000000" w:themeColor="text1"/>
          <w:sz w:val="24"/>
        </w:rPr>
      </w:pPr>
    </w:p>
    <w:p w14:paraId="376B2223" w14:textId="77777777" w:rsidR="00236E6D" w:rsidRPr="003D2D46" w:rsidRDefault="00C34911" w:rsidP="00A41EE3">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Corinne B. Tandy</w:t>
      </w:r>
    </w:p>
    <w:p w14:paraId="6BF2AC66" w14:textId="7B578519" w:rsidR="00C353E1" w:rsidRPr="003D2D46" w:rsidRDefault="00672DDD" w:rsidP="008B6FEE">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t>December</w:t>
      </w:r>
      <w:r w:rsidR="009C755C" w:rsidRPr="003D2D46">
        <w:rPr>
          <w:rFonts w:ascii="Times New Roman" w:hAnsi="Times New Roman" w:cs="Times New Roman"/>
          <w:color w:val="000000" w:themeColor="text1"/>
          <w:sz w:val="24"/>
        </w:rPr>
        <w:t xml:space="preserve"> </w:t>
      </w:r>
      <w:r w:rsidR="003D07F7" w:rsidRPr="003D2D46">
        <w:rPr>
          <w:rFonts w:ascii="Times New Roman" w:hAnsi="Times New Roman" w:cs="Times New Roman"/>
          <w:color w:val="000000" w:themeColor="text1"/>
          <w:sz w:val="24"/>
        </w:rPr>
        <w:t>2</w:t>
      </w:r>
      <w:r w:rsidR="00DF7C87" w:rsidRPr="003D2D46">
        <w:rPr>
          <w:rFonts w:ascii="Times New Roman" w:hAnsi="Times New Roman" w:cs="Times New Roman"/>
          <w:color w:val="000000" w:themeColor="text1"/>
          <w:sz w:val="24"/>
        </w:rPr>
        <w:t>021</w:t>
      </w:r>
    </w:p>
    <w:p w14:paraId="7E0D65A3" w14:textId="77777777" w:rsidR="00C353E1" w:rsidRPr="003D2D46" w:rsidRDefault="00C353E1" w:rsidP="00A41EE3">
      <w:pPr>
        <w:pStyle w:val="Title"/>
        <w:spacing w:line="480" w:lineRule="auto"/>
        <w:rPr>
          <w:rFonts w:ascii="Times New Roman" w:hAnsi="Times New Roman" w:cs="Times New Roman"/>
          <w:color w:val="000000" w:themeColor="text1"/>
          <w:sz w:val="24"/>
        </w:rPr>
      </w:pPr>
    </w:p>
    <w:p w14:paraId="65288D30" w14:textId="77777777" w:rsidR="00C353E1" w:rsidRPr="003D2D46" w:rsidRDefault="00C353E1" w:rsidP="00A41EE3">
      <w:pPr>
        <w:pStyle w:val="Title"/>
        <w:spacing w:line="480" w:lineRule="auto"/>
        <w:rPr>
          <w:rFonts w:ascii="Times New Roman" w:hAnsi="Times New Roman" w:cs="Times New Roman"/>
          <w:color w:val="000000" w:themeColor="text1"/>
          <w:sz w:val="24"/>
        </w:rPr>
      </w:pPr>
    </w:p>
    <w:p w14:paraId="39311B45" w14:textId="57CCC182" w:rsidR="006F5AA4" w:rsidRPr="003D2D46" w:rsidRDefault="006F5AA4" w:rsidP="005A0DE5">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lastRenderedPageBreak/>
        <w:t>DEDICATION</w:t>
      </w:r>
    </w:p>
    <w:p w14:paraId="310E1AE5" w14:textId="6DD12D97" w:rsidR="0096700D" w:rsidRPr="003D2D46" w:rsidRDefault="0096700D" w:rsidP="005A0DE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This dissertation is dedicated to my parents, Kirsten Benson and David Tandy</w:t>
      </w:r>
      <w:r w:rsidR="00A23981"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my sibling</w:t>
      </w:r>
      <w:r w:rsidR="00715DD2"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 Peter</w:t>
      </w:r>
      <w:r w:rsidR="00715DD2" w:rsidRPr="003D2D46">
        <w:rPr>
          <w:rFonts w:ascii="Times New Roman" w:hAnsi="Times New Roman" w:cs="Times New Roman"/>
          <w:color w:val="000000" w:themeColor="text1"/>
        </w:rPr>
        <w:t>, Gustav, and Aphra</w:t>
      </w:r>
      <w:r w:rsidRPr="003D2D46">
        <w:rPr>
          <w:rFonts w:ascii="Times New Roman" w:hAnsi="Times New Roman" w:cs="Times New Roman"/>
          <w:color w:val="000000" w:themeColor="text1"/>
        </w:rPr>
        <w:t xml:space="preserve"> Tandy</w:t>
      </w:r>
      <w:r w:rsidR="00A23981"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my partner, Jason Moon</w:t>
      </w:r>
      <w:r w:rsidR="00A23981"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and my best pal, Karmen Stephenson.</w:t>
      </w:r>
      <w:r w:rsidR="00AD4E08" w:rsidRPr="003D2D46">
        <w:rPr>
          <w:rFonts w:ascii="Times New Roman" w:hAnsi="Times New Roman" w:cs="Times New Roman"/>
          <w:color w:val="000000" w:themeColor="text1"/>
        </w:rPr>
        <w:t xml:space="preserve"> </w:t>
      </w:r>
      <w:r w:rsidR="0075427F" w:rsidRPr="003D2D46">
        <w:rPr>
          <w:rFonts w:ascii="Times New Roman" w:hAnsi="Times New Roman" w:cs="Times New Roman"/>
          <w:color w:val="000000" w:themeColor="text1"/>
        </w:rPr>
        <w:t xml:space="preserve">I would also like to dedicate this work to my late friend and mentor, Dr. Donald Siwek. </w:t>
      </w:r>
      <w:r w:rsidRPr="003D2D46">
        <w:rPr>
          <w:rFonts w:ascii="Times New Roman" w:hAnsi="Times New Roman" w:cs="Times New Roman"/>
          <w:color w:val="000000" w:themeColor="text1"/>
        </w:rPr>
        <w:t xml:space="preserve">Your constant support and encouragement have been invaluable throughout my life. I couldn’t have done this without you all. </w:t>
      </w:r>
    </w:p>
    <w:p w14:paraId="3AADA197" w14:textId="33BF208A" w:rsidR="009D794C" w:rsidRPr="003D2D46" w:rsidRDefault="006F5AA4" w:rsidP="004F0890">
      <w:pPr>
        <w:pStyle w:val="Title"/>
        <w:spacing w:line="480" w:lineRule="auto"/>
        <w:rPr>
          <w:rFonts w:ascii="Times New Roman" w:hAnsi="Times New Roman" w:cs="Times New Roman"/>
        </w:rPr>
      </w:pPr>
      <w:r w:rsidRPr="003D2D46">
        <w:rPr>
          <w:rFonts w:ascii="Times New Roman" w:hAnsi="Times New Roman" w:cs="Times New Roman"/>
          <w:color w:val="000000" w:themeColor="text1"/>
          <w:sz w:val="24"/>
        </w:rPr>
        <w:br w:type="page"/>
      </w:r>
      <w:r w:rsidR="00CD73A9" w:rsidRPr="003D2D46">
        <w:rPr>
          <w:rFonts w:ascii="Times New Roman" w:hAnsi="Times New Roman" w:cs="Times New Roman"/>
          <w:color w:val="000000" w:themeColor="text1"/>
          <w:sz w:val="24"/>
        </w:rPr>
        <w:lastRenderedPageBreak/>
        <w:t>ACKNOWLEDGEMENTS</w:t>
      </w:r>
    </w:p>
    <w:p w14:paraId="321CFE5D" w14:textId="77777777" w:rsidR="00904969" w:rsidRPr="003D2D46" w:rsidRDefault="0096700D">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dissertation could not have been completed without the support from Dr. Agricola Odoi. I don’t have the words to express my gratitude for his unwavering support throughout my doctoral studies—his expertise and support have been invaluable through my doctoral studies and career, and I am forever grateful. I am a better epidemiologist, researcher, and person because of the opportunity to work with him. I would also like to acknowledge the support of my committee: Dr. Jennifer Jabson Tree, Dr. Marcy Souza, and Dr. Kimberly Fortner. </w:t>
      </w:r>
      <w:r w:rsidR="004A690D" w:rsidRPr="003D2D46">
        <w:rPr>
          <w:rFonts w:ascii="Times New Roman" w:hAnsi="Times New Roman" w:cs="Times New Roman"/>
          <w:color w:val="000000" w:themeColor="text1"/>
        </w:rPr>
        <w:t xml:space="preserve">They also provided invaluable professional and personal support during my studies. I want to acknowledge my spouse for his continued patience with me being in school for the whole of our relationship and I cannot wait to see what our life together brings moving forward. Finally, I want to acknowledge Dr. Stephen Kania, for his support during my time in the program. </w:t>
      </w:r>
    </w:p>
    <w:p w14:paraId="1D570DD4" w14:textId="77777777" w:rsidR="00904969" w:rsidRPr="003D2D46" w:rsidRDefault="00904969" w:rsidP="004F0890">
      <w:pPr>
        <w:spacing w:line="480" w:lineRule="auto"/>
        <w:rPr>
          <w:rFonts w:ascii="Times New Roman" w:hAnsi="Times New Roman" w:cs="Times New Roman"/>
          <w:color w:val="000000" w:themeColor="text1"/>
        </w:rPr>
      </w:pPr>
    </w:p>
    <w:p w14:paraId="177F0420" w14:textId="376978D2" w:rsidR="00060A6A" w:rsidRPr="003D2D46" w:rsidRDefault="0085757D" w:rsidP="004F0890">
      <w:pPr>
        <w:pStyle w:val="Title"/>
        <w:spacing w:line="480" w:lineRule="auto"/>
        <w:rPr>
          <w:rFonts w:ascii="Times New Roman" w:hAnsi="Times New Roman" w:cs="Times New Roman"/>
        </w:rPr>
      </w:pPr>
      <w:r w:rsidRPr="003D2D46">
        <w:rPr>
          <w:rFonts w:ascii="Times New Roman" w:hAnsi="Times New Roman" w:cs="Times New Roman"/>
          <w:color w:val="000000" w:themeColor="text1"/>
          <w:sz w:val="24"/>
        </w:rPr>
        <w:br w:type="page"/>
      </w:r>
      <w:r w:rsidR="00236E6D" w:rsidRPr="003D2D46">
        <w:rPr>
          <w:rFonts w:ascii="Times New Roman" w:hAnsi="Times New Roman" w:cs="Times New Roman"/>
          <w:color w:val="000000" w:themeColor="text1"/>
          <w:sz w:val="24"/>
        </w:rPr>
        <w:lastRenderedPageBreak/>
        <w:t>ABSTRACT</w:t>
      </w:r>
    </w:p>
    <w:p w14:paraId="7ECE04DB" w14:textId="77777777" w:rsidR="001F5989" w:rsidRPr="003D2D46" w:rsidRDefault="001F598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The incidence of pertussis, a vaccine-preventable disease that can have severe complications in infants, has been increasing in the United States over the past three decades. Vaccine hesitancy and refusal have also increased and are associated with vaccination exemptions, which in turn are associated with outbreaks of vaccine-preventable diseases, including pertussis. Understanding attitudes towards vaccinations and identifying geographic disparities of vaccination exemptions and pertussis risks is useful for guiding control programs. Therefore, the objectives of this study were to: (i) investigate attitudes towards vaccinations; (ii) identify county-level geographic disparities and sociodemographic predictors of vaccination exemptions in Florida; (iii) investigate county-level geographic disparities, temporal changes, and sociodemographic predictors of pertussis risk in Florida between 2010 and 2018.</w:t>
      </w:r>
    </w:p>
    <w:p w14:paraId="409D3F78" w14:textId="77777777" w:rsidR="001F5989" w:rsidRPr="003D2D46" w:rsidRDefault="001F5989">
      <w:pPr>
        <w:spacing w:line="480" w:lineRule="auto"/>
        <w:rPr>
          <w:rFonts w:ascii="Times New Roman" w:hAnsi="Times New Roman" w:cs="Times New Roman"/>
          <w:color w:val="000000" w:themeColor="text1"/>
        </w:rPr>
      </w:pPr>
    </w:p>
    <w:p w14:paraId="6B98A673" w14:textId="73911EBF" w:rsidR="001F5989" w:rsidRPr="003D2D46" w:rsidRDefault="001F5989" w:rsidP="00064C54">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Qualitative methods were used to investigate attitudes towards vaccinations in the Knoxville area of Tennessee. </w:t>
      </w:r>
      <w:r w:rsidR="000475D7"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patial patterns of vaccination exemption and pertussis risks were identified using county-level choropleth maps. Tango’s spatial scan statistics were used to identify clusters of pertussis risk, which were displayed in maps.</w:t>
      </w:r>
      <w:r w:rsidR="00A23981"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Negative binomial and ordinary least squares regression models were used to investigate predictors of vaccination exemption and pertussis risks, respectively.</w:t>
      </w:r>
    </w:p>
    <w:p w14:paraId="5A366B08" w14:textId="77777777" w:rsidR="001F5989" w:rsidRPr="003D2D46" w:rsidRDefault="001F5989">
      <w:pPr>
        <w:spacing w:line="480" w:lineRule="auto"/>
        <w:rPr>
          <w:rFonts w:ascii="Times New Roman" w:hAnsi="Times New Roman" w:cs="Times New Roman"/>
          <w:color w:val="000000" w:themeColor="text1"/>
        </w:rPr>
      </w:pPr>
    </w:p>
    <w:p w14:paraId="74B5096A" w14:textId="77777777" w:rsidR="001F5989" w:rsidRPr="003D2D46" w:rsidRDefault="001F598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shd w:val="clear" w:color="auto" w:fill="FCFCFC"/>
        </w:rPr>
        <w:t xml:space="preserve">Risk perception as well as family and social group attitudes were the primary contributors to vaccination hesitancy. </w:t>
      </w:r>
      <w:r w:rsidRPr="003D2D46">
        <w:rPr>
          <w:rFonts w:ascii="Times New Roman" w:hAnsi="Times New Roman" w:cs="Times New Roman"/>
          <w:color w:val="000000" w:themeColor="text1"/>
        </w:rPr>
        <w:t xml:space="preserve">High vaccination exemption risks were observed in Western and </w:t>
      </w:r>
      <w:r w:rsidRPr="003D2D46">
        <w:rPr>
          <w:rFonts w:ascii="Times New Roman" w:hAnsi="Times New Roman" w:cs="Times New Roman"/>
          <w:color w:val="000000" w:themeColor="text1"/>
        </w:rPr>
        <w:lastRenderedPageBreak/>
        <w:t>Central Panhandle, Northeastern, Central-eastern, Central-western, and South-western coastal counties of Florida. High risks of total vaccination exemptions were observed in counties with high densities of primary care providers, high median income, high percentage of Hispanic population, and high percentage of population with college education. High risks of non-medical exemptions tended to occur in counties with high percentage of white population. Clusters of high pertussis risks were identified in Western Panhandle, Northeastern coast, and along the Western coast. Significant predictors of high county-level pertussis risks were rurality, high median income, and high percentage of females.</w:t>
      </w:r>
    </w:p>
    <w:p w14:paraId="60371CD8" w14:textId="77777777" w:rsidR="001F5989" w:rsidRPr="003D2D46" w:rsidRDefault="001F5989">
      <w:pPr>
        <w:spacing w:line="480" w:lineRule="auto"/>
        <w:rPr>
          <w:rFonts w:ascii="Times New Roman" w:hAnsi="Times New Roman" w:cs="Times New Roman"/>
          <w:color w:val="000000" w:themeColor="text1"/>
        </w:rPr>
      </w:pPr>
    </w:p>
    <w:p w14:paraId="3D5A75B1" w14:textId="77777777" w:rsidR="001F5989" w:rsidRPr="003D2D46" w:rsidRDefault="001F598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The identified drivers of vaccination hesitancy as well as disparities in and predictors of vaccination exemptions and pertussis risks are invaluable in guiding evidence-based health planning, resource allocation, and policy decisions aimed at reducing the burden and disparities in pertussis risk.</w:t>
      </w:r>
    </w:p>
    <w:p w14:paraId="05949830" w14:textId="77777777" w:rsidR="0085757D" w:rsidRPr="003D2D46" w:rsidRDefault="00236E6D" w:rsidP="005043F7">
      <w:pPr>
        <w:pStyle w:val="Title"/>
        <w:jc w:val="left"/>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br w:type="page"/>
      </w:r>
    </w:p>
    <w:p w14:paraId="5090A98C" w14:textId="4DC6C5F9" w:rsidR="00356468" w:rsidRPr="003D2D46" w:rsidRDefault="00997866" w:rsidP="00EF6B36">
      <w:pPr>
        <w:jc w:val="center"/>
        <w:rPr>
          <w:rFonts w:ascii="Times New Roman" w:hAnsi="Times New Roman" w:cs="Times New Roman"/>
        </w:rPr>
      </w:pPr>
      <w:bookmarkStart w:id="0" w:name="_Toc86843702"/>
      <w:r w:rsidRPr="003D2D46">
        <w:rPr>
          <w:rFonts w:ascii="Times New Roman" w:hAnsi="Times New Roman" w:cs="Times New Roman"/>
          <w:b/>
          <w:bCs/>
        </w:rPr>
        <w:lastRenderedPageBreak/>
        <w:t>TABLE OF CONTENTS</w:t>
      </w:r>
      <w:bookmarkEnd w:id="0"/>
    </w:p>
    <w:p w14:paraId="4433BF6A" w14:textId="4F7DAB23" w:rsidR="00356468" w:rsidRPr="003D2D46" w:rsidRDefault="004F499F">
      <w:pPr>
        <w:pStyle w:val="TOC1"/>
        <w:rPr>
          <w:rFonts w:ascii="Times New Roman" w:eastAsiaTheme="minorEastAsia" w:hAnsi="Times New Roman" w:cs="Times New Roman"/>
          <w:noProof/>
        </w:rPr>
      </w:pPr>
      <w:r w:rsidRPr="003D2D46">
        <w:rPr>
          <w:rFonts w:ascii="Times New Roman" w:hAnsi="Times New Roman" w:cs="Times New Roman"/>
        </w:rPr>
        <w:fldChar w:fldCharType="begin"/>
      </w:r>
      <w:r w:rsidRPr="003D2D46">
        <w:rPr>
          <w:rFonts w:ascii="Times New Roman" w:hAnsi="Times New Roman" w:cs="Times New Roman"/>
        </w:rPr>
        <w:instrText xml:space="preserve"> TOC \o "1-5" \h \z \u </w:instrText>
      </w:r>
      <w:r w:rsidRPr="003D2D46">
        <w:rPr>
          <w:rFonts w:ascii="Times New Roman" w:hAnsi="Times New Roman" w:cs="Times New Roman"/>
        </w:rPr>
        <w:fldChar w:fldCharType="separate"/>
      </w:r>
      <w:hyperlink w:anchor="_Toc87797055" w:history="1">
        <w:r w:rsidR="00356468" w:rsidRPr="003D2D46">
          <w:rPr>
            <w:rStyle w:val="Hyperlink"/>
            <w:rFonts w:ascii="Times New Roman" w:hAnsi="Times New Roman" w:cs="Times New Roman"/>
            <w:noProof/>
          </w:rPr>
          <w:t>CHAPTER 1</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_Toc87797055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w:t>
        </w:r>
        <w:r w:rsidR="00356468" w:rsidRPr="003D2D46">
          <w:rPr>
            <w:rFonts w:ascii="Times New Roman" w:hAnsi="Times New Roman" w:cs="Times New Roman"/>
            <w:noProof/>
            <w:webHidden/>
          </w:rPr>
          <w:fldChar w:fldCharType="end"/>
        </w:r>
      </w:hyperlink>
    </w:p>
    <w:p w14:paraId="104324AC" w14:textId="291E1647" w:rsidR="00356468" w:rsidRPr="003D2D46" w:rsidRDefault="00D32FDA">
      <w:pPr>
        <w:pStyle w:val="TOC1"/>
        <w:rPr>
          <w:rFonts w:ascii="Times New Roman" w:eastAsiaTheme="minorEastAsia" w:hAnsi="Times New Roman" w:cs="Times New Roman"/>
          <w:noProof/>
        </w:rPr>
      </w:pPr>
      <w:hyperlink w:anchor="_Toc87797056" w:history="1">
        <w:r w:rsidR="00356468" w:rsidRPr="003D2D46">
          <w:rPr>
            <w:rStyle w:val="Hyperlink"/>
            <w:rFonts w:ascii="Times New Roman" w:hAnsi="Times New Roman" w:cs="Times New Roman"/>
            <w:noProof/>
          </w:rPr>
          <w:t>Introduction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_Toc87797056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w:t>
        </w:r>
        <w:r w:rsidR="00356468" w:rsidRPr="003D2D46">
          <w:rPr>
            <w:rFonts w:ascii="Times New Roman" w:hAnsi="Times New Roman" w:cs="Times New Roman"/>
            <w:noProof/>
            <w:webHidden/>
          </w:rPr>
          <w:fldChar w:fldCharType="end"/>
        </w:r>
      </w:hyperlink>
    </w:p>
    <w:p w14:paraId="7AE281D2" w14:textId="31FEBC8F" w:rsidR="00356468" w:rsidRPr="003D2D46" w:rsidRDefault="00D32FDA">
      <w:pPr>
        <w:pStyle w:val="TOC1"/>
        <w:rPr>
          <w:rFonts w:ascii="Times New Roman" w:eastAsiaTheme="minorEastAsia" w:hAnsi="Times New Roman" w:cs="Times New Roman"/>
          <w:noProof/>
        </w:rPr>
      </w:pPr>
      <w:hyperlink w:anchor="_Toc87797057" w:history="1">
        <w:r w:rsidR="00356468" w:rsidRPr="003D2D46">
          <w:rPr>
            <w:rStyle w:val="Hyperlink"/>
            <w:rFonts w:ascii="Times New Roman" w:hAnsi="Times New Roman" w:cs="Times New Roman"/>
            <w:noProof/>
          </w:rPr>
          <w:t>CHAPTER 2</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_Toc87797057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4</w:t>
        </w:r>
        <w:r w:rsidR="00356468" w:rsidRPr="003D2D46">
          <w:rPr>
            <w:rFonts w:ascii="Times New Roman" w:hAnsi="Times New Roman" w:cs="Times New Roman"/>
            <w:noProof/>
            <w:webHidden/>
          </w:rPr>
          <w:fldChar w:fldCharType="end"/>
        </w:r>
      </w:hyperlink>
    </w:p>
    <w:p w14:paraId="5E9B3CFD" w14:textId="5BEB6143" w:rsidR="00356468" w:rsidRPr="003D2D46" w:rsidRDefault="00D32FDA">
      <w:pPr>
        <w:pStyle w:val="TOC1"/>
        <w:rPr>
          <w:rFonts w:ascii="Times New Roman" w:eastAsiaTheme="minorEastAsia" w:hAnsi="Times New Roman" w:cs="Times New Roman"/>
          <w:noProof/>
        </w:rPr>
      </w:pPr>
      <w:hyperlink w:anchor="_Toc87797058" w:history="1">
        <w:r w:rsidR="00356468" w:rsidRPr="003D2D46">
          <w:rPr>
            <w:rStyle w:val="Hyperlink"/>
            <w:rFonts w:ascii="Times New Roman" w:hAnsi="Times New Roman" w:cs="Times New Roman"/>
            <w:noProof/>
          </w:rPr>
          <w:t>Literature Review</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_Toc87797058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4</w:t>
        </w:r>
        <w:r w:rsidR="00356468" w:rsidRPr="003D2D46">
          <w:rPr>
            <w:rFonts w:ascii="Times New Roman" w:hAnsi="Times New Roman" w:cs="Times New Roman"/>
            <w:noProof/>
            <w:webHidden/>
          </w:rPr>
          <w:fldChar w:fldCharType="end"/>
        </w:r>
      </w:hyperlink>
    </w:p>
    <w:p w14:paraId="047F9EBD" w14:textId="7ADF1715" w:rsidR="00356468" w:rsidRPr="003D2D46" w:rsidRDefault="00D32FDA">
      <w:pPr>
        <w:pStyle w:val="TOC3"/>
        <w:rPr>
          <w:rFonts w:ascii="Times New Roman" w:eastAsiaTheme="minorEastAsia" w:hAnsi="Times New Roman" w:cs="Times New Roman"/>
          <w:noProof/>
        </w:rPr>
      </w:pPr>
      <w:hyperlink w:anchor="_Toc87797059" w:history="1">
        <w:r w:rsidR="00356468" w:rsidRPr="003D2D46">
          <w:rPr>
            <w:rStyle w:val="Hyperlink"/>
            <w:rFonts w:ascii="Times New Roman" w:hAnsi="Times New Roman" w:cs="Times New Roman"/>
            <w:noProof/>
          </w:rPr>
          <w:t>2.1 Etiology</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_Toc87797059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5</w:t>
        </w:r>
        <w:r w:rsidR="00356468" w:rsidRPr="003D2D46">
          <w:rPr>
            <w:rFonts w:ascii="Times New Roman" w:hAnsi="Times New Roman" w:cs="Times New Roman"/>
            <w:noProof/>
            <w:webHidden/>
          </w:rPr>
          <w:fldChar w:fldCharType="end"/>
        </w:r>
      </w:hyperlink>
    </w:p>
    <w:p w14:paraId="2EF9708F" w14:textId="491E9A24" w:rsidR="00356468" w:rsidRPr="003D2D46" w:rsidRDefault="00D32FDA">
      <w:pPr>
        <w:pStyle w:val="TOC3"/>
        <w:rPr>
          <w:rFonts w:ascii="Times New Roman" w:eastAsiaTheme="minorEastAsia" w:hAnsi="Times New Roman" w:cs="Times New Roman"/>
          <w:noProof/>
        </w:rPr>
      </w:pPr>
      <w:hyperlink w:anchor="_Toc87797060" w:history="1">
        <w:r w:rsidR="00356468" w:rsidRPr="003D2D46">
          <w:rPr>
            <w:rStyle w:val="Hyperlink"/>
            <w:rFonts w:ascii="Times New Roman" w:hAnsi="Times New Roman" w:cs="Times New Roman"/>
            <w:noProof/>
          </w:rPr>
          <w:t>2.2 Clinical Signs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_Toc87797060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5</w:t>
        </w:r>
        <w:r w:rsidR="00356468" w:rsidRPr="003D2D46">
          <w:rPr>
            <w:rFonts w:ascii="Times New Roman" w:hAnsi="Times New Roman" w:cs="Times New Roman"/>
            <w:noProof/>
            <w:webHidden/>
          </w:rPr>
          <w:fldChar w:fldCharType="end"/>
        </w:r>
      </w:hyperlink>
    </w:p>
    <w:p w14:paraId="325FE4C2" w14:textId="1882A9DD" w:rsidR="00356468" w:rsidRPr="003D2D46" w:rsidRDefault="00D32FDA">
      <w:pPr>
        <w:pStyle w:val="TOC4"/>
        <w:rPr>
          <w:rFonts w:eastAsiaTheme="minorEastAsia" w:cs="Times New Roman"/>
          <w:noProof/>
        </w:rPr>
      </w:pPr>
      <w:hyperlink w:anchor="_Toc87797061" w:history="1">
        <w:r w:rsidR="00356468" w:rsidRPr="003D2D46">
          <w:rPr>
            <w:rStyle w:val="Hyperlink"/>
            <w:rFonts w:cs="Times New Roman"/>
            <w:noProof/>
          </w:rPr>
          <w:t>2.2.1 Clinical Complications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_Toc87797061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7</w:t>
        </w:r>
        <w:r w:rsidR="00356468" w:rsidRPr="003D2D46">
          <w:rPr>
            <w:rFonts w:cs="Times New Roman"/>
            <w:noProof/>
            <w:webHidden/>
          </w:rPr>
          <w:fldChar w:fldCharType="end"/>
        </w:r>
      </w:hyperlink>
    </w:p>
    <w:p w14:paraId="23D7B2E8" w14:textId="0795A94B" w:rsidR="00356468" w:rsidRPr="003D2D46" w:rsidRDefault="00D32FDA">
      <w:pPr>
        <w:pStyle w:val="TOC3"/>
        <w:rPr>
          <w:rFonts w:ascii="Times New Roman" w:eastAsiaTheme="minorEastAsia" w:hAnsi="Times New Roman" w:cs="Times New Roman"/>
          <w:noProof/>
        </w:rPr>
      </w:pPr>
      <w:hyperlink w:anchor="_Toc87797062" w:history="1">
        <w:r w:rsidR="00356468" w:rsidRPr="003D2D46">
          <w:rPr>
            <w:rStyle w:val="Hyperlink"/>
            <w:rFonts w:ascii="Times New Roman" w:hAnsi="Times New Roman" w:cs="Times New Roman"/>
            <w:noProof/>
          </w:rPr>
          <w:t>2.3 Pathogenesis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_Toc87797062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7</w:t>
        </w:r>
        <w:r w:rsidR="00356468" w:rsidRPr="003D2D46">
          <w:rPr>
            <w:rFonts w:ascii="Times New Roman" w:hAnsi="Times New Roman" w:cs="Times New Roman"/>
            <w:noProof/>
            <w:webHidden/>
          </w:rPr>
          <w:fldChar w:fldCharType="end"/>
        </w:r>
      </w:hyperlink>
    </w:p>
    <w:p w14:paraId="24F72C40" w14:textId="466FBA92" w:rsidR="00356468" w:rsidRPr="003D2D46" w:rsidRDefault="00D32FDA">
      <w:pPr>
        <w:pStyle w:val="TOC3"/>
        <w:rPr>
          <w:rFonts w:ascii="Times New Roman" w:eastAsiaTheme="minorEastAsia" w:hAnsi="Times New Roman" w:cs="Times New Roman"/>
          <w:noProof/>
        </w:rPr>
      </w:pPr>
      <w:hyperlink w:anchor="_Toc87797063" w:history="1">
        <w:r w:rsidR="00356468" w:rsidRPr="003D2D46">
          <w:rPr>
            <w:rStyle w:val="Hyperlink"/>
            <w:rFonts w:ascii="Times New Roman" w:hAnsi="Times New Roman" w:cs="Times New Roman"/>
            <w:noProof/>
          </w:rPr>
          <w:t>2.4 Diagnosis and Treatment</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_Toc87797063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8</w:t>
        </w:r>
        <w:r w:rsidR="00356468" w:rsidRPr="003D2D46">
          <w:rPr>
            <w:rFonts w:ascii="Times New Roman" w:hAnsi="Times New Roman" w:cs="Times New Roman"/>
            <w:noProof/>
            <w:webHidden/>
          </w:rPr>
          <w:fldChar w:fldCharType="end"/>
        </w:r>
      </w:hyperlink>
    </w:p>
    <w:p w14:paraId="39694F0B" w14:textId="538195AC" w:rsidR="00356468" w:rsidRPr="003D2D46" w:rsidRDefault="00D32FDA">
      <w:pPr>
        <w:pStyle w:val="TOC4"/>
        <w:rPr>
          <w:rFonts w:eastAsiaTheme="minorEastAsia" w:cs="Times New Roman"/>
          <w:noProof/>
        </w:rPr>
      </w:pPr>
      <w:hyperlink w:anchor="_Toc87797064" w:history="1">
        <w:r w:rsidR="00356468" w:rsidRPr="003D2D46">
          <w:rPr>
            <w:rStyle w:val="Hyperlink"/>
            <w:rFonts w:cs="Times New Roman"/>
            <w:noProof/>
          </w:rPr>
          <w:t>2.4.1 Diagnostic Criteria</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_Toc87797064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w:t>
        </w:r>
        <w:r w:rsidR="00356468" w:rsidRPr="003D2D46">
          <w:rPr>
            <w:rFonts w:cs="Times New Roman"/>
            <w:noProof/>
            <w:webHidden/>
          </w:rPr>
          <w:fldChar w:fldCharType="end"/>
        </w:r>
      </w:hyperlink>
    </w:p>
    <w:p w14:paraId="180A30E4" w14:textId="22F114B4" w:rsidR="00356468" w:rsidRPr="003D2D46" w:rsidRDefault="00D32FDA">
      <w:pPr>
        <w:pStyle w:val="TOC4"/>
        <w:rPr>
          <w:rFonts w:eastAsiaTheme="minorEastAsia" w:cs="Times New Roman"/>
          <w:noProof/>
        </w:rPr>
      </w:pPr>
      <w:hyperlink w:anchor="_Toc87797065" w:history="1">
        <w:r w:rsidR="00356468" w:rsidRPr="003D2D46">
          <w:rPr>
            <w:rStyle w:val="Hyperlink"/>
            <w:rFonts w:cs="Times New Roman"/>
            <w:noProof/>
          </w:rPr>
          <w:t>2.4.2 Treatment</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_Toc87797065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11</w:t>
        </w:r>
        <w:r w:rsidR="00356468" w:rsidRPr="003D2D46">
          <w:rPr>
            <w:rFonts w:cs="Times New Roman"/>
            <w:noProof/>
            <w:webHidden/>
          </w:rPr>
          <w:fldChar w:fldCharType="end"/>
        </w:r>
      </w:hyperlink>
    </w:p>
    <w:p w14:paraId="5A0250C6" w14:textId="43B8C56E" w:rsidR="00356468" w:rsidRPr="003D2D46" w:rsidRDefault="00D32FDA">
      <w:pPr>
        <w:pStyle w:val="TOC3"/>
        <w:rPr>
          <w:rFonts w:ascii="Times New Roman" w:eastAsiaTheme="minorEastAsia" w:hAnsi="Times New Roman" w:cs="Times New Roman"/>
          <w:noProof/>
        </w:rPr>
      </w:pPr>
      <w:hyperlink w:anchor="_Toc87797066" w:history="1">
        <w:r w:rsidR="00356468" w:rsidRPr="003D2D46">
          <w:rPr>
            <w:rStyle w:val="Hyperlink"/>
            <w:rFonts w:ascii="Times New Roman" w:hAnsi="Times New Roman" w:cs="Times New Roman"/>
            <w:noProof/>
          </w:rPr>
          <w:t>2.5 Transmission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_Toc87797066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12</w:t>
        </w:r>
        <w:r w:rsidR="00356468" w:rsidRPr="003D2D46">
          <w:rPr>
            <w:rFonts w:ascii="Times New Roman" w:hAnsi="Times New Roman" w:cs="Times New Roman"/>
            <w:noProof/>
            <w:webHidden/>
          </w:rPr>
          <w:fldChar w:fldCharType="end"/>
        </w:r>
      </w:hyperlink>
    </w:p>
    <w:p w14:paraId="25E1B3BE" w14:textId="5C79E4F5" w:rsidR="00356468" w:rsidRPr="003D2D46" w:rsidRDefault="00D32FDA">
      <w:pPr>
        <w:pStyle w:val="TOC3"/>
        <w:rPr>
          <w:rFonts w:ascii="Times New Roman" w:eastAsiaTheme="minorEastAsia" w:hAnsi="Times New Roman" w:cs="Times New Roman"/>
          <w:noProof/>
        </w:rPr>
      </w:pPr>
      <w:hyperlink w:anchor="_Toc87797067" w:history="1">
        <w:r w:rsidR="00356468" w:rsidRPr="003D2D46">
          <w:rPr>
            <w:rStyle w:val="Hyperlink"/>
            <w:rFonts w:ascii="Times New Roman" w:hAnsi="Times New Roman" w:cs="Times New Roman"/>
            <w:noProof/>
          </w:rPr>
          <w:t>2.6 Epidemiology</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_Toc87797067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13</w:t>
        </w:r>
        <w:r w:rsidR="00356468" w:rsidRPr="003D2D46">
          <w:rPr>
            <w:rFonts w:ascii="Times New Roman" w:hAnsi="Times New Roman" w:cs="Times New Roman"/>
            <w:noProof/>
            <w:webHidden/>
          </w:rPr>
          <w:fldChar w:fldCharType="end"/>
        </w:r>
      </w:hyperlink>
    </w:p>
    <w:p w14:paraId="5EB94482" w14:textId="53BAFE0D" w:rsidR="00356468" w:rsidRPr="003D2D46" w:rsidRDefault="00D32FDA">
      <w:pPr>
        <w:pStyle w:val="TOC4"/>
        <w:rPr>
          <w:rFonts w:eastAsiaTheme="minorEastAsia" w:cs="Times New Roman"/>
          <w:noProof/>
        </w:rPr>
      </w:pPr>
      <w:hyperlink w:anchor="_Toc87797068" w:history="1">
        <w:r w:rsidR="00356468" w:rsidRPr="003D2D46">
          <w:rPr>
            <w:rStyle w:val="Hyperlink"/>
            <w:rFonts w:cs="Times New Roman"/>
            <w:noProof/>
          </w:rPr>
          <w:t>2.6.1 Global Burden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_Toc87797068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13</w:t>
        </w:r>
        <w:r w:rsidR="00356468" w:rsidRPr="003D2D46">
          <w:rPr>
            <w:rFonts w:cs="Times New Roman"/>
            <w:noProof/>
            <w:webHidden/>
          </w:rPr>
          <w:fldChar w:fldCharType="end"/>
        </w:r>
      </w:hyperlink>
    </w:p>
    <w:p w14:paraId="048609D2" w14:textId="3A7884CB" w:rsidR="00356468" w:rsidRPr="003D2D46" w:rsidRDefault="00D32FDA">
      <w:pPr>
        <w:pStyle w:val="TOC4"/>
        <w:rPr>
          <w:rFonts w:eastAsiaTheme="minorEastAsia" w:cs="Times New Roman"/>
          <w:noProof/>
        </w:rPr>
      </w:pPr>
      <w:hyperlink w:anchor="_Toc87797069" w:history="1">
        <w:r w:rsidR="00356468" w:rsidRPr="003D2D46">
          <w:rPr>
            <w:rStyle w:val="Hyperlink"/>
            <w:rFonts w:cs="Times New Roman"/>
            <w:noProof/>
          </w:rPr>
          <w:t>2.6.2 Burden in North America</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_Toc87797069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15</w:t>
        </w:r>
        <w:r w:rsidR="00356468" w:rsidRPr="003D2D46">
          <w:rPr>
            <w:rFonts w:cs="Times New Roman"/>
            <w:noProof/>
            <w:webHidden/>
          </w:rPr>
          <w:fldChar w:fldCharType="end"/>
        </w:r>
      </w:hyperlink>
    </w:p>
    <w:p w14:paraId="2533618E" w14:textId="2113DEB7" w:rsidR="00356468" w:rsidRPr="003D2D46" w:rsidRDefault="00D32FDA">
      <w:pPr>
        <w:pStyle w:val="TOC5"/>
        <w:rPr>
          <w:rFonts w:eastAsiaTheme="minorEastAsia" w:cs="Times New Roman"/>
          <w:noProof/>
        </w:rPr>
      </w:pPr>
      <w:hyperlink w:anchor="_Toc87797070" w:history="1">
        <w:r w:rsidR="00356468" w:rsidRPr="003D2D46">
          <w:rPr>
            <w:rStyle w:val="Hyperlink"/>
            <w:rFonts w:cs="Times New Roman"/>
            <w:noProof/>
          </w:rPr>
          <w:t>2.6.2.1 United States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16</w:t>
        </w:r>
        <w:r w:rsidR="00356468" w:rsidRPr="003D2D46">
          <w:rPr>
            <w:rFonts w:cs="Times New Roman"/>
            <w:noProof/>
            <w:webHidden/>
          </w:rPr>
          <w:fldChar w:fldCharType="end"/>
        </w:r>
      </w:hyperlink>
    </w:p>
    <w:p w14:paraId="3F325B21" w14:textId="2A708F84" w:rsidR="00356468" w:rsidRPr="003D2D46" w:rsidRDefault="00D32FDA">
      <w:pPr>
        <w:pStyle w:val="TOC5"/>
        <w:rPr>
          <w:rFonts w:eastAsiaTheme="minorEastAsia" w:cs="Times New Roman"/>
          <w:noProof/>
        </w:rPr>
      </w:pPr>
      <w:hyperlink w:anchor="_Toc87797071" w:history="1">
        <w:r w:rsidR="00356468" w:rsidRPr="003D2D46">
          <w:rPr>
            <w:rStyle w:val="Hyperlink"/>
            <w:rFonts w:cs="Times New Roman"/>
            <w:noProof/>
          </w:rPr>
          <w:t>2.6.2.2 Florida</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17</w:t>
        </w:r>
        <w:r w:rsidR="00356468" w:rsidRPr="003D2D46">
          <w:rPr>
            <w:rFonts w:cs="Times New Roman"/>
            <w:noProof/>
            <w:webHidden/>
          </w:rPr>
          <w:fldChar w:fldCharType="end"/>
        </w:r>
      </w:hyperlink>
    </w:p>
    <w:p w14:paraId="09DED2F7" w14:textId="2DA04F8B" w:rsidR="00356468" w:rsidRPr="003D2D46" w:rsidRDefault="00D32FDA">
      <w:pPr>
        <w:pStyle w:val="TOC4"/>
        <w:rPr>
          <w:rFonts w:eastAsiaTheme="minorEastAsia" w:cs="Times New Roman"/>
          <w:noProof/>
        </w:rPr>
      </w:pPr>
      <w:hyperlink w:anchor="_Toc87797072" w:history="1">
        <w:r w:rsidR="00356468" w:rsidRPr="003D2D46">
          <w:rPr>
            <w:rStyle w:val="Hyperlink"/>
            <w:rFonts w:cs="Times New Roman"/>
            <w:noProof/>
          </w:rPr>
          <w:t>2.6.3 Geographic Distribution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18</w:t>
        </w:r>
        <w:r w:rsidR="00356468" w:rsidRPr="003D2D46">
          <w:rPr>
            <w:rFonts w:cs="Times New Roman"/>
            <w:noProof/>
            <w:webHidden/>
          </w:rPr>
          <w:fldChar w:fldCharType="end"/>
        </w:r>
      </w:hyperlink>
    </w:p>
    <w:p w14:paraId="444FF644" w14:textId="646615CC" w:rsidR="00356468" w:rsidRPr="003D2D46" w:rsidRDefault="00D32FDA">
      <w:pPr>
        <w:pStyle w:val="TOC4"/>
        <w:rPr>
          <w:rFonts w:eastAsiaTheme="minorEastAsia" w:cs="Times New Roman"/>
          <w:noProof/>
        </w:rPr>
      </w:pPr>
      <w:hyperlink w:anchor="_Toc87797073" w:history="1">
        <w:r w:rsidR="00356468" w:rsidRPr="003D2D46">
          <w:rPr>
            <w:rStyle w:val="Hyperlink"/>
            <w:rFonts w:cs="Times New Roman"/>
            <w:noProof/>
          </w:rPr>
          <w:t>2.6.4 Temporal Patterns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20</w:t>
        </w:r>
        <w:r w:rsidR="00356468" w:rsidRPr="003D2D46">
          <w:rPr>
            <w:rFonts w:cs="Times New Roman"/>
            <w:noProof/>
            <w:webHidden/>
          </w:rPr>
          <w:fldChar w:fldCharType="end"/>
        </w:r>
      </w:hyperlink>
    </w:p>
    <w:p w14:paraId="4AA772CF" w14:textId="58DA0887" w:rsidR="00356468" w:rsidRPr="003D2D46" w:rsidRDefault="00D32FDA">
      <w:pPr>
        <w:pStyle w:val="TOC4"/>
        <w:rPr>
          <w:rFonts w:eastAsiaTheme="minorEastAsia" w:cs="Times New Roman"/>
          <w:noProof/>
        </w:rPr>
      </w:pPr>
      <w:hyperlink w:anchor="_Toc87797074" w:history="1">
        <w:r w:rsidR="00356468" w:rsidRPr="003D2D46">
          <w:rPr>
            <w:rStyle w:val="Hyperlink"/>
            <w:rFonts w:cs="Times New Roman"/>
            <w:noProof/>
          </w:rPr>
          <w:t>2.6.5 Risk Factors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21</w:t>
        </w:r>
        <w:r w:rsidR="00356468" w:rsidRPr="003D2D46">
          <w:rPr>
            <w:rFonts w:cs="Times New Roman"/>
            <w:noProof/>
            <w:webHidden/>
          </w:rPr>
          <w:fldChar w:fldCharType="end"/>
        </w:r>
      </w:hyperlink>
    </w:p>
    <w:p w14:paraId="14EC3C74" w14:textId="065E6897" w:rsidR="00356468" w:rsidRPr="003D2D46" w:rsidRDefault="00D32FDA">
      <w:pPr>
        <w:pStyle w:val="TOC4"/>
        <w:rPr>
          <w:rFonts w:eastAsiaTheme="minorEastAsia" w:cs="Times New Roman"/>
          <w:noProof/>
        </w:rPr>
      </w:pPr>
      <w:hyperlink w:anchor="_Toc87797075" w:history="1">
        <w:r w:rsidR="00356468" w:rsidRPr="003D2D46">
          <w:rPr>
            <w:rStyle w:val="Hyperlink"/>
            <w:rFonts w:cs="Times New Roman"/>
            <w:noProof/>
          </w:rPr>
          <w:t>2.6.6 Reporting</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23</w:t>
        </w:r>
        <w:r w:rsidR="00356468" w:rsidRPr="003D2D46">
          <w:rPr>
            <w:rFonts w:cs="Times New Roman"/>
            <w:noProof/>
            <w:webHidden/>
          </w:rPr>
          <w:fldChar w:fldCharType="end"/>
        </w:r>
      </w:hyperlink>
    </w:p>
    <w:p w14:paraId="45D7EC08" w14:textId="758194E1" w:rsidR="00356468" w:rsidRPr="003D2D46" w:rsidRDefault="00D32FDA">
      <w:pPr>
        <w:pStyle w:val="TOC3"/>
        <w:rPr>
          <w:rFonts w:ascii="Times New Roman" w:eastAsiaTheme="minorEastAsia" w:hAnsi="Times New Roman" w:cs="Times New Roman"/>
          <w:noProof/>
        </w:rPr>
      </w:pPr>
      <w:hyperlink w:anchor="_Toc87797076" w:history="1">
        <w:r w:rsidR="00356468" w:rsidRPr="003D2D46">
          <w:rPr>
            <w:rStyle w:val="Hyperlink"/>
            <w:rFonts w:ascii="Times New Roman" w:hAnsi="Times New Roman" w:cs="Times New Roman"/>
            <w:noProof/>
          </w:rPr>
          <w:t>2.7 Control and Prevention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_Toc87797076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25</w:t>
        </w:r>
        <w:r w:rsidR="00356468" w:rsidRPr="003D2D46">
          <w:rPr>
            <w:rFonts w:ascii="Times New Roman" w:hAnsi="Times New Roman" w:cs="Times New Roman"/>
            <w:noProof/>
            <w:webHidden/>
          </w:rPr>
          <w:fldChar w:fldCharType="end"/>
        </w:r>
      </w:hyperlink>
    </w:p>
    <w:p w14:paraId="0786CA19" w14:textId="39FC27A7" w:rsidR="00356468" w:rsidRPr="003D2D46" w:rsidRDefault="00D32FDA">
      <w:pPr>
        <w:pStyle w:val="TOC4"/>
        <w:rPr>
          <w:rFonts w:eastAsiaTheme="minorEastAsia" w:cs="Times New Roman"/>
          <w:noProof/>
        </w:rPr>
      </w:pPr>
      <w:hyperlink w:anchor="_Toc87797077" w:history="1">
        <w:r w:rsidR="00356468" w:rsidRPr="003D2D46">
          <w:rPr>
            <w:rStyle w:val="Hyperlink"/>
            <w:rFonts w:cs="Times New Roman"/>
            <w:noProof/>
          </w:rPr>
          <w:t>2.7.1 Pertussis Vaccines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_Toc87797077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26</w:t>
        </w:r>
        <w:r w:rsidR="00356468" w:rsidRPr="003D2D46">
          <w:rPr>
            <w:rFonts w:cs="Times New Roman"/>
            <w:noProof/>
            <w:webHidden/>
          </w:rPr>
          <w:fldChar w:fldCharType="end"/>
        </w:r>
      </w:hyperlink>
    </w:p>
    <w:p w14:paraId="5903D6BB" w14:textId="0541EF5B" w:rsidR="00356468" w:rsidRPr="003D2D46" w:rsidRDefault="00D32FDA">
      <w:pPr>
        <w:pStyle w:val="TOC4"/>
        <w:rPr>
          <w:rFonts w:eastAsiaTheme="minorEastAsia" w:cs="Times New Roman"/>
          <w:noProof/>
        </w:rPr>
      </w:pPr>
      <w:hyperlink w:anchor="_Toc87797078" w:history="1">
        <w:r w:rsidR="00356468" w:rsidRPr="003D2D46">
          <w:rPr>
            <w:rStyle w:val="Hyperlink"/>
            <w:rFonts w:cs="Times New Roman"/>
            <w:noProof/>
          </w:rPr>
          <w:t>2.7.2 Immunity</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27</w:t>
        </w:r>
        <w:r w:rsidR="00356468" w:rsidRPr="003D2D46">
          <w:rPr>
            <w:rFonts w:cs="Times New Roman"/>
            <w:noProof/>
            <w:webHidden/>
          </w:rPr>
          <w:fldChar w:fldCharType="end"/>
        </w:r>
      </w:hyperlink>
    </w:p>
    <w:p w14:paraId="03519FE0" w14:textId="17BF0E6E" w:rsidR="00356468" w:rsidRPr="003D2D46" w:rsidRDefault="00D32FDA">
      <w:pPr>
        <w:pStyle w:val="TOC4"/>
        <w:rPr>
          <w:rFonts w:eastAsiaTheme="minorEastAsia" w:cs="Times New Roman"/>
          <w:noProof/>
        </w:rPr>
      </w:pPr>
      <w:hyperlink w:anchor="_Toc87797079" w:history="1">
        <w:r w:rsidR="00356468" w:rsidRPr="003D2D46">
          <w:rPr>
            <w:rStyle w:val="Hyperlink"/>
            <w:rFonts w:cs="Times New Roman"/>
            <w:noProof/>
          </w:rPr>
          <w:t>2.7.3 Vaccine Efficacy</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_Toc87797079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28</w:t>
        </w:r>
        <w:r w:rsidR="00356468" w:rsidRPr="003D2D46">
          <w:rPr>
            <w:rFonts w:cs="Times New Roman"/>
            <w:noProof/>
            <w:webHidden/>
          </w:rPr>
          <w:fldChar w:fldCharType="end"/>
        </w:r>
      </w:hyperlink>
    </w:p>
    <w:p w14:paraId="6D6F02FA" w14:textId="350164B1" w:rsidR="00356468" w:rsidRPr="003D2D46" w:rsidRDefault="00D32FDA">
      <w:pPr>
        <w:pStyle w:val="TOC4"/>
        <w:rPr>
          <w:rFonts w:eastAsiaTheme="minorEastAsia" w:cs="Times New Roman"/>
          <w:noProof/>
        </w:rPr>
      </w:pPr>
      <w:hyperlink w:anchor="_Toc87797080" w:history="1">
        <w:r w:rsidR="00356468" w:rsidRPr="003D2D46">
          <w:rPr>
            <w:rStyle w:val="Hyperlink"/>
            <w:rFonts w:cs="Times New Roman"/>
            <w:noProof/>
          </w:rPr>
          <w:t>2.7.4 Pertussis Vaccination for Special Populations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_Toc87797080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29</w:t>
        </w:r>
        <w:r w:rsidR="00356468" w:rsidRPr="003D2D46">
          <w:rPr>
            <w:rFonts w:cs="Times New Roman"/>
            <w:noProof/>
            <w:webHidden/>
          </w:rPr>
          <w:fldChar w:fldCharType="end"/>
        </w:r>
      </w:hyperlink>
    </w:p>
    <w:p w14:paraId="56D23046" w14:textId="4595445B" w:rsidR="00356468" w:rsidRPr="003D2D46" w:rsidRDefault="00D32FDA">
      <w:pPr>
        <w:pStyle w:val="TOC4"/>
        <w:rPr>
          <w:rFonts w:eastAsiaTheme="minorEastAsia" w:cs="Times New Roman"/>
          <w:noProof/>
        </w:rPr>
      </w:pPr>
      <w:hyperlink w:anchor="_Toc87797081" w:history="1">
        <w:r w:rsidR="00356468" w:rsidRPr="003D2D46">
          <w:rPr>
            <w:rStyle w:val="Hyperlink"/>
            <w:rFonts w:cs="Times New Roman"/>
            <w:noProof/>
          </w:rPr>
          <w:t>2.7.5 Vaccination Coverage in the United States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_Toc87797081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29</w:t>
        </w:r>
        <w:r w:rsidR="00356468" w:rsidRPr="003D2D46">
          <w:rPr>
            <w:rFonts w:cs="Times New Roman"/>
            <w:noProof/>
            <w:webHidden/>
          </w:rPr>
          <w:fldChar w:fldCharType="end"/>
        </w:r>
      </w:hyperlink>
    </w:p>
    <w:p w14:paraId="5892DD26" w14:textId="7FE7EA81" w:rsidR="00356468" w:rsidRPr="003D2D46" w:rsidRDefault="00D32FDA">
      <w:pPr>
        <w:pStyle w:val="TOC4"/>
        <w:rPr>
          <w:rFonts w:eastAsiaTheme="minorEastAsia" w:cs="Times New Roman"/>
          <w:noProof/>
        </w:rPr>
      </w:pPr>
      <w:hyperlink w:anchor="_Toc87797082" w:history="1">
        <w:r w:rsidR="00356468" w:rsidRPr="003D2D46">
          <w:rPr>
            <w:rStyle w:val="Hyperlink"/>
            <w:rFonts w:cs="Times New Roman"/>
            <w:noProof/>
          </w:rPr>
          <w:t>2.7.6 Attitudes Towards Vaccinations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_Toc87797082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31</w:t>
        </w:r>
        <w:r w:rsidR="00356468" w:rsidRPr="003D2D46">
          <w:rPr>
            <w:rFonts w:cs="Times New Roman"/>
            <w:noProof/>
            <w:webHidden/>
          </w:rPr>
          <w:fldChar w:fldCharType="end"/>
        </w:r>
      </w:hyperlink>
    </w:p>
    <w:p w14:paraId="153ACDFA" w14:textId="3C8E105B" w:rsidR="00356468" w:rsidRPr="003D2D46" w:rsidRDefault="00D32FDA">
      <w:pPr>
        <w:pStyle w:val="TOC4"/>
        <w:rPr>
          <w:rFonts w:eastAsiaTheme="minorEastAsia" w:cs="Times New Roman"/>
          <w:noProof/>
        </w:rPr>
      </w:pPr>
      <w:hyperlink w:anchor="_Toc87797083" w:history="1">
        <w:r w:rsidR="00356468" w:rsidRPr="003D2D46">
          <w:rPr>
            <w:rStyle w:val="Hyperlink"/>
            <w:rFonts w:cs="Times New Roman"/>
            <w:noProof/>
          </w:rPr>
          <w:t>2.7.7 Vaccination Exemptions in the United States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_Toc87797083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32</w:t>
        </w:r>
        <w:r w:rsidR="00356468" w:rsidRPr="003D2D46">
          <w:rPr>
            <w:rFonts w:cs="Times New Roman"/>
            <w:noProof/>
            <w:webHidden/>
          </w:rPr>
          <w:fldChar w:fldCharType="end"/>
        </w:r>
      </w:hyperlink>
    </w:p>
    <w:p w14:paraId="0BFCBB20" w14:textId="294D6314" w:rsidR="00356468" w:rsidRPr="003D2D46" w:rsidRDefault="00D32FDA">
      <w:pPr>
        <w:pStyle w:val="TOC3"/>
        <w:rPr>
          <w:rFonts w:ascii="Times New Roman" w:eastAsiaTheme="minorEastAsia" w:hAnsi="Times New Roman" w:cs="Times New Roman"/>
          <w:noProof/>
        </w:rPr>
      </w:pPr>
      <w:hyperlink w:anchor="_Toc87797084" w:history="1">
        <w:r w:rsidR="00356468" w:rsidRPr="003D2D46">
          <w:rPr>
            <w:rStyle w:val="Hyperlink"/>
            <w:rFonts w:ascii="Times New Roman" w:hAnsi="Times New Roman" w:cs="Times New Roman"/>
            <w:noProof/>
          </w:rPr>
          <w:t>2.8 Conclusions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_Toc87797084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33</w:t>
        </w:r>
        <w:r w:rsidR="00356468" w:rsidRPr="003D2D46">
          <w:rPr>
            <w:rFonts w:ascii="Times New Roman" w:hAnsi="Times New Roman" w:cs="Times New Roman"/>
            <w:noProof/>
            <w:webHidden/>
          </w:rPr>
          <w:fldChar w:fldCharType="end"/>
        </w:r>
      </w:hyperlink>
    </w:p>
    <w:p w14:paraId="79A38327" w14:textId="43859A25" w:rsidR="00356468" w:rsidRPr="003D2D46" w:rsidRDefault="00D32FDA">
      <w:pPr>
        <w:pStyle w:val="TOC1"/>
        <w:rPr>
          <w:rFonts w:ascii="Times New Roman" w:eastAsiaTheme="minorEastAsia" w:hAnsi="Times New Roman" w:cs="Times New Roman"/>
          <w:noProof/>
        </w:rPr>
      </w:pPr>
      <w:hyperlink w:anchor="_Toc87797085" w:history="1">
        <w:r w:rsidR="00356468" w:rsidRPr="003D2D46">
          <w:rPr>
            <w:rStyle w:val="Hyperlink"/>
            <w:rFonts w:ascii="Times New Roman" w:hAnsi="Times New Roman" w:cs="Times New Roman"/>
            <w:noProof/>
          </w:rPr>
          <w:t>CHAPTER 3</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_Toc87797085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34</w:t>
        </w:r>
        <w:r w:rsidR="00356468" w:rsidRPr="003D2D46">
          <w:rPr>
            <w:rFonts w:ascii="Times New Roman" w:hAnsi="Times New Roman" w:cs="Times New Roman"/>
            <w:noProof/>
            <w:webHidden/>
          </w:rPr>
          <w:fldChar w:fldCharType="end"/>
        </w:r>
      </w:hyperlink>
    </w:p>
    <w:p w14:paraId="10EB68C8" w14:textId="25874CBE" w:rsidR="00356468" w:rsidRPr="003D2D46" w:rsidRDefault="00D32FDA">
      <w:pPr>
        <w:pStyle w:val="TOC1"/>
        <w:rPr>
          <w:rFonts w:ascii="Times New Roman" w:eastAsiaTheme="minorEastAsia" w:hAnsi="Times New Roman" w:cs="Times New Roman"/>
          <w:noProof/>
        </w:rPr>
      </w:pPr>
      <w:hyperlink w:anchor="_Toc87797086" w:history="1">
        <w:r w:rsidR="00356468" w:rsidRPr="003D2D46">
          <w:rPr>
            <w:rStyle w:val="Hyperlink"/>
            <w:rFonts w:ascii="Times New Roman" w:hAnsi="Times New Roman" w:cs="Times New Roman"/>
            <w:noProof/>
          </w:rPr>
          <w:t>Attitudes of East Tennessee Residents Toward General and Pertussis                Vaccination: A Qualitative Study</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34</w:t>
        </w:r>
        <w:r w:rsidR="00356468" w:rsidRPr="003D2D46">
          <w:rPr>
            <w:rFonts w:ascii="Times New Roman" w:hAnsi="Times New Roman" w:cs="Times New Roman"/>
            <w:noProof/>
            <w:webHidden/>
          </w:rPr>
          <w:fldChar w:fldCharType="end"/>
        </w:r>
      </w:hyperlink>
    </w:p>
    <w:p w14:paraId="321F6CA4" w14:textId="1B940611" w:rsidR="00356468" w:rsidRPr="003D2D46" w:rsidRDefault="00D32FDA">
      <w:pPr>
        <w:pStyle w:val="TOC2"/>
        <w:rPr>
          <w:rFonts w:ascii="Times New Roman" w:eastAsiaTheme="minorEastAsia" w:hAnsi="Times New Roman" w:cs="Times New Roman"/>
          <w:noProof/>
        </w:rPr>
      </w:pPr>
      <w:hyperlink w:anchor="_Toc87797087" w:history="1">
        <w:r w:rsidR="00356468" w:rsidRPr="003D2D46">
          <w:rPr>
            <w:rStyle w:val="Hyperlink"/>
            <w:rFonts w:ascii="Times New Roman" w:hAnsi="Times New Roman" w:cs="Times New Roman"/>
            <w:noProof/>
          </w:rPr>
          <w:t>3.1 Disclosure</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35</w:t>
        </w:r>
        <w:r w:rsidR="00356468" w:rsidRPr="003D2D46">
          <w:rPr>
            <w:rFonts w:ascii="Times New Roman" w:hAnsi="Times New Roman" w:cs="Times New Roman"/>
            <w:noProof/>
            <w:webHidden/>
          </w:rPr>
          <w:fldChar w:fldCharType="end"/>
        </w:r>
      </w:hyperlink>
    </w:p>
    <w:p w14:paraId="7A979AF4" w14:textId="1E467250" w:rsidR="00356468" w:rsidRPr="003D2D46" w:rsidRDefault="00D32FDA">
      <w:pPr>
        <w:pStyle w:val="TOC2"/>
        <w:rPr>
          <w:rFonts w:ascii="Times New Roman" w:eastAsiaTheme="minorEastAsia" w:hAnsi="Times New Roman" w:cs="Times New Roman"/>
          <w:noProof/>
        </w:rPr>
      </w:pPr>
      <w:hyperlink w:anchor="_Toc87797088" w:history="1">
        <w:r w:rsidR="00356468" w:rsidRPr="003D2D46">
          <w:rPr>
            <w:rStyle w:val="Hyperlink"/>
            <w:rFonts w:ascii="Times New Roman" w:hAnsi="Times New Roman" w:cs="Times New Roman"/>
            <w:noProof/>
          </w:rPr>
          <w:t>3.2 Abstract</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_Toc87797088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36</w:t>
        </w:r>
        <w:r w:rsidR="00356468" w:rsidRPr="003D2D46">
          <w:rPr>
            <w:rFonts w:ascii="Times New Roman" w:hAnsi="Times New Roman" w:cs="Times New Roman"/>
            <w:noProof/>
            <w:webHidden/>
          </w:rPr>
          <w:fldChar w:fldCharType="end"/>
        </w:r>
      </w:hyperlink>
    </w:p>
    <w:p w14:paraId="25207881" w14:textId="10D4B3C0" w:rsidR="00356468" w:rsidRPr="003D2D46" w:rsidRDefault="00D32FDA">
      <w:pPr>
        <w:pStyle w:val="TOC2"/>
        <w:rPr>
          <w:rFonts w:ascii="Times New Roman" w:eastAsiaTheme="minorEastAsia" w:hAnsi="Times New Roman" w:cs="Times New Roman"/>
          <w:noProof/>
        </w:rPr>
      </w:pPr>
      <w:hyperlink w:anchor="_Toc87797089" w:history="1">
        <w:r w:rsidR="00356468" w:rsidRPr="003D2D46">
          <w:rPr>
            <w:rStyle w:val="Hyperlink"/>
            <w:rFonts w:ascii="Times New Roman" w:hAnsi="Times New Roman" w:cs="Times New Roman"/>
            <w:noProof/>
          </w:rPr>
          <w:t>3.3 Background</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_Toc87797089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37</w:t>
        </w:r>
        <w:r w:rsidR="00356468" w:rsidRPr="003D2D46">
          <w:rPr>
            <w:rFonts w:ascii="Times New Roman" w:hAnsi="Times New Roman" w:cs="Times New Roman"/>
            <w:noProof/>
            <w:webHidden/>
          </w:rPr>
          <w:fldChar w:fldCharType="end"/>
        </w:r>
      </w:hyperlink>
    </w:p>
    <w:p w14:paraId="69BBBC0F" w14:textId="16A823B9" w:rsidR="00356468" w:rsidRPr="003D2D46" w:rsidRDefault="00D32FDA">
      <w:pPr>
        <w:pStyle w:val="TOC4"/>
        <w:rPr>
          <w:rFonts w:eastAsiaTheme="minorEastAsia" w:cs="Times New Roman"/>
          <w:noProof/>
        </w:rPr>
      </w:pPr>
      <w:hyperlink w:anchor="_Toc87797090" w:history="1">
        <w:r w:rsidR="00356468" w:rsidRPr="003D2D46">
          <w:rPr>
            <w:rStyle w:val="Hyperlink"/>
            <w:rFonts w:eastAsia="Calibri" w:cs="Times New Roman"/>
            <w:noProof/>
          </w:rPr>
          <w:t xml:space="preserve">3.3.1 </w:t>
        </w:r>
        <w:r w:rsidR="00356468" w:rsidRPr="003D2D46">
          <w:rPr>
            <w:rStyle w:val="Hyperlink"/>
            <w:rFonts w:cs="Times New Roman"/>
            <w:noProof/>
          </w:rPr>
          <w:t>Vaccination</w:t>
        </w:r>
        <w:r w:rsidR="00356468" w:rsidRPr="003D2D46">
          <w:rPr>
            <w:rStyle w:val="Hyperlink"/>
            <w:rFonts w:eastAsia="Calibri" w:cs="Times New Roman"/>
            <w:noProof/>
          </w:rPr>
          <w:t xml:space="preserve"> Attitudes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38</w:t>
        </w:r>
        <w:r w:rsidR="00356468" w:rsidRPr="003D2D46">
          <w:rPr>
            <w:rFonts w:cs="Times New Roman"/>
            <w:noProof/>
            <w:webHidden/>
          </w:rPr>
          <w:fldChar w:fldCharType="end"/>
        </w:r>
      </w:hyperlink>
    </w:p>
    <w:p w14:paraId="622A8B6D" w14:textId="62C315B0" w:rsidR="00356468" w:rsidRPr="003D2D46" w:rsidRDefault="00D32FDA">
      <w:pPr>
        <w:pStyle w:val="TOC4"/>
        <w:rPr>
          <w:rFonts w:eastAsiaTheme="minorEastAsia" w:cs="Times New Roman"/>
          <w:noProof/>
        </w:rPr>
      </w:pPr>
      <w:hyperlink w:anchor="_Toc87797091" w:history="1">
        <w:r w:rsidR="00356468" w:rsidRPr="003D2D46">
          <w:rPr>
            <w:rStyle w:val="Hyperlink"/>
            <w:rFonts w:eastAsia="Calibri" w:cs="Times New Roman"/>
            <w:noProof/>
          </w:rPr>
          <w:t>3.3.2 Attitudes towards pertussis-containing vaccines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39</w:t>
        </w:r>
        <w:r w:rsidR="00356468" w:rsidRPr="003D2D46">
          <w:rPr>
            <w:rFonts w:cs="Times New Roman"/>
            <w:noProof/>
            <w:webHidden/>
          </w:rPr>
          <w:fldChar w:fldCharType="end"/>
        </w:r>
      </w:hyperlink>
    </w:p>
    <w:p w14:paraId="1533B7BB" w14:textId="154EF030" w:rsidR="00356468" w:rsidRPr="003D2D46" w:rsidRDefault="00D32FDA">
      <w:pPr>
        <w:pStyle w:val="TOC4"/>
        <w:rPr>
          <w:rFonts w:eastAsiaTheme="minorEastAsia" w:cs="Times New Roman"/>
          <w:noProof/>
        </w:rPr>
      </w:pPr>
      <w:hyperlink w:anchor="_Toc87797092" w:history="1">
        <w:r w:rsidR="00356468" w:rsidRPr="003D2D46">
          <w:rPr>
            <w:rStyle w:val="Hyperlink"/>
            <w:rFonts w:eastAsia="Calibri" w:cs="Times New Roman"/>
            <w:noProof/>
          </w:rPr>
          <w:t>3.3.3 Approaches to Understanding Health Behaviors and                              Vaccine Attitudes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40</w:t>
        </w:r>
        <w:r w:rsidR="00356468" w:rsidRPr="003D2D46">
          <w:rPr>
            <w:rFonts w:cs="Times New Roman"/>
            <w:noProof/>
            <w:webHidden/>
          </w:rPr>
          <w:fldChar w:fldCharType="end"/>
        </w:r>
      </w:hyperlink>
    </w:p>
    <w:p w14:paraId="7C1C4052" w14:textId="6EDFC750" w:rsidR="00356468" w:rsidRPr="003D2D46" w:rsidRDefault="00D32FDA">
      <w:pPr>
        <w:pStyle w:val="TOC2"/>
        <w:rPr>
          <w:rFonts w:ascii="Times New Roman" w:eastAsiaTheme="minorEastAsia" w:hAnsi="Times New Roman" w:cs="Times New Roman"/>
          <w:noProof/>
        </w:rPr>
      </w:pPr>
      <w:hyperlink w:anchor="_Toc87797093" w:history="1">
        <w:r w:rsidR="00356468" w:rsidRPr="003D2D46">
          <w:rPr>
            <w:rStyle w:val="Hyperlink"/>
            <w:rFonts w:ascii="Times New Roman" w:hAnsi="Times New Roman" w:cs="Times New Roman"/>
            <w:noProof/>
          </w:rPr>
          <w:t>3.4 Methods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_Toc87797093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42</w:t>
        </w:r>
        <w:r w:rsidR="00356468" w:rsidRPr="003D2D46">
          <w:rPr>
            <w:rFonts w:ascii="Times New Roman" w:hAnsi="Times New Roman" w:cs="Times New Roman"/>
            <w:noProof/>
            <w:webHidden/>
          </w:rPr>
          <w:fldChar w:fldCharType="end"/>
        </w:r>
      </w:hyperlink>
    </w:p>
    <w:p w14:paraId="62DC7D40" w14:textId="406AFC63" w:rsidR="00356468" w:rsidRPr="003D2D46" w:rsidRDefault="00D32FDA">
      <w:pPr>
        <w:pStyle w:val="TOC4"/>
        <w:rPr>
          <w:rFonts w:eastAsiaTheme="minorEastAsia" w:cs="Times New Roman"/>
          <w:noProof/>
        </w:rPr>
      </w:pPr>
      <w:hyperlink w:anchor="_Toc87797094" w:history="1">
        <w:r w:rsidR="00356468" w:rsidRPr="003D2D46">
          <w:rPr>
            <w:rStyle w:val="Hyperlink"/>
            <w:rFonts w:cs="Times New Roman"/>
            <w:noProof/>
          </w:rPr>
          <w:t>3.4.1 Participants and Recruitment</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42</w:t>
        </w:r>
        <w:r w:rsidR="00356468" w:rsidRPr="003D2D46">
          <w:rPr>
            <w:rFonts w:cs="Times New Roman"/>
            <w:noProof/>
            <w:webHidden/>
          </w:rPr>
          <w:fldChar w:fldCharType="end"/>
        </w:r>
      </w:hyperlink>
    </w:p>
    <w:p w14:paraId="3FBDFD02" w14:textId="4B43D1D4" w:rsidR="00356468" w:rsidRPr="003D2D46" w:rsidRDefault="00D32FDA">
      <w:pPr>
        <w:pStyle w:val="TOC4"/>
        <w:rPr>
          <w:rFonts w:eastAsiaTheme="minorEastAsia" w:cs="Times New Roman"/>
          <w:noProof/>
        </w:rPr>
      </w:pPr>
      <w:hyperlink w:anchor="_Toc87797095" w:history="1">
        <w:r w:rsidR="00356468" w:rsidRPr="003D2D46">
          <w:rPr>
            <w:rStyle w:val="Hyperlink"/>
            <w:rFonts w:cs="Times New Roman"/>
            <w:noProof/>
          </w:rPr>
          <w:t>3.4.2 Procedures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43</w:t>
        </w:r>
        <w:r w:rsidR="00356468" w:rsidRPr="003D2D46">
          <w:rPr>
            <w:rFonts w:cs="Times New Roman"/>
            <w:noProof/>
            <w:webHidden/>
          </w:rPr>
          <w:fldChar w:fldCharType="end"/>
        </w:r>
      </w:hyperlink>
    </w:p>
    <w:p w14:paraId="769FF9C2" w14:textId="7661A0E0" w:rsidR="00356468" w:rsidRPr="003D2D46" w:rsidRDefault="00D32FDA">
      <w:pPr>
        <w:pStyle w:val="TOC4"/>
        <w:rPr>
          <w:rFonts w:eastAsiaTheme="minorEastAsia" w:cs="Times New Roman"/>
          <w:noProof/>
        </w:rPr>
      </w:pPr>
      <w:hyperlink w:anchor="_Toc87797096" w:history="1">
        <w:r w:rsidR="00356468" w:rsidRPr="003D2D46">
          <w:rPr>
            <w:rStyle w:val="Hyperlink"/>
            <w:rFonts w:cs="Times New Roman"/>
            <w:noProof/>
          </w:rPr>
          <w:t>3.4.3 Analysis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_Toc87797096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45</w:t>
        </w:r>
        <w:r w:rsidR="00356468" w:rsidRPr="003D2D46">
          <w:rPr>
            <w:rFonts w:cs="Times New Roman"/>
            <w:noProof/>
            <w:webHidden/>
          </w:rPr>
          <w:fldChar w:fldCharType="end"/>
        </w:r>
      </w:hyperlink>
    </w:p>
    <w:p w14:paraId="723D84FB" w14:textId="561B5F22" w:rsidR="00356468" w:rsidRPr="003D2D46" w:rsidRDefault="00D32FDA">
      <w:pPr>
        <w:pStyle w:val="TOC2"/>
        <w:rPr>
          <w:rFonts w:ascii="Times New Roman" w:eastAsiaTheme="minorEastAsia" w:hAnsi="Times New Roman" w:cs="Times New Roman"/>
          <w:noProof/>
        </w:rPr>
      </w:pPr>
      <w:hyperlink w:anchor="_Toc87797097" w:history="1">
        <w:r w:rsidR="00356468" w:rsidRPr="003D2D46">
          <w:rPr>
            <w:rStyle w:val="Hyperlink"/>
            <w:rFonts w:ascii="Times New Roman" w:hAnsi="Times New Roman" w:cs="Times New Roman"/>
            <w:noProof/>
          </w:rPr>
          <w:t>3.5 Results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_Toc87797097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49</w:t>
        </w:r>
        <w:r w:rsidR="00356468" w:rsidRPr="003D2D46">
          <w:rPr>
            <w:rFonts w:ascii="Times New Roman" w:hAnsi="Times New Roman" w:cs="Times New Roman"/>
            <w:noProof/>
            <w:webHidden/>
          </w:rPr>
          <w:fldChar w:fldCharType="end"/>
        </w:r>
      </w:hyperlink>
    </w:p>
    <w:p w14:paraId="3D23749D" w14:textId="0794EE41" w:rsidR="00356468" w:rsidRPr="003D2D46" w:rsidRDefault="00D32FDA">
      <w:pPr>
        <w:pStyle w:val="TOC4"/>
        <w:rPr>
          <w:rFonts w:eastAsiaTheme="minorEastAsia" w:cs="Times New Roman"/>
          <w:noProof/>
        </w:rPr>
      </w:pPr>
      <w:hyperlink w:anchor="_Toc87797098" w:history="1">
        <w:r w:rsidR="00356468" w:rsidRPr="003D2D46">
          <w:rPr>
            <w:rStyle w:val="Hyperlink"/>
            <w:rFonts w:cs="Times New Roman"/>
            <w:noProof/>
          </w:rPr>
          <w:t>3.5.1 Participant Demographic Characteristics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49</w:t>
        </w:r>
        <w:r w:rsidR="00356468" w:rsidRPr="003D2D46">
          <w:rPr>
            <w:rFonts w:cs="Times New Roman"/>
            <w:noProof/>
            <w:webHidden/>
          </w:rPr>
          <w:fldChar w:fldCharType="end"/>
        </w:r>
      </w:hyperlink>
    </w:p>
    <w:p w14:paraId="143D8660" w14:textId="4ADC987C" w:rsidR="00356468" w:rsidRPr="003D2D46" w:rsidRDefault="00D32FDA">
      <w:pPr>
        <w:pStyle w:val="TOC4"/>
        <w:rPr>
          <w:rFonts w:eastAsiaTheme="minorEastAsia" w:cs="Times New Roman"/>
          <w:noProof/>
        </w:rPr>
      </w:pPr>
      <w:hyperlink w:anchor="_Toc87797099" w:history="1">
        <w:r w:rsidR="00356468" w:rsidRPr="003D2D46">
          <w:rPr>
            <w:rStyle w:val="Hyperlink"/>
            <w:rFonts w:cs="Times New Roman"/>
            <w:noProof/>
          </w:rPr>
          <w:t>3.5.2 Theme 1: Attitudes Towards Vaccination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_Toc87797099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49</w:t>
        </w:r>
        <w:r w:rsidR="00356468" w:rsidRPr="003D2D46">
          <w:rPr>
            <w:rFonts w:cs="Times New Roman"/>
            <w:noProof/>
            <w:webHidden/>
          </w:rPr>
          <w:fldChar w:fldCharType="end"/>
        </w:r>
      </w:hyperlink>
    </w:p>
    <w:p w14:paraId="1758D477" w14:textId="23F6344D" w:rsidR="00356468" w:rsidRPr="003D2D46" w:rsidRDefault="00D32FDA">
      <w:pPr>
        <w:pStyle w:val="TOC4"/>
        <w:rPr>
          <w:rFonts w:eastAsiaTheme="minorEastAsia" w:cs="Times New Roman"/>
          <w:noProof/>
        </w:rPr>
      </w:pPr>
      <w:hyperlink w:anchor="_Toc87797100" w:history="1">
        <w:r w:rsidR="00356468" w:rsidRPr="003D2D46">
          <w:rPr>
            <w:rStyle w:val="Hyperlink"/>
            <w:rFonts w:cs="Times New Roman"/>
            <w:noProof/>
          </w:rPr>
          <w:t>3.5.3 Theme 2: Reasons for Supporting Vaccination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51</w:t>
        </w:r>
        <w:r w:rsidR="00356468" w:rsidRPr="003D2D46">
          <w:rPr>
            <w:rFonts w:cs="Times New Roman"/>
            <w:noProof/>
            <w:webHidden/>
          </w:rPr>
          <w:fldChar w:fldCharType="end"/>
        </w:r>
      </w:hyperlink>
    </w:p>
    <w:p w14:paraId="45DB8690" w14:textId="2A221B27" w:rsidR="00356468" w:rsidRPr="003D2D46" w:rsidRDefault="00D32FDA">
      <w:pPr>
        <w:pStyle w:val="TOC4"/>
        <w:rPr>
          <w:rFonts w:eastAsiaTheme="minorEastAsia" w:cs="Times New Roman"/>
          <w:noProof/>
        </w:rPr>
      </w:pPr>
      <w:hyperlink w:anchor="_Toc87797101" w:history="1">
        <w:r w:rsidR="00356468" w:rsidRPr="003D2D46">
          <w:rPr>
            <w:rStyle w:val="Hyperlink"/>
            <w:rFonts w:cs="Times New Roman"/>
            <w:noProof/>
          </w:rPr>
          <w:t>3.5.4 Theme 3: Concerns and Reasons for Hesitancy</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52</w:t>
        </w:r>
        <w:r w:rsidR="00356468" w:rsidRPr="003D2D46">
          <w:rPr>
            <w:rFonts w:cs="Times New Roman"/>
            <w:noProof/>
            <w:webHidden/>
          </w:rPr>
          <w:fldChar w:fldCharType="end"/>
        </w:r>
      </w:hyperlink>
    </w:p>
    <w:p w14:paraId="11C61809" w14:textId="4A96084D" w:rsidR="00356468" w:rsidRPr="003D2D46" w:rsidRDefault="00D32FDA">
      <w:pPr>
        <w:pStyle w:val="TOC5"/>
        <w:rPr>
          <w:rFonts w:eastAsiaTheme="minorEastAsia" w:cs="Times New Roman"/>
          <w:noProof/>
        </w:rPr>
      </w:pPr>
      <w:hyperlink w:anchor="_Toc87797102" w:history="1">
        <w:r w:rsidR="00356468" w:rsidRPr="003D2D46">
          <w:rPr>
            <w:rStyle w:val="Hyperlink"/>
            <w:rFonts w:cs="Times New Roman"/>
            <w:noProof/>
          </w:rPr>
          <w:t>3.5.4.1 Number of Vaccines Administered</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52</w:t>
        </w:r>
        <w:r w:rsidR="00356468" w:rsidRPr="003D2D46">
          <w:rPr>
            <w:rFonts w:cs="Times New Roman"/>
            <w:noProof/>
            <w:webHidden/>
          </w:rPr>
          <w:fldChar w:fldCharType="end"/>
        </w:r>
      </w:hyperlink>
    </w:p>
    <w:p w14:paraId="7794BCF3" w14:textId="0851B009" w:rsidR="00356468" w:rsidRPr="003D2D46" w:rsidRDefault="00D32FDA">
      <w:pPr>
        <w:pStyle w:val="TOC5"/>
        <w:rPr>
          <w:rFonts w:eastAsiaTheme="minorEastAsia" w:cs="Times New Roman"/>
          <w:noProof/>
        </w:rPr>
      </w:pPr>
      <w:hyperlink w:anchor="_Toc87797103" w:history="1">
        <w:r w:rsidR="00356468" w:rsidRPr="003D2D46">
          <w:rPr>
            <w:rStyle w:val="Hyperlink"/>
            <w:rFonts w:cs="Times New Roman"/>
            <w:noProof/>
          </w:rPr>
          <w:t>3.5.4.2 Denial of Efficacy and Safety Concerns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53</w:t>
        </w:r>
        <w:r w:rsidR="00356468" w:rsidRPr="003D2D46">
          <w:rPr>
            <w:rFonts w:cs="Times New Roman"/>
            <w:noProof/>
            <w:webHidden/>
          </w:rPr>
          <w:fldChar w:fldCharType="end"/>
        </w:r>
      </w:hyperlink>
    </w:p>
    <w:p w14:paraId="2021B283" w14:textId="1665D474" w:rsidR="00356468" w:rsidRPr="003D2D46" w:rsidRDefault="00D32FDA">
      <w:pPr>
        <w:pStyle w:val="TOC5"/>
        <w:rPr>
          <w:rFonts w:eastAsiaTheme="minorEastAsia" w:cs="Times New Roman"/>
          <w:noProof/>
        </w:rPr>
      </w:pPr>
      <w:hyperlink w:anchor="_Toc87797104" w:history="1">
        <w:r w:rsidR="00356468" w:rsidRPr="003D2D46">
          <w:rPr>
            <w:rStyle w:val="Hyperlink"/>
            <w:rFonts w:cs="Times New Roman"/>
            <w:noProof/>
          </w:rPr>
          <w:t>3.5.4.3 Concern Regarding Safety, Side Effects,                                                   or Negative Consequences of Vaccination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53</w:t>
        </w:r>
        <w:r w:rsidR="00356468" w:rsidRPr="003D2D46">
          <w:rPr>
            <w:rFonts w:cs="Times New Roman"/>
            <w:noProof/>
            <w:webHidden/>
          </w:rPr>
          <w:fldChar w:fldCharType="end"/>
        </w:r>
      </w:hyperlink>
    </w:p>
    <w:p w14:paraId="47CA055C" w14:textId="46E84FEE" w:rsidR="00356468" w:rsidRPr="003D2D46" w:rsidRDefault="00D32FDA">
      <w:pPr>
        <w:pStyle w:val="TOC5"/>
        <w:rPr>
          <w:rFonts w:eastAsiaTheme="minorEastAsia" w:cs="Times New Roman"/>
          <w:noProof/>
        </w:rPr>
      </w:pPr>
      <w:hyperlink w:anchor="_Toc87797105" w:history="1">
        <w:r w:rsidR="00356468" w:rsidRPr="003D2D46">
          <w:rPr>
            <w:rStyle w:val="Hyperlink"/>
            <w:rFonts w:cs="Times New Roman"/>
            <w:noProof/>
          </w:rPr>
          <w:t>3.5.4.4. Risk Perception of Getting Pertussis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54</w:t>
        </w:r>
        <w:r w:rsidR="00356468" w:rsidRPr="003D2D46">
          <w:rPr>
            <w:rFonts w:cs="Times New Roman"/>
            <w:noProof/>
            <w:webHidden/>
          </w:rPr>
          <w:fldChar w:fldCharType="end"/>
        </w:r>
      </w:hyperlink>
    </w:p>
    <w:p w14:paraId="2C3C75FC" w14:textId="6FABB447" w:rsidR="00356468" w:rsidRPr="003D2D46" w:rsidRDefault="00D32FDA">
      <w:pPr>
        <w:pStyle w:val="TOC4"/>
        <w:rPr>
          <w:rFonts w:eastAsiaTheme="minorEastAsia" w:cs="Times New Roman"/>
          <w:noProof/>
        </w:rPr>
      </w:pPr>
      <w:hyperlink w:anchor="_Toc87797106" w:history="1">
        <w:r w:rsidR="00356468" w:rsidRPr="003D2D46">
          <w:rPr>
            <w:rStyle w:val="Hyperlink"/>
            <w:rFonts w:cs="Times New Roman"/>
            <w:noProof/>
          </w:rPr>
          <w:t>3.5.5 Theme Four: Knowledge and Information Sources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_Toc87797106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55</w:t>
        </w:r>
        <w:r w:rsidR="00356468" w:rsidRPr="003D2D46">
          <w:rPr>
            <w:rFonts w:cs="Times New Roman"/>
            <w:noProof/>
            <w:webHidden/>
          </w:rPr>
          <w:fldChar w:fldCharType="end"/>
        </w:r>
      </w:hyperlink>
    </w:p>
    <w:p w14:paraId="26871D0A" w14:textId="05BD10AB" w:rsidR="00356468" w:rsidRPr="003D2D46" w:rsidRDefault="00D32FDA">
      <w:pPr>
        <w:pStyle w:val="TOC2"/>
        <w:rPr>
          <w:rFonts w:ascii="Times New Roman" w:eastAsiaTheme="minorEastAsia" w:hAnsi="Times New Roman" w:cs="Times New Roman"/>
          <w:noProof/>
        </w:rPr>
      </w:pPr>
      <w:hyperlink w:anchor="_Toc87797107" w:history="1">
        <w:r w:rsidR="00356468" w:rsidRPr="003D2D46">
          <w:rPr>
            <w:rStyle w:val="Hyperlink"/>
            <w:rFonts w:ascii="Times New Roman" w:hAnsi="Times New Roman" w:cs="Times New Roman"/>
            <w:noProof/>
          </w:rPr>
          <w:t>3.6 Discussion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_Toc87797107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57</w:t>
        </w:r>
        <w:r w:rsidR="00356468" w:rsidRPr="003D2D46">
          <w:rPr>
            <w:rFonts w:ascii="Times New Roman" w:hAnsi="Times New Roman" w:cs="Times New Roman"/>
            <w:noProof/>
            <w:webHidden/>
          </w:rPr>
          <w:fldChar w:fldCharType="end"/>
        </w:r>
      </w:hyperlink>
    </w:p>
    <w:p w14:paraId="2871CFF7" w14:textId="42AC388E" w:rsidR="00356468" w:rsidRPr="003D2D46" w:rsidRDefault="00D32FDA">
      <w:pPr>
        <w:pStyle w:val="TOC4"/>
        <w:rPr>
          <w:rFonts w:eastAsiaTheme="minorEastAsia" w:cs="Times New Roman"/>
          <w:noProof/>
        </w:rPr>
      </w:pPr>
      <w:hyperlink w:anchor="_Toc87797108" w:history="1">
        <w:r w:rsidR="00356468" w:rsidRPr="003D2D46">
          <w:rPr>
            <w:rStyle w:val="Hyperlink"/>
            <w:rFonts w:eastAsia="Calibri" w:cs="Times New Roman"/>
            <w:noProof/>
          </w:rPr>
          <w:t>3.6.1 Dunning-Kruger, Knowledge, and Vaccine Hesitancy</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57</w:t>
        </w:r>
        <w:r w:rsidR="00356468" w:rsidRPr="003D2D46">
          <w:rPr>
            <w:rFonts w:cs="Times New Roman"/>
            <w:noProof/>
            <w:webHidden/>
          </w:rPr>
          <w:fldChar w:fldCharType="end"/>
        </w:r>
      </w:hyperlink>
    </w:p>
    <w:p w14:paraId="31440D93" w14:textId="0806693B" w:rsidR="00356468" w:rsidRPr="003D2D46" w:rsidRDefault="00D32FDA">
      <w:pPr>
        <w:pStyle w:val="TOC4"/>
        <w:rPr>
          <w:rFonts w:eastAsiaTheme="minorEastAsia" w:cs="Times New Roman"/>
          <w:noProof/>
        </w:rPr>
      </w:pPr>
      <w:hyperlink w:anchor="_Toc87797109" w:history="1">
        <w:r w:rsidR="00356468" w:rsidRPr="003D2D46">
          <w:rPr>
            <w:rStyle w:val="Hyperlink"/>
            <w:rFonts w:eastAsia="Calibri" w:cs="Times New Roman"/>
            <w:noProof/>
          </w:rPr>
          <w:t>3.6.2 Social and Familial Group Influence</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_Toc87797109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59</w:t>
        </w:r>
        <w:r w:rsidR="00356468" w:rsidRPr="003D2D46">
          <w:rPr>
            <w:rFonts w:cs="Times New Roman"/>
            <w:noProof/>
            <w:webHidden/>
          </w:rPr>
          <w:fldChar w:fldCharType="end"/>
        </w:r>
      </w:hyperlink>
    </w:p>
    <w:p w14:paraId="1AC987E3" w14:textId="323E0A98" w:rsidR="00356468" w:rsidRPr="003D2D46" w:rsidRDefault="00D32FDA">
      <w:pPr>
        <w:pStyle w:val="TOC4"/>
        <w:rPr>
          <w:rFonts w:eastAsiaTheme="minorEastAsia" w:cs="Times New Roman"/>
          <w:noProof/>
        </w:rPr>
      </w:pPr>
      <w:hyperlink w:anchor="_Toc87797110" w:history="1">
        <w:r w:rsidR="00356468" w:rsidRPr="003D2D46">
          <w:rPr>
            <w:rStyle w:val="Hyperlink"/>
            <w:rFonts w:eastAsia="Calibri" w:cs="Times New Roman"/>
            <w:noProof/>
          </w:rPr>
          <w:t>3.6.3 Strengths</w:t>
        </w:r>
        <w:r w:rsidR="00356468" w:rsidRPr="003D2D46">
          <w:rPr>
            <w:rStyle w:val="Hyperlink"/>
            <w:rFonts w:cs="Times New Roman"/>
            <w:noProof/>
          </w:rPr>
          <w:t xml:space="preserve"> </w:t>
        </w:r>
        <w:r w:rsidR="00356468" w:rsidRPr="003D2D46">
          <w:rPr>
            <w:rStyle w:val="Hyperlink"/>
            <w:rFonts w:eastAsia="Calibri" w:cs="Times New Roman"/>
            <w:noProof/>
          </w:rPr>
          <w:t>and</w:t>
        </w:r>
        <w:r w:rsidR="00356468" w:rsidRPr="003D2D46">
          <w:rPr>
            <w:rStyle w:val="Hyperlink"/>
            <w:rFonts w:cs="Times New Roman"/>
            <w:noProof/>
          </w:rPr>
          <w:t xml:space="preserve"> </w:t>
        </w:r>
        <w:r w:rsidR="00356468" w:rsidRPr="003D2D46">
          <w:rPr>
            <w:rStyle w:val="Hyperlink"/>
            <w:rFonts w:eastAsia="Calibri" w:cs="Times New Roman"/>
            <w:noProof/>
          </w:rPr>
          <w:t>Limitations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_Toc87797110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61</w:t>
        </w:r>
        <w:r w:rsidR="00356468" w:rsidRPr="003D2D46">
          <w:rPr>
            <w:rFonts w:cs="Times New Roman"/>
            <w:noProof/>
            <w:webHidden/>
          </w:rPr>
          <w:fldChar w:fldCharType="end"/>
        </w:r>
      </w:hyperlink>
    </w:p>
    <w:p w14:paraId="406ECDE1" w14:textId="57DAB783" w:rsidR="00356468" w:rsidRPr="003D2D46" w:rsidRDefault="00D32FDA">
      <w:pPr>
        <w:pStyle w:val="TOC2"/>
        <w:rPr>
          <w:rFonts w:ascii="Times New Roman" w:eastAsiaTheme="minorEastAsia" w:hAnsi="Times New Roman" w:cs="Times New Roman"/>
          <w:noProof/>
        </w:rPr>
      </w:pPr>
      <w:hyperlink w:anchor="_Toc87797111" w:history="1">
        <w:r w:rsidR="00356468" w:rsidRPr="003D2D46">
          <w:rPr>
            <w:rStyle w:val="Hyperlink"/>
            <w:rFonts w:ascii="Times New Roman" w:hAnsi="Times New Roman" w:cs="Times New Roman"/>
            <w:noProof/>
          </w:rPr>
          <w:t>3.7 Conclusions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_Toc87797111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61</w:t>
        </w:r>
        <w:r w:rsidR="00356468" w:rsidRPr="003D2D46">
          <w:rPr>
            <w:rFonts w:ascii="Times New Roman" w:hAnsi="Times New Roman" w:cs="Times New Roman"/>
            <w:noProof/>
            <w:webHidden/>
          </w:rPr>
          <w:fldChar w:fldCharType="end"/>
        </w:r>
      </w:hyperlink>
    </w:p>
    <w:p w14:paraId="75DD1657" w14:textId="3BC656A5" w:rsidR="00356468" w:rsidRPr="003D2D46" w:rsidRDefault="00D32FDA">
      <w:pPr>
        <w:pStyle w:val="TOC1"/>
        <w:rPr>
          <w:rFonts w:ascii="Times New Roman" w:eastAsiaTheme="minorEastAsia" w:hAnsi="Times New Roman" w:cs="Times New Roman"/>
          <w:noProof/>
        </w:rPr>
      </w:pPr>
      <w:hyperlink w:anchor="_Toc87797112" w:history="1">
        <w:r w:rsidR="00356468" w:rsidRPr="003D2D46">
          <w:rPr>
            <w:rStyle w:val="Hyperlink"/>
            <w:rFonts w:ascii="Times New Roman" w:hAnsi="Times New Roman" w:cs="Times New Roman"/>
            <w:noProof/>
          </w:rPr>
          <w:t>CHAPTER 4</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_Toc87797112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63</w:t>
        </w:r>
        <w:r w:rsidR="00356468" w:rsidRPr="003D2D46">
          <w:rPr>
            <w:rFonts w:ascii="Times New Roman" w:hAnsi="Times New Roman" w:cs="Times New Roman"/>
            <w:noProof/>
            <w:webHidden/>
          </w:rPr>
          <w:fldChar w:fldCharType="end"/>
        </w:r>
      </w:hyperlink>
    </w:p>
    <w:p w14:paraId="3DAEED22" w14:textId="2A7069C3" w:rsidR="00356468" w:rsidRPr="003D2D46" w:rsidRDefault="00D32FDA">
      <w:pPr>
        <w:pStyle w:val="TOC1"/>
        <w:rPr>
          <w:rFonts w:ascii="Times New Roman" w:eastAsiaTheme="minorEastAsia" w:hAnsi="Times New Roman" w:cs="Times New Roman"/>
          <w:noProof/>
        </w:rPr>
      </w:pPr>
      <w:hyperlink w:anchor="_Toc87797113" w:history="1">
        <w:r w:rsidR="00356468" w:rsidRPr="003D2D46">
          <w:rPr>
            <w:rStyle w:val="Hyperlink"/>
            <w:rFonts w:ascii="Times New Roman" w:hAnsi="Times New Roman" w:cs="Times New Roman"/>
            <w:noProof/>
          </w:rPr>
          <w:t>Geographic Disparities and Predictors of Vaccination Exemptions in Florida</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_Toc87797113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63</w:t>
        </w:r>
        <w:r w:rsidR="00356468" w:rsidRPr="003D2D46">
          <w:rPr>
            <w:rFonts w:ascii="Times New Roman" w:hAnsi="Times New Roman" w:cs="Times New Roman"/>
            <w:noProof/>
            <w:webHidden/>
          </w:rPr>
          <w:fldChar w:fldCharType="end"/>
        </w:r>
      </w:hyperlink>
    </w:p>
    <w:p w14:paraId="7ACC0FFC" w14:textId="137FDFBE" w:rsidR="00356468" w:rsidRPr="003D2D46" w:rsidRDefault="00D32FDA">
      <w:pPr>
        <w:pStyle w:val="TOC2"/>
        <w:rPr>
          <w:rFonts w:ascii="Times New Roman" w:eastAsiaTheme="minorEastAsia" w:hAnsi="Times New Roman" w:cs="Times New Roman"/>
          <w:noProof/>
        </w:rPr>
      </w:pPr>
      <w:hyperlink w:anchor="_Toc87797114" w:history="1">
        <w:r w:rsidR="00356468" w:rsidRPr="003D2D46">
          <w:rPr>
            <w:rStyle w:val="Hyperlink"/>
            <w:rFonts w:ascii="Times New Roman" w:hAnsi="Times New Roman" w:cs="Times New Roman"/>
            <w:noProof/>
          </w:rPr>
          <w:t>4.1 Disclosure</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_Toc87797114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64</w:t>
        </w:r>
        <w:r w:rsidR="00356468" w:rsidRPr="003D2D46">
          <w:rPr>
            <w:rFonts w:ascii="Times New Roman" w:hAnsi="Times New Roman" w:cs="Times New Roman"/>
            <w:noProof/>
            <w:webHidden/>
          </w:rPr>
          <w:fldChar w:fldCharType="end"/>
        </w:r>
      </w:hyperlink>
    </w:p>
    <w:p w14:paraId="018E2033" w14:textId="3D68BD95" w:rsidR="00356468" w:rsidRPr="003D2D46" w:rsidRDefault="00D32FDA">
      <w:pPr>
        <w:pStyle w:val="TOC2"/>
        <w:rPr>
          <w:rFonts w:ascii="Times New Roman" w:eastAsiaTheme="minorEastAsia" w:hAnsi="Times New Roman" w:cs="Times New Roman"/>
          <w:noProof/>
        </w:rPr>
      </w:pPr>
      <w:hyperlink w:anchor="_Toc87797115" w:history="1">
        <w:r w:rsidR="00356468" w:rsidRPr="003D2D46">
          <w:rPr>
            <w:rStyle w:val="Hyperlink"/>
            <w:rFonts w:ascii="Times New Roman" w:hAnsi="Times New Roman" w:cs="Times New Roman"/>
            <w:noProof/>
          </w:rPr>
          <w:t>4.2 Abstract</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_Toc87797115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65</w:t>
        </w:r>
        <w:r w:rsidR="00356468" w:rsidRPr="003D2D46">
          <w:rPr>
            <w:rFonts w:ascii="Times New Roman" w:hAnsi="Times New Roman" w:cs="Times New Roman"/>
            <w:noProof/>
            <w:webHidden/>
          </w:rPr>
          <w:fldChar w:fldCharType="end"/>
        </w:r>
      </w:hyperlink>
    </w:p>
    <w:p w14:paraId="4475FC80" w14:textId="3C91828F" w:rsidR="00356468" w:rsidRPr="003D2D46" w:rsidRDefault="00D32FDA">
      <w:pPr>
        <w:pStyle w:val="TOC2"/>
        <w:rPr>
          <w:rFonts w:ascii="Times New Roman" w:eastAsiaTheme="minorEastAsia" w:hAnsi="Times New Roman" w:cs="Times New Roman"/>
          <w:noProof/>
        </w:rPr>
      </w:pPr>
      <w:hyperlink w:anchor="_Toc87797116" w:history="1">
        <w:r w:rsidR="00356468" w:rsidRPr="003D2D46">
          <w:rPr>
            <w:rStyle w:val="Hyperlink"/>
            <w:rFonts w:ascii="Times New Roman" w:hAnsi="Times New Roman" w:cs="Times New Roman"/>
            <w:noProof/>
          </w:rPr>
          <w:t>4.2 Introduction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67</w:t>
        </w:r>
        <w:r w:rsidR="00356468" w:rsidRPr="003D2D46">
          <w:rPr>
            <w:rFonts w:ascii="Times New Roman" w:hAnsi="Times New Roman" w:cs="Times New Roman"/>
            <w:noProof/>
            <w:webHidden/>
          </w:rPr>
          <w:fldChar w:fldCharType="end"/>
        </w:r>
      </w:hyperlink>
    </w:p>
    <w:p w14:paraId="7D648846" w14:textId="2248AA46" w:rsidR="00356468" w:rsidRPr="003D2D46" w:rsidRDefault="00D32FDA">
      <w:pPr>
        <w:pStyle w:val="TOC2"/>
        <w:rPr>
          <w:rFonts w:ascii="Times New Roman" w:eastAsiaTheme="minorEastAsia" w:hAnsi="Times New Roman" w:cs="Times New Roman"/>
          <w:noProof/>
        </w:rPr>
      </w:pPr>
      <w:hyperlink w:anchor="_Toc87797117" w:history="1">
        <w:r w:rsidR="00356468" w:rsidRPr="003D2D46">
          <w:rPr>
            <w:rStyle w:val="Hyperlink"/>
            <w:rFonts w:ascii="Times New Roman" w:hAnsi="Times New Roman" w:cs="Times New Roman"/>
            <w:noProof/>
          </w:rPr>
          <w:t>4.3 Methods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_Toc87797117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69</w:t>
        </w:r>
        <w:r w:rsidR="00356468" w:rsidRPr="003D2D46">
          <w:rPr>
            <w:rFonts w:ascii="Times New Roman" w:hAnsi="Times New Roman" w:cs="Times New Roman"/>
            <w:noProof/>
            <w:webHidden/>
          </w:rPr>
          <w:fldChar w:fldCharType="end"/>
        </w:r>
      </w:hyperlink>
    </w:p>
    <w:p w14:paraId="14CCDF91" w14:textId="6EC69AF8" w:rsidR="00356468" w:rsidRPr="003D2D46" w:rsidRDefault="00D32FDA">
      <w:pPr>
        <w:pStyle w:val="TOC4"/>
        <w:rPr>
          <w:rFonts w:eastAsiaTheme="minorEastAsia" w:cs="Times New Roman"/>
          <w:noProof/>
        </w:rPr>
      </w:pPr>
      <w:hyperlink w:anchor="_Toc87797118" w:history="1">
        <w:r w:rsidR="00356468" w:rsidRPr="003D2D46">
          <w:rPr>
            <w:rStyle w:val="Hyperlink"/>
            <w:rFonts w:cs="Times New Roman"/>
            <w:noProof/>
          </w:rPr>
          <w:t>4.3.1 Study Area</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_Toc87797118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69</w:t>
        </w:r>
        <w:r w:rsidR="00356468" w:rsidRPr="003D2D46">
          <w:rPr>
            <w:rFonts w:cs="Times New Roman"/>
            <w:noProof/>
            <w:webHidden/>
          </w:rPr>
          <w:fldChar w:fldCharType="end"/>
        </w:r>
      </w:hyperlink>
    </w:p>
    <w:p w14:paraId="12A97427" w14:textId="5967412D" w:rsidR="00356468" w:rsidRPr="003D2D46" w:rsidRDefault="00D32FDA">
      <w:pPr>
        <w:pStyle w:val="TOC4"/>
        <w:rPr>
          <w:rFonts w:eastAsiaTheme="minorEastAsia" w:cs="Times New Roman"/>
          <w:noProof/>
        </w:rPr>
      </w:pPr>
      <w:hyperlink w:anchor="_Toc87797119" w:history="1">
        <w:r w:rsidR="00356468" w:rsidRPr="003D2D46">
          <w:rPr>
            <w:rStyle w:val="Hyperlink"/>
            <w:rFonts w:cs="Times New Roman"/>
            <w:noProof/>
          </w:rPr>
          <w:t>4.3.2 Data Sources and Cartographic Displays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_Toc87797119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71</w:t>
        </w:r>
        <w:r w:rsidR="00356468" w:rsidRPr="003D2D46">
          <w:rPr>
            <w:rFonts w:cs="Times New Roman"/>
            <w:noProof/>
            <w:webHidden/>
          </w:rPr>
          <w:fldChar w:fldCharType="end"/>
        </w:r>
      </w:hyperlink>
    </w:p>
    <w:p w14:paraId="09D9B1AC" w14:textId="6FE6B182" w:rsidR="00356468" w:rsidRPr="003D2D46" w:rsidRDefault="00D32FDA">
      <w:pPr>
        <w:pStyle w:val="TOC4"/>
        <w:rPr>
          <w:rFonts w:eastAsiaTheme="minorEastAsia" w:cs="Times New Roman"/>
          <w:noProof/>
        </w:rPr>
      </w:pPr>
      <w:hyperlink w:anchor="_Toc87797120" w:history="1">
        <w:r w:rsidR="00356468" w:rsidRPr="003D2D46">
          <w:rPr>
            <w:rStyle w:val="Hyperlink"/>
            <w:rFonts w:cs="Times New Roman"/>
            <w:noProof/>
          </w:rPr>
          <w:t>4.3.3 Predictors of Total and Non-Medical County-Level                        Vaccination Exemption Risks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71</w:t>
        </w:r>
        <w:r w:rsidR="00356468" w:rsidRPr="003D2D46">
          <w:rPr>
            <w:rFonts w:cs="Times New Roman"/>
            <w:noProof/>
            <w:webHidden/>
          </w:rPr>
          <w:fldChar w:fldCharType="end"/>
        </w:r>
      </w:hyperlink>
    </w:p>
    <w:p w14:paraId="7F81BB1E" w14:textId="42CB65E3" w:rsidR="00356468" w:rsidRPr="003D2D46" w:rsidRDefault="00D32FDA">
      <w:pPr>
        <w:pStyle w:val="TOC4"/>
        <w:rPr>
          <w:rFonts w:eastAsiaTheme="minorEastAsia" w:cs="Times New Roman"/>
          <w:noProof/>
        </w:rPr>
      </w:pPr>
      <w:hyperlink w:anchor="_Toc87797121" w:history="1">
        <w:r w:rsidR="00356468" w:rsidRPr="003D2D46">
          <w:rPr>
            <w:rStyle w:val="Hyperlink"/>
            <w:rFonts w:cs="Times New Roman"/>
            <w:noProof/>
          </w:rPr>
          <w:t>4.3.4 Ethical Statement</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77</w:t>
        </w:r>
        <w:r w:rsidR="00356468" w:rsidRPr="003D2D46">
          <w:rPr>
            <w:rFonts w:cs="Times New Roman"/>
            <w:noProof/>
            <w:webHidden/>
          </w:rPr>
          <w:fldChar w:fldCharType="end"/>
        </w:r>
      </w:hyperlink>
    </w:p>
    <w:p w14:paraId="2EF47179" w14:textId="75E49259" w:rsidR="00356468" w:rsidRPr="003D2D46" w:rsidRDefault="00D32FDA">
      <w:pPr>
        <w:pStyle w:val="TOC2"/>
        <w:rPr>
          <w:rFonts w:ascii="Times New Roman" w:eastAsiaTheme="minorEastAsia" w:hAnsi="Times New Roman" w:cs="Times New Roman"/>
          <w:noProof/>
        </w:rPr>
      </w:pPr>
      <w:hyperlink w:anchor="_Toc87797122" w:history="1">
        <w:r w:rsidR="00356468" w:rsidRPr="003D2D46">
          <w:rPr>
            <w:rStyle w:val="Hyperlink"/>
            <w:rFonts w:ascii="Times New Roman" w:hAnsi="Times New Roman" w:cs="Times New Roman"/>
            <w:noProof/>
          </w:rPr>
          <w:t>4.4 Results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_Toc87797122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77</w:t>
        </w:r>
        <w:r w:rsidR="00356468" w:rsidRPr="003D2D46">
          <w:rPr>
            <w:rFonts w:ascii="Times New Roman" w:hAnsi="Times New Roman" w:cs="Times New Roman"/>
            <w:noProof/>
            <w:webHidden/>
          </w:rPr>
          <w:fldChar w:fldCharType="end"/>
        </w:r>
      </w:hyperlink>
    </w:p>
    <w:p w14:paraId="72B2074B" w14:textId="6467DD48" w:rsidR="00356468" w:rsidRPr="003D2D46" w:rsidRDefault="00D32FDA">
      <w:pPr>
        <w:pStyle w:val="TOC4"/>
        <w:rPr>
          <w:rFonts w:eastAsiaTheme="minorEastAsia" w:cs="Times New Roman"/>
          <w:noProof/>
        </w:rPr>
      </w:pPr>
      <w:hyperlink w:anchor="_Toc87797123" w:history="1">
        <w:r w:rsidR="00356468" w:rsidRPr="003D2D46">
          <w:rPr>
            <w:rStyle w:val="Hyperlink"/>
            <w:rFonts w:cs="Times New Roman"/>
            <w:noProof/>
          </w:rPr>
          <w:t>4.4.1 Geographic Patterns of Vaccination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77</w:t>
        </w:r>
        <w:r w:rsidR="00356468" w:rsidRPr="003D2D46">
          <w:rPr>
            <w:rFonts w:cs="Times New Roman"/>
            <w:noProof/>
            <w:webHidden/>
          </w:rPr>
          <w:fldChar w:fldCharType="end"/>
        </w:r>
      </w:hyperlink>
    </w:p>
    <w:p w14:paraId="32CECE5E" w14:textId="1CEC8711" w:rsidR="00356468" w:rsidRPr="003D2D46" w:rsidRDefault="00D32FDA">
      <w:pPr>
        <w:pStyle w:val="TOC4"/>
        <w:rPr>
          <w:rFonts w:eastAsiaTheme="minorEastAsia" w:cs="Times New Roman"/>
          <w:noProof/>
        </w:rPr>
      </w:pPr>
      <w:hyperlink w:anchor="_Toc87797124" w:history="1">
        <w:r w:rsidR="00356468" w:rsidRPr="003D2D46">
          <w:rPr>
            <w:rStyle w:val="Hyperlink"/>
            <w:rFonts w:cs="Times New Roman"/>
            <w:noProof/>
          </w:rPr>
          <w:t>4.4.2 Predictors of Total Vaccination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80</w:t>
        </w:r>
        <w:r w:rsidR="00356468" w:rsidRPr="003D2D46">
          <w:rPr>
            <w:rFonts w:cs="Times New Roman"/>
            <w:noProof/>
            <w:webHidden/>
          </w:rPr>
          <w:fldChar w:fldCharType="end"/>
        </w:r>
      </w:hyperlink>
    </w:p>
    <w:p w14:paraId="42CFCB62" w14:textId="361E1DAD" w:rsidR="00356468" w:rsidRPr="003D2D46" w:rsidRDefault="00D32FDA">
      <w:pPr>
        <w:pStyle w:val="TOC4"/>
        <w:rPr>
          <w:rFonts w:eastAsiaTheme="minorEastAsia" w:cs="Times New Roman"/>
          <w:noProof/>
        </w:rPr>
      </w:pPr>
      <w:hyperlink w:anchor="_Toc87797125" w:history="1">
        <w:r w:rsidR="00356468" w:rsidRPr="003D2D46">
          <w:rPr>
            <w:rStyle w:val="Hyperlink"/>
            <w:rFonts w:cs="Times New Roman"/>
            <w:noProof/>
          </w:rPr>
          <w:t>4.4.3 Predictors of Non-Medical Vaccination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80</w:t>
        </w:r>
        <w:r w:rsidR="00356468" w:rsidRPr="003D2D46">
          <w:rPr>
            <w:rFonts w:cs="Times New Roman"/>
            <w:noProof/>
            <w:webHidden/>
          </w:rPr>
          <w:fldChar w:fldCharType="end"/>
        </w:r>
      </w:hyperlink>
    </w:p>
    <w:p w14:paraId="38BA4345" w14:textId="1168AC5F" w:rsidR="00356468" w:rsidRPr="003D2D46" w:rsidRDefault="00D32FDA">
      <w:pPr>
        <w:pStyle w:val="TOC2"/>
        <w:rPr>
          <w:rFonts w:ascii="Times New Roman" w:eastAsiaTheme="minorEastAsia" w:hAnsi="Times New Roman" w:cs="Times New Roman"/>
          <w:noProof/>
        </w:rPr>
      </w:pPr>
      <w:hyperlink w:anchor="_Toc87797126" w:history="1">
        <w:r w:rsidR="00356468" w:rsidRPr="003D2D46">
          <w:rPr>
            <w:rStyle w:val="Hyperlink"/>
            <w:rFonts w:ascii="Times New Roman" w:hAnsi="Times New Roman" w:cs="Times New Roman"/>
            <w:noProof/>
          </w:rPr>
          <w:t>4.5 Discussion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_Toc87797126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81</w:t>
        </w:r>
        <w:r w:rsidR="00356468" w:rsidRPr="003D2D46">
          <w:rPr>
            <w:rFonts w:ascii="Times New Roman" w:hAnsi="Times New Roman" w:cs="Times New Roman"/>
            <w:noProof/>
            <w:webHidden/>
          </w:rPr>
          <w:fldChar w:fldCharType="end"/>
        </w:r>
      </w:hyperlink>
    </w:p>
    <w:p w14:paraId="5CB391A5" w14:textId="55CEAA1A" w:rsidR="00356468" w:rsidRPr="003D2D46" w:rsidRDefault="00D32FDA">
      <w:pPr>
        <w:pStyle w:val="TOC4"/>
        <w:rPr>
          <w:rFonts w:eastAsiaTheme="minorEastAsia" w:cs="Times New Roman"/>
          <w:noProof/>
        </w:rPr>
      </w:pPr>
      <w:hyperlink w:anchor="_Toc87797127" w:history="1">
        <w:r w:rsidR="00356468" w:rsidRPr="003D2D46">
          <w:rPr>
            <w:rStyle w:val="Hyperlink"/>
            <w:rFonts w:cs="Times New Roman"/>
            <w:noProof/>
          </w:rPr>
          <w:t>4.5.1 Geographic Disparities in Vaccination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_Toc87797127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81</w:t>
        </w:r>
        <w:r w:rsidR="00356468" w:rsidRPr="003D2D46">
          <w:rPr>
            <w:rFonts w:cs="Times New Roman"/>
            <w:noProof/>
            <w:webHidden/>
          </w:rPr>
          <w:fldChar w:fldCharType="end"/>
        </w:r>
      </w:hyperlink>
    </w:p>
    <w:p w14:paraId="6FE75023" w14:textId="027393A3" w:rsidR="00356468" w:rsidRPr="003D2D46" w:rsidRDefault="00D32FDA">
      <w:pPr>
        <w:pStyle w:val="TOC5"/>
        <w:rPr>
          <w:rFonts w:eastAsiaTheme="minorEastAsia" w:cs="Times New Roman"/>
          <w:noProof/>
        </w:rPr>
      </w:pPr>
      <w:hyperlink w:anchor="_Toc87797128" w:history="1">
        <w:r w:rsidR="00356468" w:rsidRPr="003D2D46">
          <w:rPr>
            <w:rStyle w:val="Hyperlink"/>
            <w:rFonts w:cs="Times New Roman"/>
            <w:noProof/>
          </w:rPr>
          <w:t>4.5.1.1 Total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81</w:t>
        </w:r>
        <w:r w:rsidR="00356468" w:rsidRPr="003D2D46">
          <w:rPr>
            <w:rFonts w:cs="Times New Roman"/>
            <w:noProof/>
            <w:webHidden/>
          </w:rPr>
          <w:fldChar w:fldCharType="end"/>
        </w:r>
      </w:hyperlink>
    </w:p>
    <w:p w14:paraId="17FA4FD2" w14:textId="703FC26C" w:rsidR="00356468" w:rsidRPr="003D2D46" w:rsidRDefault="00D32FDA">
      <w:pPr>
        <w:pStyle w:val="TOC5"/>
        <w:rPr>
          <w:rFonts w:eastAsiaTheme="minorEastAsia" w:cs="Times New Roman"/>
          <w:noProof/>
        </w:rPr>
      </w:pPr>
      <w:hyperlink w:anchor="_Toc87797129" w:history="1">
        <w:r w:rsidR="00356468" w:rsidRPr="003D2D46">
          <w:rPr>
            <w:rStyle w:val="Hyperlink"/>
            <w:rFonts w:cs="Times New Roman"/>
            <w:noProof/>
          </w:rPr>
          <w:t>4.5.1.2 Non-Medical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_Toc87797129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86</w:t>
        </w:r>
        <w:r w:rsidR="00356468" w:rsidRPr="003D2D46">
          <w:rPr>
            <w:rFonts w:cs="Times New Roman"/>
            <w:noProof/>
            <w:webHidden/>
          </w:rPr>
          <w:fldChar w:fldCharType="end"/>
        </w:r>
      </w:hyperlink>
    </w:p>
    <w:p w14:paraId="78D4DD90" w14:textId="77E969E3" w:rsidR="00356468" w:rsidRPr="003D2D46" w:rsidRDefault="00D32FDA">
      <w:pPr>
        <w:pStyle w:val="TOC4"/>
        <w:rPr>
          <w:rFonts w:eastAsiaTheme="minorEastAsia" w:cs="Times New Roman"/>
          <w:noProof/>
        </w:rPr>
      </w:pPr>
      <w:hyperlink w:anchor="_Toc87797130" w:history="1">
        <w:r w:rsidR="00356468" w:rsidRPr="003D2D46">
          <w:rPr>
            <w:rStyle w:val="Hyperlink"/>
            <w:rFonts w:cs="Times New Roman"/>
            <w:noProof/>
          </w:rPr>
          <w:t>4.5.2 Predictors of Vaccination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_Toc87797130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87</w:t>
        </w:r>
        <w:r w:rsidR="00356468" w:rsidRPr="003D2D46">
          <w:rPr>
            <w:rFonts w:cs="Times New Roman"/>
            <w:noProof/>
            <w:webHidden/>
          </w:rPr>
          <w:fldChar w:fldCharType="end"/>
        </w:r>
      </w:hyperlink>
    </w:p>
    <w:p w14:paraId="1944D8F2" w14:textId="429CFA57" w:rsidR="00356468" w:rsidRPr="003D2D46" w:rsidRDefault="00D32FDA">
      <w:pPr>
        <w:pStyle w:val="TOC5"/>
        <w:rPr>
          <w:rFonts w:eastAsiaTheme="minorEastAsia" w:cs="Times New Roman"/>
          <w:noProof/>
        </w:rPr>
      </w:pPr>
      <w:hyperlink w:anchor="_Toc87797131" w:history="1">
        <w:r w:rsidR="00356468" w:rsidRPr="003D2D46">
          <w:rPr>
            <w:rStyle w:val="Hyperlink"/>
            <w:rFonts w:cs="Times New Roman"/>
            <w:noProof/>
          </w:rPr>
          <w:t>4.5.2.1 Total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_Toc87797131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87</w:t>
        </w:r>
        <w:r w:rsidR="00356468" w:rsidRPr="003D2D46">
          <w:rPr>
            <w:rFonts w:cs="Times New Roman"/>
            <w:noProof/>
            <w:webHidden/>
          </w:rPr>
          <w:fldChar w:fldCharType="end"/>
        </w:r>
      </w:hyperlink>
    </w:p>
    <w:p w14:paraId="01438AAB" w14:textId="61699D12" w:rsidR="00356468" w:rsidRPr="003D2D46" w:rsidRDefault="00D32FDA">
      <w:pPr>
        <w:pStyle w:val="TOC5"/>
        <w:rPr>
          <w:rFonts w:eastAsiaTheme="minorEastAsia" w:cs="Times New Roman"/>
          <w:noProof/>
        </w:rPr>
      </w:pPr>
      <w:hyperlink w:anchor="_Toc87797132" w:history="1">
        <w:r w:rsidR="00356468" w:rsidRPr="003D2D46">
          <w:rPr>
            <w:rStyle w:val="Hyperlink"/>
            <w:rFonts w:cs="Times New Roman"/>
            <w:noProof/>
          </w:rPr>
          <w:t>4.5.2.2 Non-Medical Exemptions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_Toc87797132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88</w:t>
        </w:r>
        <w:r w:rsidR="00356468" w:rsidRPr="003D2D46">
          <w:rPr>
            <w:rFonts w:cs="Times New Roman"/>
            <w:noProof/>
            <w:webHidden/>
          </w:rPr>
          <w:fldChar w:fldCharType="end"/>
        </w:r>
      </w:hyperlink>
    </w:p>
    <w:p w14:paraId="172B71EE" w14:textId="6DA7846E" w:rsidR="00356468" w:rsidRPr="003D2D46" w:rsidRDefault="00D32FDA">
      <w:pPr>
        <w:pStyle w:val="TOC4"/>
        <w:rPr>
          <w:rFonts w:eastAsiaTheme="minorEastAsia" w:cs="Times New Roman"/>
          <w:noProof/>
        </w:rPr>
      </w:pPr>
      <w:hyperlink w:anchor="_Toc87797133" w:history="1">
        <w:r w:rsidR="00356468" w:rsidRPr="003D2D46">
          <w:rPr>
            <w:rStyle w:val="Hyperlink"/>
            <w:rFonts w:cs="Times New Roman"/>
            <w:noProof/>
          </w:rPr>
          <w:t>4.5.3 Strengths and Limitations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_Toc87797133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91</w:t>
        </w:r>
        <w:r w:rsidR="00356468" w:rsidRPr="003D2D46">
          <w:rPr>
            <w:rFonts w:cs="Times New Roman"/>
            <w:noProof/>
            <w:webHidden/>
          </w:rPr>
          <w:fldChar w:fldCharType="end"/>
        </w:r>
      </w:hyperlink>
    </w:p>
    <w:p w14:paraId="78BE6697" w14:textId="668A29A0" w:rsidR="00356468" w:rsidRPr="003D2D46" w:rsidRDefault="00D32FDA">
      <w:pPr>
        <w:pStyle w:val="TOC2"/>
        <w:rPr>
          <w:rStyle w:val="Hyperlink"/>
          <w:rFonts w:ascii="Times New Roman" w:hAnsi="Times New Roman" w:cs="Times New Roman"/>
          <w:noProof/>
        </w:rPr>
      </w:pPr>
      <w:hyperlink w:anchor="_Toc87797134" w:history="1">
        <w:r w:rsidR="00356468" w:rsidRPr="003D2D46">
          <w:rPr>
            <w:rStyle w:val="Hyperlink"/>
            <w:rFonts w:ascii="Times New Roman" w:hAnsi="Times New Roman" w:cs="Times New Roman"/>
            <w:noProof/>
          </w:rPr>
          <w:t>4.6 Conclusions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_Toc87797134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92</w:t>
        </w:r>
        <w:r w:rsidR="00356468" w:rsidRPr="003D2D46">
          <w:rPr>
            <w:rFonts w:ascii="Times New Roman" w:hAnsi="Times New Roman" w:cs="Times New Roman"/>
            <w:noProof/>
            <w:webHidden/>
          </w:rPr>
          <w:fldChar w:fldCharType="end"/>
        </w:r>
      </w:hyperlink>
    </w:p>
    <w:p w14:paraId="60E02BFA" w14:textId="2DC38B74" w:rsidR="00356468" w:rsidRPr="003D2D46" w:rsidRDefault="00356468">
      <w:pPr>
        <w:rPr>
          <w:rFonts w:ascii="Times New Roman" w:eastAsiaTheme="minorEastAsia" w:hAnsi="Times New Roman" w:cs="Times New Roman"/>
          <w:noProof/>
        </w:rPr>
      </w:pPr>
      <w:r w:rsidRPr="003D2D46">
        <w:rPr>
          <w:rFonts w:ascii="Times New Roman" w:eastAsiaTheme="minorEastAsia" w:hAnsi="Times New Roman" w:cs="Times New Roman"/>
          <w:noProof/>
        </w:rPr>
        <w:br w:type="page"/>
      </w:r>
    </w:p>
    <w:p w14:paraId="3B729DDD" w14:textId="530D5E4F" w:rsidR="00356468" w:rsidRPr="003D2D46" w:rsidRDefault="00D32FDA">
      <w:pPr>
        <w:pStyle w:val="TOC1"/>
        <w:rPr>
          <w:rFonts w:ascii="Times New Roman" w:eastAsiaTheme="minorEastAsia" w:hAnsi="Times New Roman" w:cs="Times New Roman"/>
          <w:noProof/>
          <w:sz w:val="22"/>
          <w:szCs w:val="22"/>
        </w:rPr>
      </w:pPr>
      <w:hyperlink w:anchor="_Toc87797135" w:history="1">
        <w:r w:rsidR="00356468" w:rsidRPr="003D2D46">
          <w:rPr>
            <w:rStyle w:val="Hyperlink"/>
            <w:rFonts w:ascii="Times New Roman" w:hAnsi="Times New Roman" w:cs="Times New Roman"/>
            <w:noProof/>
          </w:rPr>
          <w:t>CHAPTER 5</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_Toc87797135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93</w:t>
        </w:r>
        <w:r w:rsidR="00356468" w:rsidRPr="003D2D46">
          <w:rPr>
            <w:rFonts w:ascii="Times New Roman" w:hAnsi="Times New Roman" w:cs="Times New Roman"/>
            <w:noProof/>
            <w:webHidden/>
          </w:rPr>
          <w:fldChar w:fldCharType="end"/>
        </w:r>
      </w:hyperlink>
    </w:p>
    <w:p w14:paraId="371EF1D7" w14:textId="7195F2AD" w:rsidR="00356468" w:rsidRPr="003D2D46" w:rsidRDefault="00D32FDA">
      <w:pPr>
        <w:pStyle w:val="TOC1"/>
        <w:rPr>
          <w:rFonts w:ascii="Times New Roman" w:eastAsiaTheme="minorEastAsia" w:hAnsi="Times New Roman" w:cs="Times New Roman"/>
          <w:noProof/>
          <w:sz w:val="22"/>
          <w:szCs w:val="22"/>
        </w:rPr>
      </w:pPr>
      <w:hyperlink w:anchor="_Toc87797136" w:history="1">
        <w:r w:rsidR="00356468" w:rsidRPr="003D2D46">
          <w:rPr>
            <w:rStyle w:val="Hyperlink"/>
            <w:rFonts w:ascii="Times New Roman" w:hAnsi="Times New Roman" w:cs="Times New Roman"/>
            <w:noProof/>
          </w:rPr>
          <w:t>Geographic Disparities and Sociodemographic Predictors of                                     Pertussis RISK in Florida</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93</w:t>
        </w:r>
        <w:r w:rsidR="00356468" w:rsidRPr="003D2D46">
          <w:rPr>
            <w:rFonts w:ascii="Times New Roman" w:hAnsi="Times New Roman" w:cs="Times New Roman"/>
            <w:noProof/>
            <w:webHidden/>
          </w:rPr>
          <w:fldChar w:fldCharType="end"/>
        </w:r>
      </w:hyperlink>
    </w:p>
    <w:p w14:paraId="393094AE" w14:textId="5559192A" w:rsidR="00356468" w:rsidRPr="003D2D46" w:rsidRDefault="00D32FDA">
      <w:pPr>
        <w:pStyle w:val="TOC2"/>
        <w:rPr>
          <w:rFonts w:ascii="Times New Roman" w:eastAsiaTheme="minorEastAsia" w:hAnsi="Times New Roman" w:cs="Times New Roman"/>
          <w:noProof/>
          <w:sz w:val="22"/>
          <w:szCs w:val="22"/>
        </w:rPr>
      </w:pPr>
      <w:hyperlink w:anchor="_Toc87797137" w:history="1">
        <w:r w:rsidR="00356468" w:rsidRPr="003D2D46">
          <w:rPr>
            <w:rStyle w:val="Hyperlink"/>
            <w:rFonts w:ascii="Times New Roman" w:hAnsi="Times New Roman" w:cs="Times New Roman"/>
            <w:noProof/>
          </w:rPr>
          <w:t>5.1 Disclosure</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94</w:t>
        </w:r>
        <w:r w:rsidR="00356468" w:rsidRPr="003D2D46">
          <w:rPr>
            <w:rFonts w:ascii="Times New Roman" w:hAnsi="Times New Roman" w:cs="Times New Roman"/>
            <w:noProof/>
            <w:webHidden/>
          </w:rPr>
          <w:fldChar w:fldCharType="end"/>
        </w:r>
      </w:hyperlink>
    </w:p>
    <w:p w14:paraId="17C4AD4E" w14:textId="6B487592" w:rsidR="00356468" w:rsidRPr="003D2D46" w:rsidRDefault="00D32FDA">
      <w:pPr>
        <w:pStyle w:val="TOC2"/>
        <w:rPr>
          <w:rFonts w:ascii="Times New Roman" w:eastAsiaTheme="minorEastAsia" w:hAnsi="Times New Roman" w:cs="Times New Roman"/>
          <w:noProof/>
          <w:sz w:val="22"/>
          <w:szCs w:val="22"/>
        </w:rPr>
      </w:pPr>
      <w:hyperlink w:anchor="_Toc87797138" w:history="1">
        <w:r w:rsidR="00356468" w:rsidRPr="003D2D46">
          <w:rPr>
            <w:rStyle w:val="Hyperlink"/>
            <w:rFonts w:ascii="Times New Roman" w:hAnsi="Times New Roman" w:cs="Times New Roman"/>
            <w:noProof/>
          </w:rPr>
          <w:t>5.2 Abstract</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_Toc87797138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95</w:t>
        </w:r>
        <w:r w:rsidR="00356468" w:rsidRPr="003D2D46">
          <w:rPr>
            <w:rFonts w:ascii="Times New Roman" w:hAnsi="Times New Roman" w:cs="Times New Roman"/>
            <w:noProof/>
            <w:webHidden/>
          </w:rPr>
          <w:fldChar w:fldCharType="end"/>
        </w:r>
      </w:hyperlink>
    </w:p>
    <w:p w14:paraId="6F3957DC" w14:textId="25D7F6CF" w:rsidR="00356468" w:rsidRPr="003D2D46" w:rsidRDefault="00D32FDA">
      <w:pPr>
        <w:pStyle w:val="TOC2"/>
        <w:rPr>
          <w:rFonts w:ascii="Times New Roman" w:eastAsiaTheme="minorEastAsia" w:hAnsi="Times New Roman" w:cs="Times New Roman"/>
          <w:noProof/>
          <w:sz w:val="22"/>
          <w:szCs w:val="22"/>
        </w:rPr>
      </w:pPr>
      <w:hyperlink w:anchor="_Toc87797139" w:history="1">
        <w:r w:rsidR="00356468" w:rsidRPr="003D2D46">
          <w:rPr>
            <w:rStyle w:val="Hyperlink"/>
            <w:rFonts w:ascii="Times New Roman" w:hAnsi="Times New Roman" w:cs="Times New Roman"/>
            <w:noProof/>
          </w:rPr>
          <w:t>5.3 Introduction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_Toc87797139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96</w:t>
        </w:r>
        <w:r w:rsidR="00356468" w:rsidRPr="003D2D46">
          <w:rPr>
            <w:rFonts w:ascii="Times New Roman" w:hAnsi="Times New Roman" w:cs="Times New Roman"/>
            <w:noProof/>
            <w:webHidden/>
          </w:rPr>
          <w:fldChar w:fldCharType="end"/>
        </w:r>
      </w:hyperlink>
    </w:p>
    <w:p w14:paraId="05EC7A8D" w14:textId="0AEF9CFF" w:rsidR="00356468" w:rsidRPr="003D2D46" w:rsidRDefault="00D32FDA">
      <w:pPr>
        <w:pStyle w:val="TOC2"/>
        <w:rPr>
          <w:rFonts w:ascii="Times New Roman" w:eastAsiaTheme="minorEastAsia" w:hAnsi="Times New Roman" w:cs="Times New Roman"/>
          <w:noProof/>
          <w:sz w:val="22"/>
          <w:szCs w:val="22"/>
        </w:rPr>
      </w:pPr>
      <w:hyperlink w:anchor="_Toc87797140" w:history="1">
        <w:r w:rsidR="00356468" w:rsidRPr="003D2D46">
          <w:rPr>
            <w:rStyle w:val="Hyperlink"/>
            <w:rFonts w:ascii="Times New Roman" w:hAnsi="Times New Roman" w:cs="Times New Roman"/>
            <w:noProof/>
          </w:rPr>
          <w:t>5.4 Methods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_Toc87797140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100</w:t>
        </w:r>
        <w:r w:rsidR="00356468" w:rsidRPr="003D2D46">
          <w:rPr>
            <w:rFonts w:ascii="Times New Roman" w:hAnsi="Times New Roman" w:cs="Times New Roman"/>
            <w:noProof/>
            <w:webHidden/>
          </w:rPr>
          <w:fldChar w:fldCharType="end"/>
        </w:r>
      </w:hyperlink>
    </w:p>
    <w:p w14:paraId="5C262ECA" w14:textId="42279BFF" w:rsidR="00356468" w:rsidRPr="003D2D46" w:rsidRDefault="00D32FDA">
      <w:pPr>
        <w:pStyle w:val="TOC4"/>
        <w:rPr>
          <w:rFonts w:eastAsiaTheme="minorEastAsia" w:cs="Times New Roman"/>
          <w:noProof/>
          <w:sz w:val="22"/>
          <w:szCs w:val="22"/>
        </w:rPr>
      </w:pPr>
      <w:hyperlink w:anchor="_Toc87797141" w:history="1">
        <w:r w:rsidR="00356468" w:rsidRPr="003D2D46">
          <w:rPr>
            <w:rStyle w:val="Hyperlink"/>
            <w:rFonts w:cs="Times New Roman"/>
            <w:noProof/>
          </w:rPr>
          <w:t>5.4.1 Study Area</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100</w:t>
        </w:r>
        <w:r w:rsidR="00356468" w:rsidRPr="003D2D46">
          <w:rPr>
            <w:rFonts w:cs="Times New Roman"/>
            <w:noProof/>
            <w:webHidden/>
          </w:rPr>
          <w:fldChar w:fldCharType="end"/>
        </w:r>
      </w:hyperlink>
    </w:p>
    <w:p w14:paraId="3FDDE4BB" w14:textId="2993F76A" w:rsidR="00356468" w:rsidRPr="003D2D46" w:rsidRDefault="00D32FDA">
      <w:pPr>
        <w:pStyle w:val="TOC4"/>
        <w:rPr>
          <w:rFonts w:eastAsiaTheme="minorEastAsia" w:cs="Times New Roman"/>
          <w:noProof/>
          <w:sz w:val="22"/>
          <w:szCs w:val="22"/>
        </w:rPr>
      </w:pPr>
      <w:hyperlink w:anchor="_Toc87797142" w:history="1">
        <w:r w:rsidR="00356468" w:rsidRPr="003D2D46">
          <w:rPr>
            <w:rStyle w:val="Hyperlink"/>
            <w:rFonts w:cs="Times New Roman"/>
            <w:noProof/>
          </w:rPr>
          <w:t>5.4.2 Data Sources and Variable Selection</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_Toc87797142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101</w:t>
        </w:r>
        <w:r w:rsidR="00356468" w:rsidRPr="003D2D46">
          <w:rPr>
            <w:rFonts w:cs="Times New Roman"/>
            <w:noProof/>
            <w:webHidden/>
          </w:rPr>
          <w:fldChar w:fldCharType="end"/>
        </w:r>
      </w:hyperlink>
    </w:p>
    <w:p w14:paraId="3E9CC29C" w14:textId="5D11C272" w:rsidR="00356468" w:rsidRPr="003D2D46" w:rsidRDefault="00D32FDA">
      <w:pPr>
        <w:pStyle w:val="TOC4"/>
        <w:rPr>
          <w:rFonts w:eastAsiaTheme="minorEastAsia" w:cs="Times New Roman"/>
          <w:noProof/>
          <w:sz w:val="22"/>
          <w:szCs w:val="22"/>
        </w:rPr>
      </w:pPr>
      <w:hyperlink w:anchor="_Toc87797143" w:history="1">
        <w:r w:rsidR="00356468" w:rsidRPr="003D2D46">
          <w:rPr>
            <w:rStyle w:val="Hyperlink"/>
            <w:rFonts w:cs="Times New Roman"/>
            <w:noProof/>
          </w:rPr>
          <w:t>5.4.3 Investigation of High-Risk Clusters of Pertussis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103</w:t>
        </w:r>
        <w:r w:rsidR="00356468" w:rsidRPr="003D2D46">
          <w:rPr>
            <w:rFonts w:cs="Times New Roman"/>
            <w:noProof/>
            <w:webHidden/>
          </w:rPr>
          <w:fldChar w:fldCharType="end"/>
        </w:r>
      </w:hyperlink>
    </w:p>
    <w:p w14:paraId="1EE2AAFF" w14:textId="54096362" w:rsidR="00356468" w:rsidRPr="003D2D46" w:rsidRDefault="00D32FDA">
      <w:pPr>
        <w:pStyle w:val="TOC4"/>
        <w:rPr>
          <w:rFonts w:eastAsiaTheme="minorEastAsia" w:cs="Times New Roman"/>
          <w:noProof/>
          <w:sz w:val="22"/>
          <w:szCs w:val="22"/>
        </w:rPr>
      </w:pPr>
      <w:hyperlink w:anchor="_Toc87797144" w:history="1">
        <w:r w:rsidR="00356468" w:rsidRPr="003D2D46">
          <w:rPr>
            <w:rStyle w:val="Hyperlink"/>
            <w:rFonts w:cs="Times New Roman"/>
            <w:noProof/>
          </w:rPr>
          <w:t>5.4.4 Investigation of Predictors of County-Level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103</w:t>
        </w:r>
        <w:r w:rsidR="00356468" w:rsidRPr="003D2D46">
          <w:rPr>
            <w:rFonts w:cs="Times New Roman"/>
            <w:noProof/>
            <w:webHidden/>
          </w:rPr>
          <w:fldChar w:fldCharType="end"/>
        </w:r>
      </w:hyperlink>
    </w:p>
    <w:p w14:paraId="78C6C7AF" w14:textId="2399F8E9" w:rsidR="00356468" w:rsidRPr="003D2D46" w:rsidRDefault="00D32FDA">
      <w:pPr>
        <w:pStyle w:val="TOC4"/>
        <w:rPr>
          <w:rFonts w:eastAsiaTheme="minorEastAsia" w:cs="Times New Roman"/>
          <w:noProof/>
          <w:sz w:val="22"/>
          <w:szCs w:val="22"/>
        </w:rPr>
      </w:pPr>
      <w:hyperlink w:anchor="_Toc87797145" w:history="1">
        <w:r w:rsidR="00356468" w:rsidRPr="003D2D46">
          <w:rPr>
            <w:rStyle w:val="Hyperlink"/>
            <w:rFonts w:cs="Times New Roman"/>
            <w:noProof/>
          </w:rPr>
          <w:t>5.4.5 Cartographic Displays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_Toc87797145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106</w:t>
        </w:r>
        <w:r w:rsidR="00356468" w:rsidRPr="003D2D46">
          <w:rPr>
            <w:rFonts w:cs="Times New Roman"/>
            <w:noProof/>
            <w:webHidden/>
          </w:rPr>
          <w:fldChar w:fldCharType="end"/>
        </w:r>
      </w:hyperlink>
    </w:p>
    <w:p w14:paraId="7CE7769D" w14:textId="37F2B8A8" w:rsidR="00356468" w:rsidRPr="003D2D46" w:rsidRDefault="00D32FDA">
      <w:pPr>
        <w:pStyle w:val="TOC4"/>
        <w:rPr>
          <w:rFonts w:eastAsiaTheme="minorEastAsia" w:cs="Times New Roman"/>
          <w:noProof/>
          <w:sz w:val="22"/>
          <w:szCs w:val="22"/>
        </w:rPr>
      </w:pPr>
      <w:hyperlink w:anchor="_Toc87797146" w:history="1">
        <w:r w:rsidR="00356468" w:rsidRPr="003D2D46">
          <w:rPr>
            <w:rStyle w:val="Hyperlink"/>
            <w:rFonts w:cs="Times New Roman"/>
            <w:noProof/>
          </w:rPr>
          <w:t>5.4.6 Ethical Statement</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_Toc87797146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106</w:t>
        </w:r>
        <w:r w:rsidR="00356468" w:rsidRPr="003D2D46">
          <w:rPr>
            <w:rFonts w:cs="Times New Roman"/>
            <w:noProof/>
            <w:webHidden/>
          </w:rPr>
          <w:fldChar w:fldCharType="end"/>
        </w:r>
      </w:hyperlink>
    </w:p>
    <w:p w14:paraId="56BE508E" w14:textId="55B3BC2D" w:rsidR="00356468" w:rsidRPr="003D2D46" w:rsidRDefault="00D32FDA">
      <w:pPr>
        <w:pStyle w:val="TOC2"/>
        <w:rPr>
          <w:rFonts w:ascii="Times New Roman" w:eastAsiaTheme="minorEastAsia" w:hAnsi="Times New Roman" w:cs="Times New Roman"/>
          <w:noProof/>
          <w:sz w:val="22"/>
          <w:szCs w:val="22"/>
        </w:rPr>
      </w:pPr>
      <w:hyperlink w:anchor="_Toc87797147" w:history="1">
        <w:r w:rsidR="00356468" w:rsidRPr="003D2D46">
          <w:rPr>
            <w:rStyle w:val="Hyperlink"/>
            <w:rFonts w:ascii="Times New Roman" w:hAnsi="Times New Roman" w:cs="Times New Roman"/>
            <w:noProof/>
          </w:rPr>
          <w:t>5.5 Results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_Toc87797147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106</w:t>
        </w:r>
        <w:r w:rsidR="00356468" w:rsidRPr="003D2D46">
          <w:rPr>
            <w:rFonts w:ascii="Times New Roman" w:hAnsi="Times New Roman" w:cs="Times New Roman"/>
            <w:noProof/>
            <w:webHidden/>
          </w:rPr>
          <w:fldChar w:fldCharType="end"/>
        </w:r>
      </w:hyperlink>
    </w:p>
    <w:p w14:paraId="5E254A99" w14:textId="33E81521" w:rsidR="00356468" w:rsidRPr="003D2D46" w:rsidRDefault="00D32FDA">
      <w:pPr>
        <w:pStyle w:val="TOC4"/>
        <w:rPr>
          <w:rFonts w:eastAsiaTheme="minorEastAsia" w:cs="Times New Roman"/>
          <w:noProof/>
          <w:sz w:val="22"/>
          <w:szCs w:val="22"/>
        </w:rPr>
      </w:pPr>
      <w:hyperlink w:anchor="_Toc87797148" w:history="1">
        <w:r w:rsidR="00356468" w:rsidRPr="003D2D46">
          <w:rPr>
            <w:rStyle w:val="Hyperlink"/>
            <w:rFonts w:cs="Times New Roman"/>
            <w:noProof/>
          </w:rPr>
          <w:t>5.5.1 Geographic and Temporal Distribution of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_Toc87797148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106</w:t>
        </w:r>
        <w:r w:rsidR="00356468" w:rsidRPr="003D2D46">
          <w:rPr>
            <w:rFonts w:cs="Times New Roman"/>
            <w:noProof/>
            <w:webHidden/>
          </w:rPr>
          <w:fldChar w:fldCharType="end"/>
        </w:r>
      </w:hyperlink>
    </w:p>
    <w:p w14:paraId="57ABC8D1" w14:textId="575EF687" w:rsidR="00356468" w:rsidRPr="003D2D46" w:rsidRDefault="00D32FDA">
      <w:pPr>
        <w:pStyle w:val="TOC4"/>
        <w:rPr>
          <w:rFonts w:eastAsiaTheme="minorEastAsia" w:cs="Times New Roman"/>
          <w:noProof/>
          <w:sz w:val="22"/>
          <w:szCs w:val="22"/>
        </w:rPr>
      </w:pPr>
      <w:hyperlink w:anchor="_Toc87797149" w:history="1">
        <w:r w:rsidR="00356468" w:rsidRPr="003D2D46">
          <w:rPr>
            <w:rStyle w:val="Hyperlink"/>
            <w:rFonts w:cs="Times New Roman"/>
            <w:noProof/>
          </w:rPr>
          <w:t>5.5.2 Clusters of High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_Toc87797149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108</w:t>
        </w:r>
        <w:r w:rsidR="00356468" w:rsidRPr="003D2D46">
          <w:rPr>
            <w:rFonts w:cs="Times New Roman"/>
            <w:noProof/>
            <w:webHidden/>
          </w:rPr>
          <w:fldChar w:fldCharType="end"/>
        </w:r>
      </w:hyperlink>
    </w:p>
    <w:p w14:paraId="7443CFB7" w14:textId="4BF2854D" w:rsidR="00356468" w:rsidRPr="003D2D46" w:rsidRDefault="00D32FDA">
      <w:pPr>
        <w:pStyle w:val="TOC4"/>
        <w:rPr>
          <w:rFonts w:eastAsiaTheme="minorEastAsia" w:cs="Times New Roman"/>
          <w:noProof/>
          <w:sz w:val="22"/>
          <w:szCs w:val="22"/>
        </w:rPr>
      </w:pPr>
      <w:hyperlink w:anchor="_Toc87797150" w:history="1">
        <w:r w:rsidR="00356468" w:rsidRPr="003D2D46">
          <w:rPr>
            <w:rStyle w:val="Hyperlink"/>
            <w:rFonts w:cs="Times New Roman"/>
            <w:noProof/>
          </w:rPr>
          <w:t>5.5.3 Predictors of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_Toc87797150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109</w:t>
        </w:r>
        <w:r w:rsidR="00356468" w:rsidRPr="003D2D46">
          <w:rPr>
            <w:rFonts w:cs="Times New Roman"/>
            <w:noProof/>
            <w:webHidden/>
          </w:rPr>
          <w:fldChar w:fldCharType="end"/>
        </w:r>
      </w:hyperlink>
    </w:p>
    <w:p w14:paraId="68849EDB" w14:textId="40B735FA" w:rsidR="00356468" w:rsidRPr="003D2D46" w:rsidRDefault="00D32FDA">
      <w:pPr>
        <w:pStyle w:val="TOC4"/>
        <w:rPr>
          <w:rFonts w:eastAsiaTheme="minorEastAsia" w:cs="Times New Roman"/>
          <w:noProof/>
          <w:sz w:val="22"/>
          <w:szCs w:val="22"/>
        </w:rPr>
      </w:pPr>
      <w:hyperlink w:anchor="_Toc87797151" w:history="1">
        <w:r w:rsidR="00356468" w:rsidRPr="003D2D46">
          <w:rPr>
            <w:rStyle w:val="Hyperlink"/>
            <w:rFonts w:cs="Times New Roman"/>
            <w:noProof/>
          </w:rPr>
          <w:t>5.5.4 Geographic Distribution of Significant Predictors of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_Toc87797151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113</w:t>
        </w:r>
        <w:r w:rsidR="00356468" w:rsidRPr="003D2D46">
          <w:rPr>
            <w:rFonts w:cs="Times New Roman"/>
            <w:noProof/>
            <w:webHidden/>
          </w:rPr>
          <w:fldChar w:fldCharType="end"/>
        </w:r>
      </w:hyperlink>
    </w:p>
    <w:p w14:paraId="42CF2FAB" w14:textId="630ECB80" w:rsidR="00356468" w:rsidRPr="003D2D46" w:rsidRDefault="00D32FDA">
      <w:pPr>
        <w:pStyle w:val="TOC2"/>
        <w:rPr>
          <w:rFonts w:ascii="Times New Roman" w:eastAsiaTheme="minorEastAsia" w:hAnsi="Times New Roman" w:cs="Times New Roman"/>
          <w:noProof/>
          <w:sz w:val="22"/>
          <w:szCs w:val="22"/>
        </w:rPr>
      </w:pPr>
      <w:hyperlink w:anchor="_Toc87797152" w:history="1">
        <w:r w:rsidR="00356468" w:rsidRPr="003D2D46">
          <w:rPr>
            <w:rStyle w:val="Hyperlink"/>
            <w:rFonts w:ascii="Times New Roman" w:hAnsi="Times New Roman" w:cs="Times New Roman"/>
            <w:noProof/>
          </w:rPr>
          <w:t>5.6 Discussion</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_Toc87797152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120</w:t>
        </w:r>
        <w:r w:rsidR="00356468" w:rsidRPr="003D2D46">
          <w:rPr>
            <w:rFonts w:ascii="Times New Roman" w:hAnsi="Times New Roman" w:cs="Times New Roman"/>
            <w:noProof/>
            <w:webHidden/>
          </w:rPr>
          <w:fldChar w:fldCharType="end"/>
        </w:r>
      </w:hyperlink>
    </w:p>
    <w:p w14:paraId="2164937B" w14:textId="419D81D4" w:rsidR="00356468" w:rsidRPr="003D2D46" w:rsidRDefault="00D32FDA">
      <w:pPr>
        <w:pStyle w:val="TOC4"/>
        <w:rPr>
          <w:rFonts w:eastAsiaTheme="minorEastAsia" w:cs="Times New Roman"/>
          <w:noProof/>
          <w:sz w:val="22"/>
          <w:szCs w:val="22"/>
        </w:rPr>
      </w:pPr>
      <w:hyperlink w:anchor="_Toc87797153" w:history="1">
        <w:r w:rsidR="00356468" w:rsidRPr="003D2D46">
          <w:rPr>
            <w:rStyle w:val="Hyperlink"/>
            <w:rFonts w:cs="Times New Roman"/>
            <w:noProof/>
          </w:rPr>
          <w:t>5.6.1 Predictors of Pertussis Risk</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_Toc87797153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123</w:t>
        </w:r>
        <w:r w:rsidR="00356468" w:rsidRPr="003D2D46">
          <w:rPr>
            <w:rFonts w:cs="Times New Roman"/>
            <w:noProof/>
            <w:webHidden/>
          </w:rPr>
          <w:fldChar w:fldCharType="end"/>
        </w:r>
      </w:hyperlink>
    </w:p>
    <w:p w14:paraId="2A7A9FCA" w14:textId="795BA6FC" w:rsidR="00356468" w:rsidRPr="003D2D46" w:rsidRDefault="00D32FDA">
      <w:pPr>
        <w:pStyle w:val="TOC4"/>
        <w:rPr>
          <w:rFonts w:eastAsiaTheme="minorEastAsia" w:cs="Times New Roman"/>
          <w:noProof/>
          <w:sz w:val="22"/>
          <w:szCs w:val="22"/>
        </w:rPr>
      </w:pPr>
      <w:hyperlink w:anchor="_Toc87797154" w:history="1">
        <w:r w:rsidR="00356468" w:rsidRPr="003D2D46">
          <w:rPr>
            <w:rStyle w:val="Hyperlink"/>
            <w:rFonts w:cs="Times New Roman"/>
            <w:noProof/>
          </w:rPr>
          <w:t>5.6.2 Strengths and Limitations</w:t>
        </w:r>
        <w:r w:rsidR="00356468" w:rsidRPr="003D2D46">
          <w:rPr>
            <w:rFonts w:cs="Times New Roman"/>
            <w:noProof/>
            <w:webHidden/>
          </w:rPr>
          <w:tab/>
        </w:r>
        <w:r w:rsidR="00356468" w:rsidRPr="003D2D46">
          <w:rPr>
            <w:rFonts w:cs="Times New Roman"/>
            <w:noProof/>
            <w:webHidden/>
          </w:rPr>
          <w:fldChar w:fldCharType="begin"/>
        </w:r>
        <w:r w:rsidR="00356468" w:rsidRPr="003D2D46">
          <w:rPr>
            <w:rFonts w:cs="Times New Roman"/>
            <w:noProof/>
            <w:webHidden/>
          </w:rPr>
          <w:instrText xml:space="preserve"> PAGEREF _Toc87797154 \h </w:instrText>
        </w:r>
        <w:r w:rsidR="00356468" w:rsidRPr="003D2D46">
          <w:rPr>
            <w:rFonts w:cs="Times New Roman"/>
            <w:noProof/>
            <w:webHidden/>
          </w:rPr>
        </w:r>
        <w:r w:rsidR="00356468" w:rsidRPr="003D2D46">
          <w:rPr>
            <w:rFonts w:cs="Times New Roman"/>
            <w:noProof/>
            <w:webHidden/>
          </w:rPr>
          <w:fldChar w:fldCharType="separate"/>
        </w:r>
        <w:r w:rsidR="008B6FEE">
          <w:rPr>
            <w:rFonts w:cs="Times New Roman"/>
            <w:noProof/>
            <w:webHidden/>
          </w:rPr>
          <w:t>125</w:t>
        </w:r>
        <w:r w:rsidR="00356468" w:rsidRPr="003D2D46">
          <w:rPr>
            <w:rFonts w:cs="Times New Roman"/>
            <w:noProof/>
            <w:webHidden/>
          </w:rPr>
          <w:fldChar w:fldCharType="end"/>
        </w:r>
      </w:hyperlink>
    </w:p>
    <w:p w14:paraId="3D50D483" w14:textId="6B7A2C18" w:rsidR="00356468" w:rsidRPr="003D2D46" w:rsidRDefault="00D32FDA">
      <w:pPr>
        <w:pStyle w:val="TOC2"/>
        <w:rPr>
          <w:rFonts w:ascii="Times New Roman" w:eastAsiaTheme="minorEastAsia" w:hAnsi="Times New Roman" w:cs="Times New Roman"/>
          <w:noProof/>
          <w:sz w:val="22"/>
          <w:szCs w:val="22"/>
        </w:rPr>
      </w:pPr>
      <w:hyperlink w:anchor="_Toc87797155" w:history="1">
        <w:r w:rsidR="00356468" w:rsidRPr="003D2D46">
          <w:rPr>
            <w:rStyle w:val="Hyperlink"/>
            <w:rFonts w:ascii="Times New Roman" w:hAnsi="Times New Roman" w:cs="Times New Roman"/>
            <w:noProof/>
          </w:rPr>
          <w:t>5.7 Conclusions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_Toc87797155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126</w:t>
        </w:r>
        <w:r w:rsidR="00356468" w:rsidRPr="003D2D46">
          <w:rPr>
            <w:rFonts w:ascii="Times New Roman" w:hAnsi="Times New Roman" w:cs="Times New Roman"/>
            <w:noProof/>
            <w:webHidden/>
          </w:rPr>
          <w:fldChar w:fldCharType="end"/>
        </w:r>
      </w:hyperlink>
    </w:p>
    <w:p w14:paraId="60F56E0B" w14:textId="1026AFB1" w:rsidR="00356468" w:rsidRPr="003D2D46" w:rsidRDefault="00D32FDA">
      <w:pPr>
        <w:pStyle w:val="TOC1"/>
        <w:rPr>
          <w:rFonts w:ascii="Times New Roman" w:eastAsiaTheme="minorEastAsia" w:hAnsi="Times New Roman" w:cs="Times New Roman"/>
          <w:noProof/>
          <w:sz w:val="22"/>
          <w:szCs w:val="22"/>
        </w:rPr>
      </w:pPr>
      <w:hyperlink w:anchor="_Toc87797156" w:history="1">
        <w:r w:rsidR="00356468" w:rsidRPr="003D2D46">
          <w:rPr>
            <w:rStyle w:val="Hyperlink"/>
            <w:rFonts w:ascii="Times New Roman" w:hAnsi="Times New Roman" w:cs="Times New Roman"/>
            <w:noProof/>
          </w:rPr>
          <w:t>CHAPTER 6</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_Toc87797156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127</w:t>
        </w:r>
        <w:r w:rsidR="00356468" w:rsidRPr="003D2D46">
          <w:rPr>
            <w:rFonts w:ascii="Times New Roman" w:hAnsi="Times New Roman" w:cs="Times New Roman"/>
            <w:noProof/>
            <w:webHidden/>
          </w:rPr>
          <w:fldChar w:fldCharType="end"/>
        </w:r>
      </w:hyperlink>
    </w:p>
    <w:p w14:paraId="428B8EA3" w14:textId="1EA63B63" w:rsidR="00356468" w:rsidRPr="003D2D46" w:rsidRDefault="00D32FDA">
      <w:pPr>
        <w:pStyle w:val="TOC1"/>
        <w:rPr>
          <w:rFonts w:ascii="Times New Roman" w:eastAsiaTheme="minorEastAsia" w:hAnsi="Times New Roman" w:cs="Times New Roman"/>
          <w:noProof/>
          <w:sz w:val="22"/>
          <w:szCs w:val="22"/>
        </w:rPr>
      </w:pPr>
      <w:hyperlink w:anchor="_Toc87797157" w:history="1">
        <w:r w:rsidR="00356468" w:rsidRPr="003D2D46">
          <w:rPr>
            <w:rStyle w:val="Hyperlink"/>
            <w:rFonts w:ascii="Times New Roman" w:hAnsi="Times New Roman" w:cs="Times New Roman"/>
            <w:noProof/>
          </w:rPr>
          <w:t>SUMMARY, CONCLUSIONS, AND RECOMMENDATIONS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_Toc87797157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127</w:t>
        </w:r>
        <w:r w:rsidR="00356468" w:rsidRPr="003D2D46">
          <w:rPr>
            <w:rFonts w:ascii="Times New Roman" w:hAnsi="Times New Roman" w:cs="Times New Roman"/>
            <w:noProof/>
            <w:webHidden/>
          </w:rPr>
          <w:fldChar w:fldCharType="end"/>
        </w:r>
      </w:hyperlink>
    </w:p>
    <w:p w14:paraId="7EEBD99B" w14:textId="0E8B7DCD" w:rsidR="00356468" w:rsidRPr="003D2D46" w:rsidRDefault="00D32FDA">
      <w:pPr>
        <w:pStyle w:val="TOC1"/>
        <w:rPr>
          <w:rFonts w:ascii="Times New Roman" w:eastAsiaTheme="minorEastAsia" w:hAnsi="Times New Roman" w:cs="Times New Roman"/>
          <w:noProof/>
          <w:sz w:val="22"/>
          <w:szCs w:val="22"/>
        </w:rPr>
      </w:pPr>
      <w:hyperlink w:anchor="_Toc87797158" w:history="1">
        <w:r w:rsidR="00356468" w:rsidRPr="003D2D46">
          <w:rPr>
            <w:rStyle w:val="Hyperlink"/>
            <w:rFonts w:ascii="Times New Roman" w:hAnsi="Times New Roman" w:cs="Times New Roman"/>
            <w:noProof/>
          </w:rPr>
          <w:t>REFERENCES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_Toc87797158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133</w:t>
        </w:r>
        <w:r w:rsidR="00356468" w:rsidRPr="003D2D46">
          <w:rPr>
            <w:rFonts w:ascii="Times New Roman" w:hAnsi="Times New Roman" w:cs="Times New Roman"/>
            <w:noProof/>
            <w:webHidden/>
          </w:rPr>
          <w:fldChar w:fldCharType="end"/>
        </w:r>
      </w:hyperlink>
    </w:p>
    <w:p w14:paraId="3907F9B5" w14:textId="635E11A5" w:rsidR="00356468" w:rsidRPr="003D2D46" w:rsidRDefault="00D32FDA">
      <w:pPr>
        <w:pStyle w:val="TOC1"/>
        <w:rPr>
          <w:rFonts w:ascii="Times New Roman" w:eastAsiaTheme="minorEastAsia" w:hAnsi="Times New Roman" w:cs="Times New Roman"/>
          <w:noProof/>
          <w:sz w:val="22"/>
          <w:szCs w:val="22"/>
        </w:rPr>
      </w:pPr>
      <w:hyperlink w:anchor="_Toc87797159" w:history="1">
        <w:r w:rsidR="00356468" w:rsidRPr="003D2D46">
          <w:rPr>
            <w:rStyle w:val="Hyperlink"/>
            <w:rFonts w:ascii="Times New Roman" w:hAnsi="Times New Roman" w:cs="Times New Roman"/>
            <w:noProof/>
          </w:rPr>
          <w:t>APPENDICES</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_Toc87797159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172</w:t>
        </w:r>
        <w:r w:rsidR="00356468" w:rsidRPr="003D2D46">
          <w:rPr>
            <w:rFonts w:ascii="Times New Roman" w:hAnsi="Times New Roman" w:cs="Times New Roman"/>
            <w:noProof/>
            <w:webHidden/>
          </w:rPr>
          <w:fldChar w:fldCharType="end"/>
        </w:r>
      </w:hyperlink>
    </w:p>
    <w:p w14:paraId="02036BE6" w14:textId="14D17BB8" w:rsidR="00356468" w:rsidRPr="003D2D46" w:rsidRDefault="00D32FDA">
      <w:pPr>
        <w:pStyle w:val="TOC2"/>
        <w:rPr>
          <w:rFonts w:ascii="Times New Roman" w:eastAsiaTheme="minorEastAsia" w:hAnsi="Times New Roman" w:cs="Times New Roman"/>
          <w:noProof/>
          <w:sz w:val="22"/>
          <w:szCs w:val="22"/>
        </w:rPr>
      </w:pPr>
      <w:hyperlink w:anchor="_Toc87797160" w:history="1">
        <w:r w:rsidR="00356468" w:rsidRPr="003D2D46">
          <w:rPr>
            <w:rStyle w:val="Hyperlink"/>
            <w:rFonts w:ascii="Times New Roman" w:hAnsi="Times New Roman" w:cs="Times New Roman"/>
            <w:noProof/>
          </w:rPr>
          <w:t>Appendix A: Demographic Questionnaire</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_Toc87797160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173</w:t>
        </w:r>
        <w:r w:rsidR="00356468" w:rsidRPr="003D2D46">
          <w:rPr>
            <w:rFonts w:ascii="Times New Roman" w:hAnsi="Times New Roman" w:cs="Times New Roman"/>
            <w:noProof/>
            <w:webHidden/>
          </w:rPr>
          <w:fldChar w:fldCharType="end"/>
        </w:r>
      </w:hyperlink>
    </w:p>
    <w:p w14:paraId="584F138C" w14:textId="64D4D031" w:rsidR="00356468" w:rsidRPr="003D2D46" w:rsidRDefault="00D32FDA">
      <w:pPr>
        <w:pStyle w:val="TOC2"/>
        <w:rPr>
          <w:rFonts w:ascii="Times New Roman" w:eastAsiaTheme="minorEastAsia" w:hAnsi="Times New Roman" w:cs="Times New Roman"/>
          <w:noProof/>
          <w:sz w:val="22"/>
          <w:szCs w:val="22"/>
        </w:rPr>
      </w:pPr>
      <w:hyperlink w:anchor="_Toc87797161" w:history="1">
        <w:r w:rsidR="00356468" w:rsidRPr="003D2D46">
          <w:rPr>
            <w:rStyle w:val="Hyperlink"/>
            <w:rFonts w:ascii="Times New Roman" w:hAnsi="Times New Roman" w:cs="Times New Roman"/>
            <w:noProof/>
          </w:rPr>
          <w:t>Appendix B: Interview Question</w:t>
        </w:r>
        <w:r w:rsidR="00EC3BCA" w:rsidRPr="003D2D46">
          <w:rPr>
            <w:rStyle w:val="Hyperlink"/>
            <w:rFonts w:ascii="Times New Roman" w:hAnsi="Times New Roman" w:cs="Times New Roman"/>
            <w:noProof/>
          </w:rPr>
          <w:t>naire</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_Toc87797161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175</w:t>
        </w:r>
        <w:r w:rsidR="00356468" w:rsidRPr="003D2D46">
          <w:rPr>
            <w:rFonts w:ascii="Times New Roman" w:hAnsi="Times New Roman" w:cs="Times New Roman"/>
            <w:noProof/>
            <w:webHidden/>
          </w:rPr>
          <w:fldChar w:fldCharType="end"/>
        </w:r>
      </w:hyperlink>
    </w:p>
    <w:p w14:paraId="6CADB627" w14:textId="2808E14A" w:rsidR="00356468" w:rsidRPr="003D2D46" w:rsidRDefault="00D32FDA">
      <w:pPr>
        <w:pStyle w:val="TOC1"/>
        <w:rPr>
          <w:rFonts w:ascii="Times New Roman" w:eastAsiaTheme="minorEastAsia" w:hAnsi="Times New Roman" w:cs="Times New Roman"/>
          <w:noProof/>
          <w:sz w:val="22"/>
          <w:szCs w:val="22"/>
        </w:rPr>
      </w:pPr>
      <w:hyperlink w:anchor="_Toc87797162" w:history="1">
        <w:r w:rsidR="00356468" w:rsidRPr="003D2D46">
          <w:rPr>
            <w:rStyle w:val="Hyperlink"/>
            <w:rFonts w:ascii="Times New Roman" w:hAnsi="Times New Roman" w:cs="Times New Roman"/>
            <w:noProof/>
          </w:rPr>
          <w:t>VITA</w:t>
        </w:r>
        <w:r w:rsidR="00356468" w:rsidRPr="003D2D46">
          <w:rPr>
            <w:rFonts w:ascii="Times New Roman" w:hAnsi="Times New Roman" w:cs="Times New Roman"/>
            <w:noProof/>
            <w:webHidden/>
          </w:rPr>
          <w:tab/>
        </w:r>
        <w:r w:rsidR="00356468" w:rsidRPr="003D2D46">
          <w:rPr>
            <w:rFonts w:ascii="Times New Roman" w:hAnsi="Times New Roman" w:cs="Times New Roman"/>
            <w:noProof/>
            <w:webHidden/>
          </w:rPr>
          <w:fldChar w:fldCharType="begin"/>
        </w:r>
        <w:r w:rsidR="00356468" w:rsidRPr="003D2D46">
          <w:rPr>
            <w:rFonts w:ascii="Times New Roman" w:hAnsi="Times New Roman" w:cs="Times New Roman"/>
            <w:noProof/>
            <w:webHidden/>
          </w:rPr>
          <w:instrText xml:space="preserve"> PAGEREF _Toc87797162 \h </w:instrText>
        </w:r>
        <w:r w:rsidR="00356468" w:rsidRPr="003D2D46">
          <w:rPr>
            <w:rFonts w:ascii="Times New Roman" w:hAnsi="Times New Roman" w:cs="Times New Roman"/>
            <w:noProof/>
            <w:webHidden/>
          </w:rPr>
        </w:r>
        <w:r w:rsidR="00356468" w:rsidRPr="003D2D46">
          <w:rPr>
            <w:rFonts w:ascii="Times New Roman" w:hAnsi="Times New Roman" w:cs="Times New Roman"/>
            <w:noProof/>
            <w:webHidden/>
          </w:rPr>
          <w:fldChar w:fldCharType="separate"/>
        </w:r>
        <w:r w:rsidR="008B6FEE">
          <w:rPr>
            <w:rFonts w:ascii="Times New Roman" w:hAnsi="Times New Roman" w:cs="Times New Roman"/>
            <w:noProof/>
            <w:webHidden/>
          </w:rPr>
          <w:t>180</w:t>
        </w:r>
        <w:r w:rsidR="00356468" w:rsidRPr="003D2D46">
          <w:rPr>
            <w:rFonts w:ascii="Times New Roman" w:hAnsi="Times New Roman" w:cs="Times New Roman"/>
            <w:noProof/>
            <w:webHidden/>
          </w:rPr>
          <w:fldChar w:fldCharType="end"/>
        </w:r>
      </w:hyperlink>
    </w:p>
    <w:p w14:paraId="0CB31ED3" w14:textId="6CEC16BF" w:rsidR="00387656" w:rsidRPr="003D2D46" w:rsidRDefault="004F499F" w:rsidP="00EE2A89">
      <w:pPr>
        <w:rPr>
          <w:rFonts w:ascii="Times New Roman" w:hAnsi="Times New Roman" w:cs="Times New Roman"/>
          <w:color w:val="000000" w:themeColor="text1"/>
        </w:rPr>
      </w:pPr>
      <w:r w:rsidRPr="003D2D46">
        <w:rPr>
          <w:rFonts w:ascii="Times New Roman" w:hAnsi="Times New Roman" w:cs="Times New Roman"/>
          <w:color w:val="000000" w:themeColor="text1"/>
        </w:rPr>
        <w:fldChar w:fldCharType="end"/>
      </w:r>
    </w:p>
    <w:p w14:paraId="4EB22DB6" w14:textId="77777777" w:rsidR="00387656" w:rsidRPr="003D2D46" w:rsidRDefault="009C755C" w:rsidP="00EE2A89">
      <w:pPr>
        <w:pStyle w:val="Title"/>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br w:type="page"/>
      </w:r>
    </w:p>
    <w:p w14:paraId="58967CFB" w14:textId="0D1B5988" w:rsidR="00387656" w:rsidRPr="003D2D46" w:rsidRDefault="00387656" w:rsidP="004F0890">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lastRenderedPageBreak/>
        <w:t>LIST OF TABLES</w:t>
      </w:r>
    </w:p>
    <w:p w14:paraId="64B02575" w14:textId="4B847FA8" w:rsidR="00EB6152" w:rsidRPr="003D2D46" w:rsidRDefault="00387656">
      <w:pPr>
        <w:pStyle w:val="TableofFigures"/>
        <w:tabs>
          <w:tab w:val="right" w:leader="dot" w:pos="8630"/>
        </w:tabs>
        <w:rPr>
          <w:rFonts w:ascii="Times New Roman" w:eastAsiaTheme="minorEastAsia" w:hAnsi="Times New Roman" w:cs="Times New Roman"/>
          <w:noProof/>
        </w:rPr>
      </w:pP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TOC \h \z \c "Table" </w:instrText>
      </w:r>
      <w:r w:rsidRPr="003D2D46">
        <w:rPr>
          <w:rFonts w:ascii="Times New Roman" w:hAnsi="Times New Roman" w:cs="Times New Roman"/>
          <w:color w:val="000000" w:themeColor="text1"/>
        </w:rPr>
        <w:fldChar w:fldCharType="separate"/>
      </w:r>
      <w:hyperlink w:anchor="_Toc83975878" w:history="1">
        <w:r w:rsidR="00EB6152" w:rsidRPr="003D2D46">
          <w:rPr>
            <w:rStyle w:val="Hyperlink"/>
            <w:rFonts w:ascii="Times New Roman" w:hAnsi="Times New Roman" w:cs="Times New Roman"/>
            <w:noProof/>
          </w:rPr>
          <w:t xml:space="preserve">Table 3.1 Deductive and Inductive Codes Utilized in Qualitative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Analysis</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_Toc83975878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47</w:t>
        </w:r>
        <w:r w:rsidR="00EB6152" w:rsidRPr="003D2D46">
          <w:rPr>
            <w:rFonts w:ascii="Times New Roman" w:hAnsi="Times New Roman" w:cs="Times New Roman"/>
            <w:noProof/>
            <w:webHidden/>
          </w:rPr>
          <w:fldChar w:fldCharType="end"/>
        </w:r>
      </w:hyperlink>
    </w:p>
    <w:p w14:paraId="5499F296" w14:textId="5C8EB779"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79" w:history="1">
        <w:r w:rsidR="00EB6152" w:rsidRPr="003D2D46">
          <w:rPr>
            <w:rStyle w:val="Hyperlink"/>
            <w:rFonts w:ascii="Times New Roman" w:hAnsi="Times New Roman" w:cs="Times New Roman"/>
            <w:noProof/>
          </w:rPr>
          <w:t>Table 3.2 Demographic Characteristics of Participants in Qualitative</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 xml:space="preserve"> Study of Vaccination Attitudes in East Tennessee</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_Toc83975879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50</w:t>
        </w:r>
        <w:r w:rsidR="00EB6152" w:rsidRPr="003D2D46">
          <w:rPr>
            <w:rFonts w:ascii="Times New Roman" w:hAnsi="Times New Roman" w:cs="Times New Roman"/>
            <w:noProof/>
            <w:webHidden/>
          </w:rPr>
          <w:fldChar w:fldCharType="end"/>
        </w:r>
      </w:hyperlink>
    </w:p>
    <w:p w14:paraId="30FC52B7" w14:textId="010F7164"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0" w:history="1">
        <w:r w:rsidR="00EB6152" w:rsidRPr="003D2D46">
          <w:rPr>
            <w:rStyle w:val="Hyperlink"/>
            <w:rFonts w:ascii="Times New Roman" w:hAnsi="Times New Roman" w:cs="Times New Roman"/>
            <w:noProof/>
          </w:rPr>
          <w:t xml:space="preserve">Table 4.1 Summary Statistics of potential predictors of vaccination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_Toc83975880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74</w:t>
        </w:r>
        <w:r w:rsidR="00EB6152" w:rsidRPr="003D2D46">
          <w:rPr>
            <w:rFonts w:ascii="Times New Roman" w:hAnsi="Times New Roman" w:cs="Times New Roman"/>
            <w:noProof/>
            <w:webHidden/>
          </w:rPr>
          <w:fldChar w:fldCharType="end"/>
        </w:r>
      </w:hyperlink>
    </w:p>
    <w:p w14:paraId="5AFDF15F" w14:textId="5511A2C1"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1" w:history="1">
        <w:r w:rsidR="00EB6152" w:rsidRPr="003D2D46">
          <w:rPr>
            <w:rStyle w:val="Hyperlink"/>
            <w:rFonts w:ascii="Times New Roman" w:hAnsi="Times New Roman" w:cs="Times New Roman"/>
            <w:noProof/>
          </w:rPr>
          <w:t xml:space="preserve">Table 4.2 Results of univariable associations of potential predictors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of total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_Toc83975881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75</w:t>
        </w:r>
        <w:r w:rsidR="00EB6152" w:rsidRPr="003D2D46">
          <w:rPr>
            <w:rFonts w:ascii="Times New Roman" w:hAnsi="Times New Roman" w:cs="Times New Roman"/>
            <w:noProof/>
            <w:webHidden/>
          </w:rPr>
          <w:fldChar w:fldCharType="end"/>
        </w:r>
      </w:hyperlink>
    </w:p>
    <w:p w14:paraId="5B21C0DF" w14:textId="5DCE7978"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2" w:history="1">
        <w:r w:rsidR="00EB6152" w:rsidRPr="003D2D46">
          <w:rPr>
            <w:rStyle w:val="Hyperlink"/>
            <w:rFonts w:ascii="Times New Roman" w:hAnsi="Times New Roman" w:cs="Times New Roman"/>
            <w:noProof/>
          </w:rPr>
          <w:t xml:space="preserve">Table 4.3 Results of univariable associations of potential predictors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of non-medical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_Toc83975882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76</w:t>
        </w:r>
        <w:r w:rsidR="00EB6152" w:rsidRPr="003D2D46">
          <w:rPr>
            <w:rFonts w:ascii="Times New Roman" w:hAnsi="Times New Roman" w:cs="Times New Roman"/>
            <w:noProof/>
            <w:webHidden/>
          </w:rPr>
          <w:fldChar w:fldCharType="end"/>
        </w:r>
      </w:hyperlink>
    </w:p>
    <w:p w14:paraId="38F1126A" w14:textId="21C14E11"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3" w:history="1">
        <w:r w:rsidR="00EB6152" w:rsidRPr="003D2D46">
          <w:rPr>
            <w:rStyle w:val="Hyperlink"/>
            <w:rFonts w:ascii="Times New Roman" w:hAnsi="Times New Roman" w:cs="Times New Roman"/>
            <w:noProof/>
          </w:rPr>
          <w:t xml:space="preserve">Table 4.4 Results of the final Poisson model showing significant predictors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of total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_Toc83975883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82</w:t>
        </w:r>
        <w:r w:rsidR="00EB6152" w:rsidRPr="003D2D46">
          <w:rPr>
            <w:rFonts w:ascii="Times New Roman" w:hAnsi="Times New Roman" w:cs="Times New Roman"/>
            <w:noProof/>
            <w:webHidden/>
          </w:rPr>
          <w:fldChar w:fldCharType="end"/>
        </w:r>
      </w:hyperlink>
    </w:p>
    <w:p w14:paraId="135C3976" w14:textId="0A73C41F"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4" w:history="1">
        <w:r w:rsidR="00EB6152" w:rsidRPr="003D2D46">
          <w:rPr>
            <w:rStyle w:val="Hyperlink"/>
            <w:rFonts w:ascii="Times New Roman" w:hAnsi="Times New Roman" w:cs="Times New Roman"/>
            <w:noProof/>
          </w:rPr>
          <w:t xml:space="preserve">Table 4.5 Results of the final negative binomial model showing significant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predictors of total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_Toc83975884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83</w:t>
        </w:r>
        <w:r w:rsidR="00EB6152" w:rsidRPr="003D2D46">
          <w:rPr>
            <w:rFonts w:ascii="Times New Roman" w:hAnsi="Times New Roman" w:cs="Times New Roman"/>
            <w:noProof/>
            <w:webHidden/>
          </w:rPr>
          <w:fldChar w:fldCharType="end"/>
        </w:r>
      </w:hyperlink>
    </w:p>
    <w:p w14:paraId="54152C3F" w14:textId="79F93DC6"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5" w:history="1">
        <w:r w:rsidR="00EB6152" w:rsidRPr="003D2D46">
          <w:rPr>
            <w:rStyle w:val="Hyperlink"/>
            <w:rFonts w:ascii="Times New Roman" w:hAnsi="Times New Roman" w:cs="Times New Roman"/>
            <w:noProof/>
          </w:rPr>
          <w:t xml:space="preserve">Table 4.6 Results of the final Poisson model showing significant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predictors of non-medical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_Toc83975885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84</w:t>
        </w:r>
        <w:r w:rsidR="00EB6152" w:rsidRPr="003D2D46">
          <w:rPr>
            <w:rFonts w:ascii="Times New Roman" w:hAnsi="Times New Roman" w:cs="Times New Roman"/>
            <w:noProof/>
            <w:webHidden/>
          </w:rPr>
          <w:fldChar w:fldCharType="end"/>
        </w:r>
      </w:hyperlink>
    </w:p>
    <w:p w14:paraId="4B4F588F" w14:textId="275DE0C8"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6" w:history="1">
        <w:r w:rsidR="00EB6152" w:rsidRPr="003D2D46">
          <w:rPr>
            <w:rStyle w:val="Hyperlink"/>
            <w:rFonts w:ascii="Times New Roman" w:hAnsi="Times New Roman" w:cs="Times New Roman"/>
            <w:noProof/>
          </w:rPr>
          <w:t xml:space="preserve">Table 4.7 Results of the final negative binomial model showing significant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predictors of non-medical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_Toc83975886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85</w:t>
        </w:r>
        <w:r w:rsidR="00EB6152" w:rsidRPr="003D2D46">
          <w:rPr>
            <w:rFonts w:ascii="Times New Roman" w:hAnsi="Times New Roman" w:cs="Times New Roman"/>
            <w:noProof/>
            <w:webHidden/>
          </w:rPr>
          <w:fldChar w:fldCharType="end"/>
        </w:r>
      </w:hyperlink>
    </w:p>
    <w:p w14:paraId="3E054077" w14:textId="36BEEC47"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7" w:history="1">
        <w:r w:rsidR="00EB6152" w:rsidRPr="003D2D46">
          <w:rPr>
            <w:rStyle w:val="Hyperlink"/>
            <w:rFonts w:ascii="Times New Roman" w:hAnsi="Times New Roman" w:cs="Times New Roman"/>
            <w:noProof/>
          </w:rPr>
          <w:t xml:space="preserve">Table 5.1 Variables Considered as potential predictors of county-level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pertussis risk in Florida</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_Toc83975887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104</w:t>
        </w:r>
        <w:r w:rsidR="00EB6152" w:rsidRPr="003D2D46">
          <w:rPr>
            <w:rFonts w:ascii="Times New Roman" w:hAnsi="Times New Roman" w:cs="Times New Roman"/>
            <w:noProof/>
            <w:webHidden/>
          </w:rPr>
          <w:fldChar w:fldCharType="end"/>
        </w:r>
      </w:hyperlink>
    </w:p>
    <w:p w14:paraId="6A86D8E3" w14:textId="2ADE1B75"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8" w:history="1">
        <w:r w:rsidR="00EB6152" w:rsidRPr="003D2D46">
          <w:rPr>
            <w:rStyle w:val="Hyperlink"/>
            <w:rFonts w:ascii="Times New Roman" w:hAnsi="Times New Roman" w:cs="Times New Roman"/>
            <w:noProof/>
          </w:rPr>
          <w:t xml:space="preserve">Table 5.2 Significant geographic clusters of pertussis risk in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Florida, 2010-2018</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_Toc83975888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112</w:t>
        </w:r>
        <w:r w:rsidR="00EB6152" w:rsidRPr="003D2D46">
          <w:rPr>
            <w:rFonts w:ascii="Times New Roman" w:hAnsi="Times New Roman" w:cs="Times New Roman"/>
            <w:noProof/>
            <w:webHidden/>
          </w:rPr>
          <w:fldChar w:fldCharType="end"/>
        </w:r>
      </w:hyperlink>
    </w:p>
    <w:p w14:paraId="523B7D7E" w14:textId="4B7947A6"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89" w:history="1">
        <w:r w:rsidR="00EB6152" w:rsidRPr="003D2D46">
          <w:rPr>
            <w:rStyle w:val="Hyperlink"/>
            <w:rFonts w:ascii="Times New Roman" w:hAnsi="Times New Roman" w:cs="Times New Roman"/>
            <w:noProof/>
          </w:rPr>
          <w:t xml:space="preserve">Table 5.3 Significant geographic clusters of pertussis risk in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Florida, 2010-2012</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_Toc83975889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114</w:t>
        </w:r>
        <w:r w:rsidR="00EB6152" w:rsidRPr="003D2D46">
          <w:rPr>
            <w:rFonts w:ascii="Times New Roman" w:hAnsi="Times New Roman" w:cs="Times New Roman"/>
            <w:noProof/>
            <w:webHidden/>
          </w:rPr>
          <w:fldChar w:fldCharType="end"/>
        </w:r>
      </w:hyperlink>
    </w:p>
    <w:p w14:paraId="4F4A1C5F" w14:textId="56CFF253"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0" w:history="1">
        <w:r w:rsidR="00EB6152" w:rsidRPr="003D2D46">
          <w:rPr>
            <w:rStyle w:val="Hyperlink"/>
            <w:rFonts w:ascii="Times New Roman" w:hAnsi="Times New Roman" w:cs="Times New Roman"/>
            <w:noProof/>
          </w:rPr>
          <w:t xml:space="preserve">Table 5.4 Significant geographic clusters of pertussis risk in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Florida, 2013-2015</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_Toc83975890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115</w:t>
        </w:r>
        <w:r w:rsidR="00EB6152" w:rsidRPr="003D2D46">
          <w:rPr>
            <w:rFonts w:ascii="Times New Roman" w:hAnsi="Times New Roman" w:cs="Times New Roman"/>
            <w:noProof/>
            <w:webHidden/>
          </w:rPr>
          <w:fldChar w:fldCharType="end"/>
        </w:r>
      </w:hyperlink>
    </w:p>
    <w:p w14:paraId="692F3AEE" w14:textId="251BEC39"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1" w:history="1">
        <w:r w:rsidR="00EB6152" w:rsidRPr="003D2D46">
          <w:rPr>
            <w:rStyle w:val="Hyperlink"/>
            <w:rFonts w:ascii="Times New Roman" w:hAnsi="Times New Roman" w:cs="Times New Roman"/>
            <w:noProof/>
          </w:rPr>
          <w:t xml:space="preserve">Table 5.5 Significant geographic clusters of pertussis risk in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Florida, 2016-2018</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_Toc83975891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116</w:t>
        </w:r>
        <w:r w:rsidR="00EB6152" w:rsidRPr="003D2D46">
          <w:rPr>
            <w:rFonts w:ascii="Times New Roman" w:hAnsi="Times New Roman" w:cs="Times New Roman"/>
            <w:noProof/>
            <w:webHidden/>
          </w:rPr>
          <w:fldChar w:fldCharType="end"/>
        </w:r>
      </w:hyperlink>
    </w:p>
    <w:p w14:paraId="53F4B52B" w14:textId="706120B3"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2" w:history="1">
        <w:r w:rsidR="00EB6152" w:rsidRPr="003D2D46">
          <w:rPr>
            <w:rStyle w:val="Hyperlink"/>
            <w:rFonts w:ascii="Times New Roman" w:hAnsi="Times New Roman" w:cs="Times New Roman"/>
            <w:noProof/>
          </w:rPr>
          <w:t xml:space="preserve">Table 5.6 Summary statistics and results of univariable analysis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of potential predictors of pertussis risk in Florida</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_Toc83975892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117</w:t>
        </w:r>
        <w:r w:rsidR="00EB6152" w:rsidRPr="003D2D46">
          <w:rPr>
            <w:rFonts w:ascii="Times New Roman" w:hAnsi="Times New Roman" w:cs="Times New Roman"/>
            <w:noProof/>
            <w:webHidden/>
          </w:rPr>
          <w:fldChar w:fldCharType="end"/>
        </w:r>
      </w:hyperlink>
    </w:p>
    <w:p w14:paraId="6DD7245C" w14:textId="1D5A136E"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3" w:history="1">
        <w:r w:rsidR="00EB6152" w:rsidRPr="003D2D46">
          <w:rPr>
            <w:rStyle w:val="Hyperlink"/>
            <w:rFonts w:ascii="Times New Roman" w:hAnsi="Times New Roman" w:cs="Times New Roman"/>
            <w:noProof/>
          </w:rPr>
          <w:t xml:space="preserve">Table 5.7 Significant predictors of county-level pertussis risk in </w:t>
        </w:r>
        <w:r w:rsidR="00930228"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Florida, 2010-2018</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_Toc83975893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118</w:t>
        </w:r>
        <w:r w:rsidR="00EB6152" w:rsidRPr="003D2D46">
          <w:rPr>
            <w:rFonts w:ascii="Times New Roman" w:hAnsi="Times New Roman" w:cs="Times New Roman"/>
            <w:noProof/>
            <w:webHidden/>
          </w:rPr>
          <w:fldChar w:fldCharType="end"/>
        </w:r>
      </w:hyperlink>
    </w:p>
    <w:p w14:paraId="384D27FD" w14:textId="7AE8FB19" w:rsidR="00C30D60" w:rsidRPr="003D2D46" w:rsidRDefault="00387656" w:rsidP="004F0890">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rPr>
        <w:fldChar w:fldCharType="end"/>
      </w:r>
      <w:r w:rsidR="00236E6D" w:rsidRPr="003D2D46">
        <w:rPr>
          <w:rFonts w:ascii="Times New Roman" w:hAnsi="Times New Roman" w:cs="Times New Roman"/>
          <w:color w:val="000000" w:themeColor="text1"/>
          <w:sz w:val="24"/>
        </w:rPr>
        <w:br w:type="page"/>
      </w:r>
      <w:r w:rsidR="00904969" w:rsidRPr="003D2D46">
        <w:rPr>
          <w:rFonts w:ascii="Times New Roman" w:hAnsi="Times New Roman" w:cs="Times New Roman"/>
          <w:color w:val="000000" w:themeColor="text1"/>
          <w:sz w:val="24"/>
        </w:rPr>
        <w:lastRenderedPageBreak/>
        <w:t>LIST OF FIGURES</w:t>
      </w:r>
    </w:p>
    <w:p w14:paraId="7BCFE060" w14:textId="7CE5BDC4" w:rsidR="00EB6152" w:rsidRPr="003D2D46" w:rsidRDefault="00387656">
      <w:pPr>
        <w:pStyle w:val="TableofFigures"/>
        <w:tabs>
          <w:tab w:val="right" w:leader="dot" w:pos="8630"/>
        </w:tabs>
        <w:rPr>
          <w:rFonts w:ascii="Times New Roman" w:eastAsiaTheme="minorEastAsia" w:hAnsi="Times New Roman" w:cs="Times New Roman"/>
          <w:noProof/>
        </w:rPr>
      </w:pP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TOC \h \z \c "Figure" </w:instrText>
      </w:r>
      <w:r w:rsidRPr="003D2D46">
        <w:rPr>
          <w:rFonts w:ascii="Times New Roman" w:hAnsi="Times New Roman" w:cs="Times New Roman"/>
          <w:color w:val="000000" w:themeColor="text1"/>
        </w:rPr>
        <w:fldChar w:fldCharType="separate"/>
      </w:r>
      <w:hyperlink w:anchor="_Toc83975894" w:history="1">
        <w:r w:rsidR="00EB6152" w:rsidRPr="003D2D46">
          <w:rPr>
            <w:rStyle w:val="Hyperlink"/>
            <w:rFonts w:ascii="Times New Roman" w:hAnsi="Times New Roman" w:cs="Times New Roman"/>
            <w:noProof/>
          </w:rPr>
          <w:t>Figure 4.1 Geographic distribution of counties and major cities in Florida</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_Toc83975894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70</w:t>
        </w:r>
        <w:r w:rsidR="00EB6152" w:rsidRPr="003D2D46">
          <w:rPr>
            <w:rFonts w:ascii="Times New Roman" w:hAnsi="Times New Roman" w:cs="Times New Roman"/>
            <w:noProof/>
            <w:webHidden/>
          </w:rPr>
          <w:fldChar w:fldCharType="end"/>
        </w:r>
      </w:hyperlink>
    </w:p>
    <w:p w14:paraId="70DFB357" w14:textId="4B08CCD9"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5" w:history="1">
        <w:r w:rsidR="00EB6152" w:rsidRPr="003D2D46">
          <w:rPr>
            <w:rStyle w:val="Hyperlink"/>
            <w:rFonts w:ascii="Times New Roman" w:hAnsi="Times New Roman" w:cs="Times New Roman"/>
            <w:noProof/>
          </w:rPr>
          <w:t xml:space="preserve">Figure 4.2 Conceptual model </w:t>
        </w:r>
        <w:r w:rsidR="00CC538F" w:rsidRPr="003D2D46">
          <w:rPr>
            <w:rStyle w:val="Hyperlink"/>
            <w:rFonts w:ascii="Times New Roman" w:hAnsi="Times New Roman" w:cs="Times New Roman"/>
            <w:noProof/>
          </w:rPr>
          <w:t xml:space="preserve">showing </w:t>
        </w:r>
        <w:r w:rsidR="00EB6152" w:rsidRPr="003D2D46">
          <w:rPr>
            <w:rStyle w:val="Hyperlink"/>
            <w:rFonts w:ascii="Times New Roman" w:hAnsi="Times New Roman" w:cs="Times New Roman"/>
            <w:noProof/>
          </w:rPr>
          <w:t>sociodemographic variables considered</w:t>
        </w:r>
        <w:r w:rsidR="00CC538F" w:rsidRPr="003D2D46">
          <w:rPr>
            <w:rStyle w:val="Hyperlink"/>
            <w:rFonts w:ascii="Times New Roman" w:hAnsi="Times New Roman" w:cs="Times New Roman"/>
            <w:noProof/>
          </w:rPr>
          <w:t xml:space="preserve"> as</w:t>
        </w:r>
        <w:r w:rsidR="00EB6152" w:rsidRPr="003D2D46">
          <w:rPr>
            <w:rStyle w:val="Hyperlink"/>
            <w:rFonts w:ascii="Times New Roman" w:hAnsi="Times New Roman" w:cs="Times New Roman"/>
            <w:noProof/>
          </w:rPr>
          <w:t xml:space="preserve"> </w:t>
        </w:r>
        <w:r w:rsidR="002B5ABD" w:rsidRPr="003D2D46">
          <w:rPr>
            <w:rStyle w:val="Hyperlink"/>
            <w:rFonts w:ascii="Times New Roman" w:hAnsi="Times New Roman" w:cs="Times New Roman"/>
            <w:noProof/>
          </w:rPr>
          <w:br/>
        </w:r>
        <w:r w:rsidR="00CC538F" w:rsidRPr="003D2D46">
          <w:rPr>
            <w:rStyle w:val="Hyperlink"/>
            <w:rFonts w:ascii="Times New Roman" w:hAnsi="Times New Roman" w:cs="Times New Roman"/>
            <w:noProof/>
          </w:rPr>
          <w:t xml:space="preserve">potential predictors </w:t>
        </w:r>
        <w:r w:rsidR="00EB6152" w:rsidRPr="003D2D46">
          <w:rPr>
            <w:rStyle w:val="Hyperlink"/>
            <w:rFonts w:ascii="Times New Roman" w:hAnsi="Times New Roman" w:cs="Times New Roman"/>
            <w:noProof/>
          </w:rPr>
          <w:t>of vaccination exemptions 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_Toc83975895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73</w:t>
        </w:r>
        <w:r w:rsidR="00EB6152" w:rsidRPr="003D2D46">
          <w:rPr>
            <w:rFonts w:ascii="Times New Roman" w:hAnsi="Times New Roman" w:cs="Times New Roman"/>
            <w:noProof/>
            <w:webHidden/>
          </w:rPr>
          <w:fldChar w:fldCharType="end"/>
        </w:r>
      </w:hyperlink>
    </w:p>
    <w:p w14:paraId="50F0032C" w14:textId="0C6D404D"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6" w:history="1">
        <w:r w:rsidR="00EB6152" w:rsidRPr="003D2D46">
          <w:rPr>
            <w:rStyle w:val="Hyperlink"/>
            <w:rFonts w:ascii="Times New Roman" w:hAnsi="Times New Roman" w:cs="Times New Roman"/>
            <w:noProof/>
          </w:rPr>
          <w:t>Figure 4.3 Total and non-medical vaccination exemptions per 10,000</w:t>
        </w:r>
        <w:r w:rsidR="000D64A9" w:rsidRPr="003D2D46">
          <w:rPr>
            <w:rStyle w:val="Hyperlink"/>
            <w:rFonts w:ascii="Times New Roman" w:hAnsi="Times New Roman" w:cs="Times New Roman"/>
            <w:noProof/>
          </w:rPr>
          <w:t xml:space="preserve"> persons</w:t>
        </w:r>
        <w:r w:rsidR="00EB6152" w:rsidRPr="003D2D46">
          <w:rPr>
            <w:rStyle w:val="Hyperlink"/>
            <w:rFonts w:ascii="Times New Roman" w:hAnsi="Times New Roman" w:cs="Times New Roman"/>
            <w:noProof/>
          </w:rPr>
          <w:t xml:space="preserve"> </w:t>
        </w:r>
        <w:r w:rsidR="002B5ABD"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in Florida, 2014</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_Toc83975896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79</w:t>
        </w:r>
        <w:r w:rsidR="00EB6152" w:rsidRPr="003D2D46">
          <w:rPr>
            <w:rFonts w:ascii="Times New Roman" w:hAnsi="Times New Roman" w:cs="Times New Roman"/>
            <w:noProof/>
            <w:webHidden/>
          </w:rPr>
          <w:fldChar w:fldCharType="end"/>
        </w:r>
      </w:hyperlink>
    </w:p>
    <w:p w14:paraId="22B67E7C" w14:textId="358DD602"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7" w:history="1">
        <w:r w:rsidR="00EB6152" w:rsidRPr="003D2D46">
          <w:rPr>
            <w:rStyle w:val="Hyperlink"/>
            <w:rFonts w:ascii="Times New Roman" w:hAnsi="Times New Roman" w:cs="Times New Roman"/>
            <w:noProof/>
          </w:rPr>
          <w:t>Figure 5.1 Geographic distribution of counties and major cities</w:t>
        </w:r>
        <w:r w:rsidR="000D64A9" w:rsidRPr="003D2D46">
          <w:rPr>
            <w:rStyle w:val="Hyperlink"/>
            <w:rFonts w:ascii="Times New Roman" w:hAnsi="Times New Roman" w:cs="Times New Roman"/>
            <w:noProof/>
          </w:rPr>
          <w:t xml:space="preserve"> </w:t>
        </w:r>
        <w:r w:rsidR="00EB6152" w:rsidRPr="003D2D46">
          <w:rPr>
            <w:rStyle w:val="Hyperlink"/>
            <w:rFonts w:ascii="Times New Roman" w:hAnsi="Times New Roman" w:cs="Times New Roman"/>
            <w:noProof/>
          </w:rPr>
          <w:t>in Florida</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_Toc83975897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102</w:t>
        </w:r>
        <w:r w:rsidR="00EB6152" w:rsidRPr="003D2D46">
          <w:rPr>
            <w:rFonts w:ascii="Times New Roman" w:hAnsi="Times New Roman" w:cs="Times New Roman"/>
            <w:noProof/>
            <w:webHidden/>
          </w:rPr>
          <w:fldChar w:fldCharType="end"/>
        </w:r>
      </w:hyperlink>
    </w:p>
    <w:p w14:paraId="4E1F2A2C" w14:textId="0B9B08CF"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8" w:history="1">
        <w:r w:rsidR="00EB6152" w:rsidRPr="003D2D46">
          <w:rPr>
            <w:rStyle w:val="Hyperlink"/>
            <w:rFonts w:ascii="Times New Roman" w:hAnsi="Times New Roman" w:cs="Times New Roman"/>
            <w:noProof/>
          </w:rPr>
          <w:t xml:space="preserve">Figure 5.2 </w:t>
        </w:r>
        <w:r w:rsidR="00A60D1F" w:rsidRPr="003D2D46">
          <w:rPr>
            <w:rFonts w:ascii="Times New Roman" w:hAnsi="Times New Roman" w:cs="Times New Roman"/>
            <w:noProof/>
            <w:color w:val="000000" w:themeColor="text1"/>
          </w:rPr>
          <w:t>Choropleth Maps Showing Spatial Distribution of Pertussis Risks                   in Florida</w:t>
        </w:r>
        <w:r w:rsidR="00A60D1F" w:rsidRPr="003D2D46" w:rsidDel="00A60D1F">
          <w:rPr>
            <w:rStyle w:val="Hyperlink"/>
            <w:rFonts w:ascii="Times New Roman" w:hAnsi="Times New Roman" w:cs="Times New Roman"/>
            <w:noProof/>
          </w:rPr>
          <w:t xml:space="preserve"> </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_Toc83975898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110</w:t>
        </w:r>
        <w:r w:rsidR="00EB6152" w:rsidRPr="003D2D46">
          <w:rPr>
            <w:rFonts w:ascii="Times New Roman" w:hAnsi="Times New Roman" w:cs="Times New Roman"/>
            <w:noProof/>
            <w:webHidden/>
          </w:rPr>
          <w:fldChar w:fldCharType="end"/>
        </w:r>
      </w:hyperlink>
    </w:p>
    <w:p w14:paraId="1CA1ACA2" w14:textId="04E18622"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899" w:history="1">
        <w:r w:rsidR="00EB6152" w:rsidRPr="003D2D46">
          <w:rPr>
            <w:rStyle w:val="Hyperlink"/>
            <w:rFonts w:ascii="Times New Roman" w:hAnsi="Times New Roman" w:cs="Times New Roman"/>
            <w:noProof/>
          </w:rPr>
          <w:t>Figure 5.3 High Risk Pertussis Clusters in Florida</w:t>
        </w:r>
        <w:r w:rsidR="000D64A9" w:rsidRPr="003D2D46">
          <w:rPr>
            <w:rStyle w:val="Hyperlink"/>
            <w:rFonts w:ascii="Times New Roman" w:hAnsi="Times New Roman" w:cs="Times New Roman"/>
            <w:noProof/>
          </w:rPr>
          <w:t>,</w:t>
        </w:r>
        <w:r w:rsidR="00EB6152" w:rsidRPr="003D2D46">
          <w:rPr>
            <w:rStyle w:val="Hyperlink"/>
            <w:rFonts w:ascii="Times New Roman" w:hAnsi="Times New Roman" w:cs="Times New Roman"/>
            <w:noProof/>
          </w:rPr>
          <w:t xml:space="preserve"> 2010-2018</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_Toc83975899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111</w:t>
        </w:r>
        <w:r w:rsidR="00EB6152" w:rsidRPr="003D2D46">
          <w:rPr>
            <w:rFonts w:ascii="Times New Roman" w:hAnsi="Times New Roman" w:cs="Times New Roman"/>
            <w:noProof/>
            <w:webHidden/>
          </w:rPr>
          <w:fldChar w:fldCharType="end"/>
        </w:r>
      </w:hyperlink>
    </w:p>
    <w:p w14:paraId="016883BE" w14:textId="41C72393" w:rsidR="00EB6152" w:rsidRPr="003D2D46" w:rsidRDefault="00D32FDA">
      <w:pPr>
        <w:pStyle w:val="TableofFigures"/>
        <w:tabs>
          <w:tab w:val="right" w:leader="dot" w:pos="8630"/>
        </w:tabs>
        <w:rPr>
          <w:rFonts w:ascii="Times New Roman" w:eastAsiaTheme="minorEastAsia" w:hAnsi="Times New Roman" w:cs="Times New Roman"/>
          <w:noProof/>
        </w:rPr>
      </w:pPr>
      <w:hyperlink w:anchor="_Toc83975900" w:history="1">
        <w:r w:rsidR="00EB6152" w:rsidRPr="003D2D46">
          <w:rPr>
            <w:rStyle w:val="Hyperlink"/>
            <w:rFonts w:ascii="Times New Roman" w:hAnsi="Times New Roman" w:cs="Times New Roman"/>
            <w:noProof/>
          </w:rPr>
          <w:t xml:space="preserve">Figure 5.4 Choropleth maps of significant predictors of pertussis </w:t>
        </w:r>
        <w:r w:rsidR="002B5ABD" w:rsidRPr="003D2D46">
          <w:rPr>
            <w:rStyle w:val="Hyperlink"/>
            <w:rFonts w:ascii="Times New Roman" w:hAnsi="Times New Roman" w:cs="Times New Roman"/>
            <w:noProof/>
          </w:rPr>
          <w:br/>
        </w:r>
        <w:r w:rsidR="00EB6152" w:rsidRPr="003D2D46">
          <w:rPr>
            <w:rStyle w:val="Hyperlink"/>
            <w:rFonts w:ascii="Times New Roman" w:hAnsi="Times New Roman" w:cs="Times New Roman"/>
            <w:noProof/>
          </w:rPr>
          <w:t>risk in Florida, 2010-2018</w:t>
        </w:r>
        <w:r w:rsidR="00EB6152" w:rsidRPr="003D2D46">
          <w:rPr>
            <w:rFonts w:ascii="Times New Roman" w:hAnsi="Times New Roman" w:cs="Times New Roman"/>
            <w:noProof/>
            <w:webHidden/>
          </w:rPr>
          <w:tab/>
        </w:r>
        <w:r w:rsidR="00EB6152" w:rsidRPr="003D2D46">
          <w:rPr>
            <w:rFonts w:ascii="Times New Roman" w:hAnsi="Times New Roman" w:cs="Times New Roman"/>
            <w:noProof/>
            <w:webHidden/>
          </w:rPr>
          <w:fldChar w:fldCharType="begin"/>
        </w:r>
        <w:r w:rsidR="00EB6152" w:rsidRPr="003D2D46">
          <w:rPr>
            <w:rFonts w:ascii="Times New Roman" w:hAnsi="Times New Roman" w:cs="Times New Roman"/>
            <w:noProof/>
            <w:webHidden/>
          </w:rPr>
          <w:instrText xml:space="preserve"> PAGEREF _Toc83975900 \h </w:instrText>
        </w:r>
        <w:r w:rsidR="00EB6152" w:rsidRPr="003D2D46">
          <w:rPr>
            <w:rFonts w:ascii="Times New Roman" w:hAnsi="Times New Roman" w:cs="Times New Roman"/>
            <w:noProof/>
            <w:webHidden/>
          </w:rPr>
        </w:r>
        <w:r w:rsidR="00EB6152" w:rsidRPr="003D2D46">
          <w:rPr>
            <w:rFonts w:ascii="Times New Roman" w:hAnsi="Times New Roman" w:cs="Times New Roman"/>
            <w:noProof/>
            <w:webHidden/>
          </w:rPr>
          <w:fldChar w:fldCharType="separate"/>
        </w:r>
        <w:r w:rsidR="008B6FEE">
          <w:rPr>
            <w:rFonts w:ascii="Times New Roman" w:hAnsi="Times New Roman" w:cs="Times New Roman"/>
            <w:noProof/>
            <w:webHidden/>
          </w:rPr>
          <w:t>119</w:t>
        </w:r>
        <w:r w:rsidR="00EB6152" w:rsidRPr="003D2D46">
          <w:rPr>
            <w:rFonts w:ascii="Times New Roman" w:hAnsi="Times New Roman" w:cs="Times New Roman"/>
            <w:noProof/>
            <w:webHidden/>
          </w:rPr>
          <w:fldChar w:fldCharType="end"/>
        </w:r>
      </w:hyperlink>
    </w:p>
    <w:p w14:paraId="11AC03C2" w14:textId="2192CF0A" w:rsidR="0044603D" w:rsidRPr="003D2D46" w:rsidRDefault="00387656" w:rsidP="005043F7">
      <w:pPr>
        <w:pStyle w:val="Title"/>
        <w:jc w:val="left"/>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fldChar w:fldCharType="end"/>
      </w:r>
      <w:r w:rsidR="0044603D" w:rsidRPr="003D2D46">
        <w:rPr>
          <w:rFonts w:ascii="Times New Roman" w:hAnsi="Times New Roman" w:cs="Times New Roman"/>
          <w:color w:val="000000" w:themeColor="text1"/>
          <w:sz w:val="24"/>
        </w:rPr>
        <w:br w:type="page"/>
      </w:r>
    </w:p>
    <w:p w14:paraId="49319F2E" w14:textId="1C4067A6" w:rsidR="0085757D" w:rsidRPr="003D2D46" w:rsidRDefault="0044603D" w:rsidP="004F0890">
      <w:pPr>
        <w:pStyle w:val="Title"/>
        <w:spacing w:line="480" w:lineRule="auto"/>
        <w:rPr>
          <w:rFonts w:ascii="Times New Roman" w:hAnsi="Times New Roman" w:cs="Times New Roman"/>
          <w:color w:val="000000" w:themeColor="text1"/>
          <w:sz w:val="24"/>
        </w:rPr>
      </w:pPr>
      <w:r w:rsidRPr="003D2D46">
        <w:rPr>
          <w:rFonts w:ascii="Times New Roman" w:hAnsi="Times New Roman" w:cs="Times New Roman"/>
          <w:color w:val="000000" w:themeColor="text1"/>
          <w:sz w:val="24"/>
        </w:rPr>
        <w:lastRenderedPageBreak/>
        <w:t>LIST OF ABBREVIATIONS</w:t>
      </w:r>
    </w:p>
    <w:p w14:paraId="0FB491A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ACIP: Advisory Committee on Immunization Practices </w:t>
      </w:r>
    </w:p>
    <w:p w14:paraId="1D44D41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ACT: adenylate cyclase toxin</w:t>
      </w:r>
    </w:p>
    <w:p w14:paraId="74894C12"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cAMP: cyclic adenosine monophosphate</w:t>
      </w:r>
    </w:p>
    <w:p w14:paraId="523846F3"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CDC: Centers for Disease Control and Prevention</w:t>
      </w:r>
    </w:p>
    <w:p w14:paraId="5406AE3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CSSS: Circulate Spatial Scan Statistic </w:t>
      </w:r>
    </w:p>
    <w:p w14:paraId="1F56814C"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CSTE: Council for State and Territorial Epidemiologists</w:t>
      </w:r>
    </w:p>
    <w:p w14:paraId="54AB0A1D" w14:textId="51CBFCEC"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DTP: Diptheria, tetanus</w:t>
      </w:r>
      <w:r w:rsidR="00AE6422" w:rsidRPr="003D2D46">
        <w:rPr>
          <w:rFonts w:ascii="Times New Roman" w:hAnsi="Times New Roman" w:cs="Times New Roman"/>
          <w:color w:val="000000" w:themeColor="text1"/>
        </w:rPr>
        <w:t xml:space="preserve"> toxoid</w:t>
      </w:r>
      <w:r w:rsidRPr="003D2D46">
        <w:rPr>
          <w:rFonts w:ascii="Times New Roman" w:hAnsi="Times New Roman" w:cs="Times New Roman"/>
          <w:color w:val="000000" w:themeColor="text1"/>
        </w:rPr>
        <w:t>, whole cell pertussis</w:t>
      </w:r>
    </w:p>
    <w:p w14:paraId="40AFDBA4"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IRR: Incidence Risk Ratio </w:t>
      </w:r>
    </w:p>
    <w:p w14:paraId="358A0C01" w14:textId="7E3C5348"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DTaP: Diphtheria-tetanus</w:t>
      </w:r>
      <w:r w:rsidR="00AE6422" w:rsidRPr="003D2D46">
        <w:rPr>
          <w:rFonts w:ascii="Times New Roman" w:hAnsi="Times New Roman" w:cs="Times New Roman"/>
          <w:color w:val="000000" w:themeColor="text1"/>
        </w:rPr>
        <w:t xml:space="preserve"> toxoid</w:t>
      </w:r>
      <w:r w:rsidRPr="003D2D46">
        <w:rPr>
          <w:rFonts w:ascii="Times New Roman" w:hAnsi="Times New Roman" w:cs="Times New Roman"/>
          <w:color w:val="000000" w:themeColor="text1"/>
        </w:rPr>
        <w:t>-acellular pertussis</w:t>
      </w:r>
    </w:p>
    <w:p w14:paraId="0BFB4BA6" w14:textId="13EF417E"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DTwP: Diptheria, tetanus</w:t>
      </w:r>
      <w:r w:rsidR="00AE6422" w:rsidRPr="003D2D46">
        <w:rPr>
          <w:rFonts w:ascii="Times New Roman" w:hAnsi="Times New Roman" w:cs="Times New Roman"/>
          <w:color w:val="000000" w:themeColor="text1"/>
        </w:rPr>
        <w:t xml:space="preserve"> toxoid</w:t>
      </w:r>
      <w:r w:rsidRPr="003D2D46">
        <w:rPr>
          <w:rFonts w:ascii="Times New Roman" w:hAnsi="Times New Roman" w:cs="Times New Roman"/>
          <w:color w:val="000000" w:themeColor="text1"/>
        </w:rPr>
        <w:t>, whole cell pertussis</w:t>
      </w:r>
    </w:p>
    <w:p w14:paraId="4291C525"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ECDC: European Centre for Disease Prevention and Control </w:t>
      </w:r>
    </w:p>
    <w:p w14:paraId="6D44EBDD"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EPSS: Enhanced Pertussis Surveillance Program</w:t>
      </w:r>
    </w:p>
    <w:p w14:paraId="08196BCF"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FDA: Food and Drug Administration</w:t>
      </w:r>
    </w:p>
    <w:p w14:paraId="524994AD"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FIM: fimbriae</w:t>
      </w:r>
    </w:p>
    <w:p w14:paraId="6BD99EB1"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FHA: Filamentous hemagglutinin adhesin</w:t>
      </w:r>
    </w:p>
    <w:p w14:paraId="16A9D115"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FSSS: Flexible Spatial Scan Statistic</w:t>
      </w:r>
    </w:p>
    <w:p w14:paraId="0BC6D1F2"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GIS: Geographic Information Systems</w:t>
      </w:r>
    </w:p>
    <w:p w14:paraId="6570F70C"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GPI :Global Pertussis Initiative</w:t>
      </w:r>
    </w:p>
    <w:p w14:paraId="39C261CC"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GVAP: Global Vaccine Action Plan</w:t>
      </w:r>
    </w:p>
    <w:p w14:paraId="712EB229"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HepB: Hepatitis B</w:t>
      </w:r>
    </w:p>
    <w:p w14:paraId="2775D40B"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Hib: </w:t>
      </w:r>
      <w:r w:rsidRPr="003D2D46">
        <w:rPr>
          <w:rFonts w:ascii="Times New Roman" w:hAnsi="Times New Roman" w:cs="Times New Roman"/>
          <w:i/>
          <w:iCs/>
          <w:color w:val="000000" w:themeColor="text1"/>
        </w:rPr>
        <w:t xml:space="preserve">Haemophilus influenzae </w:t>
      </w:r>
      <w:r w:rsidRPr="003D2D46">
        <w:rPr>
          <w:rFonts w:ascii="Times New Roman" w:hAnsi="Times New Roman" w:cs="Times New Roman"/>
          <w:color w:val="000000" w:themeColor="text1"/>
        </w:rPr>
        <w:t>type B</w:t>
      </w:r>
    </w:p>
    <w:p w14:paraId="6E547B4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HIV: Humane Immunodeficiency Virus</w:t>
      </w:r>
    </w:p>
    <w:p w14:paraId="3A0AC92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HPV: Human papillomavirus</w:t>
      </w:r>
    </w:p>
    <w:p w14:paraId="4AD3E65D"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IHPS: infantile hypertrophic pyloric stenosis</w:t>
      </w:r>
    </w:p>
    <w:p w14:paraId="3E3947A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IPV: Inactivated Polio </w:t>
      </w:r>
      <w:r w:rsidR="00A81ECF" w:rsidRPr="003D2D46">
        <w:rPr>
          <w:rFonts w:ascii="Times New Roman" w:hAnsi="Times New Roman" w:cs="Times New Roman"/>
          <w:color w:val="000000" w:themeColor="text1"/>
        </w:rPr>
        <w:t>Vaccine</w:t>
      </w:r>
    </w:p>
    <w:p w14:paraId="367F225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LMIC: Low and Middle Income Countries</w:t>
      </w:r>
    </w:p>
    <w:p w14:paraId="46555EC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LM</w:t>
      </w:r>
      <w:r w:rsidRPr="003D2D46">
        <w:rPr>
          <w:rFonts w:ascii="Times New Roman" w:hAnsi="Times New Roman" w:cs="Times New Roman"/>
          <w:color w:val="000000" w:themeColor="text1"/>
          <w:vertAlign w:val="subscript"/>
        </w:rPr>
        <w:t>error</w:t>
      </w:r>
      <w:r w:rsidRPr="003D2D46">
        <w:rPr>
          <w:rFonts w:ascii="Times New Roman" w:hAnsi="Times New Roman" w:cs="Times New Roman"/>
          <w:color w:val="000000" w:themeColor="text1"/>
        </w:rPr>
        <w:t>:</w:t>
      </w:r>
      <w:r w:rsidRPr="003D2D46">
        <w:rPr>
          <w:rFonts w:ascii="Times New Roman" w:hAnsi="Times New Roman" w:cs="Times New Roman"/>
          <w:color w:val="000000" w:themeColor="text1"/>
          <w:vertAlign w:val="subscript"/>
        </w:rPr>
        <w:t xml:space="preserve"> </w:t>
      </w:r>
      <w:r w:rsidRPr="003D2D46">
        <w:rPr>
          <w:rFonts w:ascii="Times New Roman" w:hAnsi="Times New Roman" w:cs="Times New Roman"/>
          <w:color w:val="000000" w:themeColor="text1"/>
        </w:rPr>
        <w:t>Robust Legrange Multiple, error</w:t>
      </w:r>
    </w:p>
    <w:p w14:paraId="54223689"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LM</w:t>
      </w:r>
      <w:r w:rsidRPr="003D2D46">
        <w:rPr>
          <w:rFonts w:ascii="Times New Roman" w:hAnsi="Times New Roman" w:cs="Times New Roman"/>
          <w:color w:val="000000" w:themeColor="text1"/>
          <w:vertAlign w:val="subscript"/>
        </w:rPr>
        <w:t>lag</w:t>
      </w:r>
      <w:r w:rsidRPr="003D2D46">
        <w:rPr>
          <w:rFonts w:ascii="Times New Roman" w:hAnsi="Times New Roman" w:cs="Times New Roman"/>
          <w:color w:val="000000" w:themeColor="text1"/>
        </w:rPr>
        <w:t>: Robust Legrange Multiple, lag</w:t>
      </w:r>
    </w:p>
    <w:p w14:paraId="3F9306B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MMR: Measles, mumps, rubella</w:t>
      </w:r>
    </w:p>
    <w:p w14:paraId="0675E910"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OR: Odds Ratio </w:t>
      </w:r>
    </w:p>
    <w:p w14:paraId="747AB5F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PAHO: Pan American Health Organization</w:t>
      </w:r>
    </w:p>
    <w:p w14:paraId="22A3DCE9"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PT: Pertussis toxin</w:t>
      </w:r>
    </w:p>
    <w:p w14:paraId="035EAD31"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PCR: Polymerase Chain Reaction</w:t>
      </w:r>
    </w:p>
    <w:p w14:paraId="6226DC68"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PRN: pertactin</w:t>
      </w:r>
    </w:p>
    <w:p w14:paraId="07E2770C"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RLM: Robust Lagrange Multiplier</w:t>
      </w:r>
    </w:p>
    <w:p w14:paraId="15FDC51A"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RR: Relative Risk</w:t>
      </w:r>
    </w:p>
    <w:p w14:paraId="437F43B2"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RT-PCR: Real time polymerase chain reaction</w:t>
      </w:r>
    </w:p>
    <w:p w14:paraId="0454E7EC" w14:textId="77777777" w:rsidR="0097424B" w:rsidRPr="003D2D46" w:rsidRDefault="0097424B"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Se: Sensitivity </w:t>
      </w:r>
    </w:p>
    <w:p w14:paraId="4851FD8F" w14:textId="77777777" w:rsidR="0097424B" w:rsidRPr="003D2D46" w:rsidRDefault="0097424B"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Sp: Specificity</w:t>
      </w:r>
    </w:p>
    <w:p w14:paraId="0C7932F7"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TCT: tracheal cytotoxin</w:t>
      </w:r>
    </w:p>
    <w:p w14:paraId="20A4E34E"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Td: Tetanus and diphtheria </w:t>
      </w:r>
    </w:p>
    <w:p w14:paraId="70B0FC4D"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Tdap: Tetanus-diphtheria-acellular pertussis</w:t>
      </w:r>
    </w:p>
    <w:p w14:paraId="50CC156D"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TMP-SMZ: Trimethoprim-sulfamethoxazole</w:t>
      </w:r>
    </w:p>
    <w:p w14:paraId="405ECF63"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TTI: Theory of Triadic Influence</w:t>
      </w:r>
    </w:p>
    <w:p w14:paraId="1046EC2C" w14:textId="77777777" w:rsidR="00AC3807"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VIF: Variance Inflation Factor</w:t>
      </w:r>
    </w:p>
    <w:p w14:paraId="0BDF1A58" w14:textId="77777777" w:rsidR="00EA09C6" w:rsidRPr="003D2D46" w:rsidRDefault="00AC3807"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WHO: World Health Organization</w:t>
      </w:r>
    </w:p>
    <w:p w14:paraId="09026AF4" w14:textId="77777777" w:rsidR="00EA09C6" w:rsidRPr="003D2D46" w:rsidRDefault="00EA09C6" w:rsidP="00EE2A89">
      <w:pPr>
        <w:rPr>
          <w:rFonts w:ascii="Times New Roman" w:hAnsi="Times New Roman" w:cs="Times New Roman"/>
          <w:color w:val="000000" w:themeColor="text1"/>
        </w:rPr>
      </w:pPr>
    </w:p>
    <w:p w14:paraId="3CCDC2F8" w14:textId="77777777" w:rsidR="00EA09C6" w:rsidRPr="003D2D46" w:rsidRDefault="00EA09C6" w:rsidP="00EE2A89">
      <w:pPr>
        <w:rPr>
          <w:rFonts w:ascii="Times New Roman" w:hAnsi="Times New Roman" w:cs="Times New Roman"/>
          <w:color w:val="000000" w:themeColor="text1"/>
        </w:rPr>
        <w:sectPr w:rsidR="00EA09C6" w:rsidRPr="003D2D46" w:rsidSect="00B93CBD">
          <w:footerReference w:type="default" r:id="rId8"/>
          <w:pgSz w:w="12240" w:h="15840" w:code="1"/>
          <w:pgMar w:top="1440" w:right="1800" w:bottom="1872" w:left="1800" w:header="720" w:footer="1440" w:gutter="0"/>
          <w:pgNumType w:fmt="lowerRoman" w:start="1"/>
          <w:cols w:space="720"/>
          <w:noEndnote/>
          <w:titlePg/>
        </w:sectPr>
      </w:pPr>
    </w:p>
    <w:p w14:paraId="4E549528" w14:textId="77777777" w:rsidR="00855619" w:rsidRPr="003D2D46" w:rsidRDefault="00CF36A2" w:rsidP="00EF6B30">
      <w:pPr>
        <w:pStyle w:val="Heading1"/>
        <w:rPr>
          <w:rFonts w:ascii="Times New Roman" w:hAnsi="Times New Roman" w:cs="Times New Roman"/>
          <w:color w:val="000000" w:themeColor="text1"/>
          <w:sz w:val="24"/>
        </w:rPr>
      </w:pPr>
      <w:bookmarkStart w:id="1" w:name="_Toc87797055"/>
      <w:bookmarkStart w:id="2" w:name="_Toc82445496"/>
      <w:r w:rsidRPr="003D2D46">
        <w:rPr>
          <w:rFonts w:ascii="Times New Roman" w:hAnsi="Times New Roman" w:cs="Times New Roman"/>
          <w:color w:val="000000" w:themeColor="text1"/>
          <w:sz w:val="24"/>
        </w:rPr>
        <w:lastRenderedPageBreak/>
        <w:t xml:space="preserve">CHAPTER </w:t>
      </w:r>
      <w:r w:rsidR="000D1486" w:rsidRPr="003D2D46">
        <w:rPr>
          <w:rFonts w:ascii="Times New Roman" w:hAnsi="Times New Roman" w:cs="Times New Roman"/>
          <w:color w:val="000000" w:themeColor="text1"/>
          <w:sz w:val="24"/>
        </w:rPr>
        <w:t>1</w:t>
      </w:r>
      <w:bookmarkEnd w:id="1"/>
    </w:p>
    <w:p w14:paraId="5A174710" w14:textId="77777777" w:rsidR="00855619" w:rsidRPr="003D2D46" w:rsidRDefault="00855619" w:rsidP="00EF6B30">
      <w:pPr>
        <w:pStyle w:val="Heading1"/>
        <w:rPr>
          <w:rFonts w:ascii="Times New Roman" w:hAnsi="Times New Roman" w:cs="Times New Roman"/>
          <w:color w:val="000000" w:themeColor="text1"/>
          <w:sz w:val="24"/>
        </w:rPr>
      </w:pPr>
    </w:p>
    <w:p w14:paraId="4D7DE105" w14:textId="6DD50705" w:rsidR="00CF36A2" w:rsidRPr="003D2D46" w:rsidRDefault="00EA09C6" w:rsidP="00EF6B30">
      <w:pPr>
        <w:pStyle w:val="Heading1"/>
        <w:rPr>
          <w:rFonts w:ascii="Times New Roman" w:hAnsi="Times New Roman" w:cs="Times New Roman"/>
          <w:color w:val="000000" w:themeColor="text1"/>
          <w:sz w:val="24"/>
        </w:rPr>
      </w:pPr>
      <w:bookmarkStart w:id="3" w:name="_Toc87797056"/>
      <w:r w:rsidRPr="003D2D46">
        <w:rPr>
          <w:rFonts w:ascii="Times New Roman" w:hAnsi="Times New Roman" w:cs="Times New Roman"/>
          <w:color w:val="000000" w:themeColor="text1"/>
          <w:sz w:val="24"/>
        </w:rPr>
        <w:t>Introduction</w:t>
      </w:r>
      <w:bookmarkEnd w:id="2"/>
      <w:bookmarkEnd w:id="3"/>
    </w:p>
    <w:p w14:paraId="3085B819" w14:textId="77777777" w:rsidR="00CF36A2" w:rsidRPr="003D2D46" w:rsidRDefault="00CF36A2">
      <w:pPr>
        <w:rPr>
          <w:rFonts w:ascii="Times New Roman" w:hAnsi="Times New Roman" w:cs="Times New Roman"/>
          <w:b/>
          <w:bCs/>
          <w:caps/>
          <w:color w:val="000000" w:themeColor="text1"/>
        </w:rPr>
      </w:pPr>
      <w:r w:rsidRPr="003D2D46">
        <w:rPr>
          <w:rFonts w:ascii="Times New Roman" w:hAnsi="Times New Roman" w:cs="Times New Roman"/>
          <w:color w:val="000000" w:themeColor="text1"/>
        </w:rPr>
        <w:br w:type="page"/>
      </w:r>
    </w:p>
    <w:p w14:paraId="1B65C9B2" w14:textId="491F4026"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Pertussis, or whooping cough, is a vaccine-preventable disease that remains a major health concern for infants across the globe. Globally, an estimated 24.1 million people experience pertussis illness and 160,700 children under five years die annually </w:t>
      </w:r>
      <w:r w:rsidRPr="003D2D46">
        <w:rPr>
          <w:rFonts w:ascii="Times New Roman" w:hAnsi="Times New Roman" w:cs="Times New Roman"/>
          <w:color w:val="000000" w:themeColor="text1"/>
        </w:rPr>
        <w:fldChar w:fldCharType="begin" w:fldLock="1"/>
      </w:r>
      <w:r w:rsidR="00C607E9" w:rsidRPr="003D2D46">
        <w:rPr>
          <w:rFonts w:ascii="Times New Roman" w:hAnsi="Times New Roman" w:cs="Times New Roman"/>
          <w:color w:val="000000" w:themeColor="text1"/>
        </w:rPr>
        <w:instrText>ADDIN CSL_CITATION {"citationItems":[{"id":"ITEM-1","itemData":{"URL":"https://www.who.int/health-topics/pertussis#tab=tab_1","accessed":{"date-parts":[["2021","1","14"]]},"author":[{"dropping-particle":"","family":"World Health Organization (WHO)","given":"","non-dropping-particle":"","parse-names":false,"suffix":""}],"id":"ITEM-1","issued":{"date-parts":[["2021"]]},"title":"Pertussis","type":"webpage"},"uris":["http://www.mendeley.com/documents/?uuid=84dd4ac3-64c2-4e3d-bc33-cd3b051b1989","http://www.mendeley.com/documents/?uuid=f67e94c8-f8e4-43a3-9c0d-f28d8c1937f9","http://www.mendeley.com/documents/?uuid=dc3f8827-7760-4e89-a3df-e3c24210af23"]},{"id":"ITEM-2","itemData":{"URL":"https://www.cdc.gov/pertussis/countries/index.html","accessed":{"date-parts":[["2021","11","14"]]},"author":[{"dropping-particle":"","family":"Centers for Disease Control and Prevention (CDC)","given":"","non-dropping-particle":"","parse-names":false,"suffix":""}],"id":"ITEM-2","issued":{"date-parts":[["2021"]]},"title":"Pertussis in Other Countries","type":"webpage"},"uris":["http://www.mendeley.com/documents/?uuid=dfdd7a8f-a32e-4845-99d6-47f213b9f597","http://www.mendeley.com/documents/?uuid=ea2e1205-47ec-4a13-ae65-1f65f6cffdf1","http://www.mendeley.com/documents/?uuid=14c7d4ec-11ec-4962-a71a-6fae4483e6aa"]}],"mendeley":{"formattedCitation":"(Centers for Disease Control and Prevention (CDC), 2021; World Health Organization (WHO), 2021)","plainTextFormattedCitation":"(Centers for Disease Control and Prevention (CDC), 2021; World Health Organization (WHO), 2021)","previouslyFormattedCitation":"(Centers for Disease Control and Prevention (CDC), 2021; World Health Organization (WHO),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607E9" w:rsidRPr="003D2D46">
        <w:rPr>
          <w:rFonts w:ascii="Times New Roman" w:hAnsi="Times New Roman" w:cs="Times New Roman"/>
          <w:noProof/>
          <w:color w:val="000000" w:themeColor="text1"/>
        </w:rPr>
        <w:t>(Centers for Disease Control and Prevention (CDC), 2021; World Health Organization (WHO),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Despite being preventable through vaccination, pertussis remains one of the leading causes of preventable deaths across the globe, as most deaths occur in infants who have not been vaccinated or are under-vaccinated.</w:t>
      </w:r>
    </w:p>
    <w:p w14:paraId="2AF76CC9" w14:textId="77777777" w:rsidR="00292AAF" w:rsidRPr="003D2D46" w:rsidRDefault="00292AAF">
      <w:pPr>
        <w:spacing w:line="480" w:lineRule="auto"/>
        <w:rPr>
          <w:rFonts w:ascii="Times New Roman" w:hAnsi="Times New Roman" w:cs="Times New Roman"/>
          <w:color w:val="000000" w:themeColor="text1"/>
        </w:rPr>
      </w:pPr>
    </w:p>
    <w:p w14:paraId="71151A8E" w14:textId="77777777"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The primary risk factor for pertussis is not being vaccinated. Vaccination exemptions, refusals</w:t>
      </w:r>
      <w:r w:rsidR="00A23981"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and hesitancy are critical barriers to improving vaccination coverage and reducing the burden of the disease. Since non-medical exemptions (such as philosophical or religious exemptions) are associated with vaccination hesitancy and refusal, investigation of the factors that contribute to these choices or attitudes is needed to reduce/eliminate local pockets of low vaccination coverage. In addition, investigation of the socioeconomic and demographic predictors of pertussis risk is necessary to help understand the epidemiology of the disease. Utilizing qualitative and quantitative analyses with geographic information system (GIS) technology provides the opportunity to assess attitudes towards vaccination as well as identify geographic disparities and predictors of vaccination exemptions and pertussis risk. The information obtained from such investigations would provide a robust understanding of local pertussis epidemiology that is important in guiding local public health planning and service provision.</w:t>
      </w:r>
    </w:p>
    <w:p w14:paraId="51A8BAFD" w14:textId="77777777" w:rsidR="00292AAF" w:rsidRPr="003D2D46" w:rsidRDefault="00292AAF">
      <w:pPr>
        <w:spacing w:line="480" w:lineRule="auto"/>
        <w:rPr>
          <w:rFonts w:ascii="Times New Roman" w:hAnsi="Times New Roman" w:cs="Times New Roman"/>
          <w:color w:val="000000" w:themeColor="text1"/>
        </w:rPr>
      </w:pPr>
    </w:p>
    <w:p w14:paraId="259226CE" w14:textId="1574FAC5" w:rsidR="005A0DE5"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The objectives of this project were to: (i) qualitatively investigate general vaccination attitudes and behaviors with specific focus on pertussis vaccination (Chapter 3); (ii) identify geographic disparities in prevalence of vaccination exemptions and socioeconomic and demographic predictors of vaccination exemptions among school-aged children (Chapter 4) (iii) investigate geographic disparities and temporal changes in pertussis risk at the county level (Chapter 5). Qualitative investigation of vaccination attitudes was conducted in East Tennessee and quantitative investigation of disparities and predictors of vaccination exemptions and pertussis risk at the county level were conducted in Florida.</w:t>
      </w:r>
    </w:p>
    <w:p w14:paraId="78980C98" w14:textId="77777777" w:rsidR="00292AAF" w:rsidRPr="003D2D46" w:rsidRDefault="00292AAF" w:rsidP="004F0890">
      <w:pPr>
        <w:spacing w:line="480" w:lineRule="auto"/>
        <w:rPr>
          <w:rFonts w:ascii="Times New Roman" w:hAnsi="Times New Roman" w:cs="Times New Roman"/>
          <w:color w:val="000000" w:themeColor="text1"/>
        </w:rPr>
      </w:pPr>
    </w:p>
    <w:p w14:paraId="7C2819AD" w14:textId="77777777"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This dissertation is divided into six chapters. The first and second chapters include the introduction and literature review, respectively. Chapters 3, 4, and 5 describe studies addressing the above three objectives. The findings of chapters 3 and 5 have been published in peer reviewed journals while those of chapter 4 have been submitted for publication and are currently under peer review. Finally, Chapter 6 provides a summary of key findings, conclusions and recommendations for future research.</w:t>
      </w:r>
    </w:p>
    <w:p w14:paraId="296E08CC" w14:textId="77777777" w:rsidR="004B759B"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409CBEC3" w14:textId="2FFC1093" w:rsidR="00855619" w:rsidRPr="003D2D46" w:rsidRDefault="00CF36A2" w:rsidP="00580A15">
      <w:pPr>
        <w:pStyle w:val="Heading1"/>
        <w:spacing w:line="480" w:lineRule="auto"/>
        <w:rPr>
          <w:rFonts w:ascii="Times New Roman" w:hAnsi="Times New Roman" w:cs="Times New Roman"/>
          <w:color w:val="000000" w:themeColor="text1"/>
          <w:sz w:val="24"/>
        </w:rPr>
      </w:pPr>
      <w:bookmarkStart w:id="4" w:name="_Toc87797057"/>
      <w:bookmarkStart w:id="5" w:name="_Toc82445497"/>
      <w:r w:rsidRPr="003D2D46">
        <w:rPr>
          <w:rFonts w:ascii="Times New Roman" w:hAnsi="Times New Roman" w:cs="Times New Roman"/>
          <w:color w:val="000000" w:themeColor="text1"/>
          <w:sz w:val="24"/>
        </w:rPr>
        <w:lastRenderedPageBreak/>
        <w:t xml:space="preserve">CHAPTER </w:t>
      </w:r>
      <w:r w:rsidR="000D1486" w:rsidRPr="003D2D46">
        <w:rPr>
          <w:rFonts w:ascii="Times New Roman" w:hAnsi="Times New Roman" w:cs="Times New Roman"/>
          <w:color w:val="000000" w:themeColor="text1"/>
          <w:sz w:val="24"/>
        </w:rPr>
        <w:t>2</w:t>
      </w:r>
      <w:bookmarkEnd w:id="4"/>
    </w:p>
    <w:p w14:paraId="7414A0E7" w14:textId="77777777" w:rsidR="00C4218F" w:rsidRPr="003D2D46" w:rsidRDefault="00C4218F" w:rsidP="004F0890">
      <w:pPr>
        <w:rPr>
          <w:rFonts w:ascii="Times New Roman" w:hAnsi="Times New Roman" w:cs="Times New Roman"/>
        </w:rPr>
      </w:pPr>
    </w:p>
    <w:p w14:paraId="222EDC1D" w14:textId="43C5195B" w:rsidR="00CF36A2" w:rsidRPr="003D2D46" w:rsidRDefault="00EA09C6" w:rsidP="00580A15">
      <w:pPr>
        <w:pStyle w:val="Heading1"/>
        <w:spacing w:line="480" w:lineRule="auto"/>
        <w:rPr>
          <w:rFonts w:ascii="Times New Roman" w:hAnsi="Times New Roman" w:cs="Times New Roman"/>
          <w:color w:val="000000" w:themeColor="text1"/>
          <w:sz w:val="24"/>
        </w:rPr>
      </w:pPr>
      <w:bookmarkStart w:id="6" w:name="_Toc87797058"/>
      <w:r w:rsidRPr="003D2D46">
        <w:rPr>
          <w:rFonts w:ascii="Times New Roman" w:hAnsi="Times New Roman" w:cs="Times New Roman"/>
          <w:color w:val="000000" w:themeColor="text1"/>
          <w:sz w:val="24"/>
        </w:rPr>
        <w:t>Literature Review</w:t>
      </w:r>
      <w:bookmarkEnd w:id="5"/>
      <w:bookmarkEnd w:id="6"/>
    </w:p>
    <w:p w14:paraId="62433731" w14:textId="77777777" w:rsidR="00CF36A2" w:rsidRPr="003D2D46" w:rsidRDefault="00CF36A2">
      <w:pPr>
        <w:rPr>
          <w:rFonts w:ascii="Times New Roman" w:hAnsi="Times New Roman" w:cs="Times New Roman"/>
          <w:b/>
          <w:bCs/>
          <w:caps/>
          <w:color w:val="000000" w:themeColor="text1"/>
        </w:rPr>
      </w:pPr>
      <w:r w:rsidRPr="003D2D46">
        <w:rPr>
          <w:rFonts w:ascii="Times New Roman" w:hAnsi="Times New Roman" w:cs="Times New Roman"/>
          <w:color w:val="000000" w:themeColor="text1"/>
        </w:rPr>
        <w:br w:type="page"/>
      </w:r>
    </w:p>
    <w:p w14:paraId="7ABF09FE" w14:textId="77777777" w:rsidR="004B759B" w:rsidRPr="003D2D46" w:rsidRDefault="00EA09C6">
      <w:pPr>
        <w:pStyle w:val="Heading3"/>
        <w:spacing w:line="480" w:lineRule="auto"/>
        <w:rPr>
          <w:rFonts w:ascii="Times New Roman" w:hAnsi="Times New Roman" w:cs="Times New Roman"/>
          <w:color w:val="000000" w:themeColor="text1"/>
          <w:szCs w:val="24"/>
        </w:rPr>
      </w:pPr>
      <w:bookmarkStart w:id="7" w:name="_Toc81647058"/>
      <w:bookmarkStart w:id="8" w:name="_Toc82445498"/>
      <w:bookmarkStart w:id="9" w:name="_Toc87797059"/>
      <w:r w:rsidRPr="003D2D46">
        <w:rPr>
          <w:rFonts w:ascii="Times New Roman" w:hAnsi="Times New Roman" w:cs="Times New Roman"/>
          <w:color w:val="000000" w:themeColor="text1"/>
          <w:szCs w:val="24"/>
        </w:rPr>
        <w:lastRenderedPageBreak/>
        <w:t>2.</w:t>
      </w:r>
      <w:r w:rsidR="004B759B" w:rsidRPr="003D2D46">
        <w:rPr>
          <w:rFonts w:ascii="Times New Roman" w:hAnsi="Times New Roman" w:cs="Times New Roman"/>
          <w:color w:val="000000" w:themeColor="text1"/>
          <w:szCs w:val="24"/>
        </w:rPr>
        <w:t>1 Etiology</w:t>
      </w:r>
      <w:bookmarkEnd w:id="7"/>
      <w:bookmarkEnd w:id="8"/>
      <w:bookmarkEnd w:id="9"/>
    </w:p>
    <w:p w14:paraId="0DEF3DBA" w14:textId="5F2D9EFD"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iCs/>
          <w:color w:val="000000" w:themeColor="text1"/>
        </w:rPr>
        <w:t xml:space="preserve">The causative agent for pertussis is </w:t>
      </w:r>
      <w:r w:rsidRPr="003D2D46">
        <w:rPr>
          <w:rFonts w:ascii="Times New Roman" w:hAnsi="Times New Roman" w:cs="Times New Roman"/>
          <w:i/>
          <w:iCs/>
          <w:color w:val="000000" w:themeColor="text1"/>
        </w:rPr>
        <w:t>Bordetella pertussis</w:t>
      </w:r>
      <w:r w:rsidRPr="003D2D46">
        <w:rPr>
          <w:rFonts w:ascii="Times New Roman" w:hAnsi="Times New Roman" w:cs="Times New Roman"/>
          <w:color w:val="000000" w:themeColor="text1"/>
        </w:rPr>
        <w:t xml:space="preserve">, an aerobic gram-negative bacteria that produces multiple antigenic products including pertussis toxin (PT), filamentous hemagglutinin (FHA), agglutinogens, adenylate cyclase, pertactin, and tracheal cytotoxin, all of which contribute to the clinical features of pertussis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a98ef823-f9c0-4d0a-8705-73e22f1a924a","http://www.mendeley.com/documents/?uuid=15796fb8-54d3-4522-90c6-03ca4f730f2a","http://www.mendeley.com/documents/?uuid=74b048d6-e189-434d-93b1-7be4cf32fd30"]}],"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i/>
          <w:iCs/>
          <w:color w:val="000000" w:themeColor="text1"/>
        </w:rPr>
        <w:t xml:space="preserve">Bordetella pertussis </w:t>
      </w:r>
      <w:r w:rsidRPr="003D2D46">
        <w:rPr>
          <w:rFonts w:ascii="Times New Roman" w:hAnsi="Times New Roman" w:cs="Times New Roman"/>
          <w:color w:val="000000" w:themeColor="text1"/>
        </w:rPr>
        <w:t xml:space="preserve">is one of ten distinct species belonging to the family </w:t>
      </w:r>
      <w:r w:rsidRPr="003D2D46">
        <w:rPr>
          <w:rFonts w:ascii="Times New Roman" w:hAnsi="Times New Roman" w:cs="Times New Roman"/>
          <w:i/>
          <w:iCs/>
          <w:color w:val="000000" w:themeColor="text1"/>
        </w:rPr>
        <w:t xml:space="preserve">Alcaligenacae </w:t>
      </w:r>
      <w:r w:rsidRPr="003D2D46">
        <w:rPr>
          <w:rFonts w:ascii="Times New Roman" w:hAnsi="Times New Roman" w:cs="Times New Roman"/>
          <w:i/>
          <w:iCs/>
          <w:color w:val="000000" w:themeColor="text1"/>
        </w:rPr>
        <w:fldChar w:fldCharType="begin" w:fldLock="1"/>
      </w:r>
      <w:r w:rsidR="00476116" w:rsidRPr="003D2D46">
        <w:rPr>
          <w:rFonts w:ascii="Times New Roman" w:hAnsi="Times New Roman" w:cs="Times New Roman"/>
          <w:i/>
          <w:iCs/>
          <w:color w:val="000000" w:themeColor="text1"/>
        </w:rPr>
        <w:instrText>ADDIN CSL_CITATION {"citationItems":[{"id":"ITEM-1","itemData":{"DOI":"10.1128/CMR.00083-15.Address","author":[{"dropping-particle":"","family":"Kilgore","given":"Paul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Reviews","id":"ITEM-1","issue":"3","issued":{"date-parts":[["2016"]]},"page":"449-486","title":"Pertussis: Microbiology, Disease, Treatment, and Prevention","type":"article-journal","volume":"29"},"uris":["http://www.mendeley.com/documents/?uuid=8e2d648a-47c3-457d-a43e-1e131cce2272","http://www.mendeley.com/documents/?uuid=42fae3f2-fda5-48a4-950a-bd8b646ffcb8","http://www.mendeley.com/documents/?uuid=bb47753c-d684-4cba-887d-d7efcc9fd3b9"]}],"mendeley":{"formattedCitation":"(Kilgore et al., 2016)","plainTextFormattedCitation":"(Kilgore et al., 2016)","previouslyFormattedCitation":"(Kilgore et al., 2016)"},"properties":{"noteIndex":0},"schema":"https://github.com/citation-style-language/schema/raw/master/csl-citation.json"}</w:instrText>
      </w:r>
      <w:r w:rsidRPr="003D2D46">
        <w:rPr>
          <w:rFonts w:ascii="Times New Roman" w:hAnsi="Times New Roman" w:cs="Times New Roman"/>
          <w:i/>
          <w:iCs/>
          <w:color w:val="000000" w:themeColor="text1"/>
        </w:rPr>
        <w:fldChar w:fldCharType="separate"/>
      </w:r>
      <w:r w:rsidR="00C736C1" w:rsidRPr="003D2D46">
        <w:rPr>
          <w:rFonts w:ascii="Times New Roman" w:hAnsi="Times New Roman" w:cs="Times New Roman"/>
          <w:iCs/>
          <w:noProof/>
          <w:color w:val="000000" w:themeColor="text1"/>
        </w:rPr>
        <w:t>(Kilgore et al., 2016)</w:t>
      </w:r>
      <w:r w:rsidRPr="003D2D46">
        <w:rPr>
          <w:rFonts w:ascii="Times New Roman" w:hAnsi="Times New Roman" w:cs="Times New Roman"/>
          <w:i/>
          <w:iCs/>
          <w:color w:val="000000" w:themeColor="text1"/>
        </w:rPr>
        <w:fldChar w:fldCharType="end"/>
      </w:r>
      <w:r w:rsidRPr="003D2D46">
        <w:rPr>
          <w:rFonts w:ascii="Times New Roman" w:hAnsi="Times New Roman" w:cs="Times New Roman"/>
          <w:color w:val="000000" w:themeColor="text1"/>
        </w:rPr>
        <w:t xml:space="preserve">. However, </w:t>
      </w:r>
      <w:r w:rsidRPr="003D2D46">
        <w:rPr>
          <w:rFonts w:ascii="Times New Roman" w:hAnsi="Times New Roman" w:cs="Times New Roman"/>
          <w:i/>
          <w:iCs/>
          <w:color w:val="000000" w:themeColor="text1"/>
        </w:rPr>
        <w:t xml:space="preserve">B. parapertussis </w:t>
      </w:r>
      <w:r w:rsidRPr="003D2D46">
        <w:rPr>
          <w:rFonts w:ascii="Times New Roman" w:hAnsi="Times New Roman" w:cs="Times New Roman"/>
          <w:color w:val="000000" w:themeColor="text1"/>
        </w:rPr>
        <w:t xml:space="preserve">and </w:t>
      </w:r>
      <w:r w:rsidRPr="003D2D46">
        <w:rPr>
          <w:rFonts w:ascii="Times New Roman" w:hAnsi="Times New Roman" w:cs="Times New Roman"/>
          <w:i/>
          <w:iCs/>
          <w:color w:val="000000" w:themeColor="text1"/>
        </w:rPr>
        <w:t>B. holmseii</w:t>
      </w:r>
      <w:r w:rsidRPr="003D2D46">
        <w:rPr>
          <w:rFonts w:ascii="Times New Roman" w:hAnsi="Times New Roman" w:cs="Times New Roman"/>
          <w:color w:val="000000" w:themeColor="text1"/>
        </w:rPr>
        <w:t xml:space="preserve"> have been identified as causative agents of similar respiratory infections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{"citationItems":[{"id":"ITEM-1","itemData":{"DOI":"10.1111/j.1574-695X.2011.00911.x","ISSN":"09288244","PMID":"22098551","abstract":"Bordetella holmesii is a recently described human pathogen mainly isolated from blood. However, in the US and Canada, B. holmesii has also been cultured from the nasopharynx of patients with pertussis-like symptoms. To the best of our knowledge, respiratory isolates from Europe have not been characterized. Here, we report the isolation and characterization of B. holmesii from Dutch patients with pertussis-like illness. Species determination was confirmed by 16S rRNA gene sequencing and detection by PCR of IS481 and bhoE, a gene not found in Bordetella pertussis but present in B. holmesii. Comparative genomic hybridization (CGH) with microarrays revealed that the Dutch isolates formed a cluster distinct from isolates from the US and UK suggesting a distinct population or an epidemiological relationship between the Dutch isolates. All isolates contained a locus involved in iron uptake, previously suggested to originate from B. pertussis. The causes for the apparent increase in the isolation of B. holmesii are discussed. © 2012 Federation of European Microbiological Societies.","author":[{"dropping-particle":"","family":"Mooi","given":"Frits R.","non-dropping-particle":"","parse-names":false,"suffix":""},{"dropping-particle":"","family":"Bruisten","given":"Sylvia","non-dropping-particle":"","parse-names":false,"suffix":""},{"dropping-particle":"","family":"Linde","given":"Ineke","non-dropping-particle":"","parse-names":false,"suffix":""},{"dropping-particle":"","family":"Reubsaet","given":"Frans","non-dropping-particle":"","parse-names":false,"suffix":""},{"dropping-particle":"","family":"Heuvelman","given":"Kees","non-dropping-particle":"","parse-names":false,"suffix":""},{"dropping-particle":"","family":"Lee","given":"Saskia","non-dropping-particle":"van der","parse-names":false,"suffix":""},{"dropping-particle":"","family":"J. King","given":"Audrey","non-dropping-particle":"","parse-names":false,"suffix":""}],"container-title":"FEMS Immunology and Medical Microbiology","id":"ITEM-1","issue":"2","issued":{"date-parts":[["2012"]]},"page":"289-291","title":"Characterization of Bordetella holmesii isolates from patients with pertussis-like illness in the Netherlands","type":"article-journal","volume":"64"},"uris":["http://www.mendeley.com/documents/?uuid=69db7b21-5410-4c4a-91fc-77a9d3c9e21d","http://www.mendeley.com/documents/?uuid=581f57c7-f576-4bdd-9a30-40912bab7e54","http://www.mendeley.com/documents/?uuid=44a434fa-ed8b-41cc-93ce-0eabc00cc365"]},{"id":"ITEM-2","itemData":{"DOI":"10.1128/JCM.01272-11","ISSN":"00951137","PMID":"22012009","abstract":"Pertussis is routinely diagnosed with real-time PCR based on insertion sequence IS481, which is not specific for Bordetella pertussis. We conducted a retrospective study using real-time PCRs specific for Bordetella pertussis and for Bordetella holmesii on 177 samples positive for IS481 PCR. Bordetella holmesii DNA was detected in 20.3% samples collected from adolescents and adults. Copyright © 2011, American Society for Microbiology. All Rights Reserved.","author":[{"dropping-particle":"","family":"Njamkepo","given":"Elisabeth","non-dropping-particle":"","parse-names":false,"suffix":""},{"dropping-particle":"","family":"Bonacorsi","given":"Stéphane","non-dropping-particle":"","parse-names":false,"suffix":""},{"dropping-particle":"","family":"Debruyne","given":"Monique","non-dropping-particle":"","parse-names":false,"suffix":""},{"dropping-particle":"","family":"Gibaud","given":"Sophie Anne","non-dropping-particle":"","parse-names":false,"suffix":""},{"dropping-particle":"","family":"Guillot","given":"Sophie","non-dropping-particle":"","parse-names":false,"suffix":""},{"dropping-particle":"","family":"Guiso","given":"Nicole","non-dropping-particle":"","parse-names":false,"suffix":""}],"container-title":"Journal of Clinical Microbiology","id":"ITEM-2","issue":"12","issued":{"date-parts":[["2011"]]},"page":"4347-4348","title":"Significant finding of Bordetella holmesii DNA in nasopharyngeal samples from French patients with suspected pertussis","type":"article-journal","volume":"49"},"uris":["http://www.mendeley.com/documents/?uuid=5ab3a423-b13a-472c-834c-5993a0b862d1","http://www.mendeley.com/documents/?uuid=d89981bd-7b50-46ce-8e38-4ba639fb624c","http://www.mendeley.com/documents/?uuid=119e69db-6066-4ba3-9a4f-58525d4c96c2"]},{"id":"ITEM-3","itemData":{"DOI":"10.1016/S1201-9712(99)90035-8","ISSN":"12019712","PMID":"10460925","abstract":"Objectives: To compare the incidence, clinical course, and serologic response to Bordetella antigens in patients with parapertussis and pertussis. Design: Two studies were performed in Sweden during the 1990s, when pertussis vaccines were used only in clinical trials. Study I was a retrospective study of patients with positive Bordetella cultures obtained in clinical routine, and study II involved an active search for patients with Bordetella infections during a placebo-controlled trial of a pertussis toxoid vaccine. Results: Study I includes 58, and study II 23 patients with parapertussis. In study I, the incidence of parapertussis was 0.016 cases per 100 person years in children 0 to 6 years old and 0 in older children and adults. In study II, the incidence rates of parapertussis and pertussis were 0.2 and 16.2 per 100 person years, respectively, in children followed from 3 months to 3 years of age. The median number of days with cough was 21 in parapertussis and 59 in pertussis. The proportions of children with whooping and vomiting were lower in parapertussis than in pertussis. Geometric mean serum filamentous hemagglutinin IgG increased from 6 to 63, and pertactin IgG from 4 to 12 units/mL in parapertussis patients, which was similar to increases in children with pertussis. Conclusions: Disease caused by Bordetella parapertussis is diagnosed less commonly and is milder and of shorter duration than disease caused by Bordetella pertussis. Parapertussis induced serum IgG against filamentous hemagglutinin and pertactin of similar magnitude as does pertussis, and did not induce serum IgG against pertussis toxin.","author":[{"dropping-particle":"","family":"Bergfors","given":"Elisabet","non-dropping-particle":"","parse-names":false,"suffix":""},{"dropping-particle":"","family":"Trollfors","given":"Birger","non-dropping-particle":"","parse-names":false,"suffix":""},{"dropping-particle":"","family":"Taranger","given":"John","non-dropping-particle":"","parse-names":false,"suffix":""},{"dropping-particle":"","family":"Lagergård","given":"Teresa","non-dropping-particle":"","parse-names":false,"suffix":""},{"dropping-particle":"","family":"Sundh","given":"Valter","non-dropping-particle":"","parse-names":false,"suffix":""},{"dropping-particle":"","family":"Zackrisson","given":"Gunilla","non-dropping-particle":"","parse-names":false,"suffix":""}],"container-title":"International Journal of Infectious Diseases","id":"ITEM-3","issue":"3","issued":{"date-parts":[["1999"]]},"page":"140-146","title":"Parapertussis and pertussis: Differences and similarities in incidence, clinical course, and antibody responses","type":"article-journal","volume":"3"},"uris":["http://www.mendeley.com/documents/?uuid=54d487cc-3336-4b07-a9f9-fecf1c3351bb","http://www.mendeley.com/documents/?uuid=6ac871fe-e32a-4c9e-8977-e983be8eedd2","http://www.mendeley.com/documents/?uuid=c77135e1-ed96-46e7-9b8a-6ce4430df1f0"]}],"mendeley":{"formattedCitation":"(Bergfors et al., 1999; Njamkepo et al., 2011; Mooi et al., 2012)","plainTextFormattedCitation":"(Bergfors et al., 1999; Njamkepo et al., 2011; Mooi et al., 2012)","previouslyFormattedCitation":"(Bergfors et al., 1999; Njamkepo et al., 2011; Mooi et al.,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(Bergfors et al., 1999; Njamkepo et al., 2011; Mooi et al.,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nasopharyngeal specimens submitted for polymerase chain reaction (PCR) analysis in suspected pertussis cases between 2008 and 2010 from nine US states reported that approximately 14% of the specimens were identified as positive for </w:t>
      </w:r>
      <w:r w:rsidRPr="003D2D46">
        <w:rPr>
          <w:rFonts w:ascii="Times New Roman" w:hAnsi="Times New Roman" w:cs="Times New Roman"/>
          <w:i/>
          <w:iCs/>
          <w:color w:val="000000" w:themeColor="text1"/>
        </w:rPr>
        <w:t>B</w:t>
      </w:r>
      <w:r w:rsidR="00B3423F" w:rsidRPr="003D2D46">
        <w:rPr>
          <w:rFonts w:ascii="Times New Roman" w:hAnsi="Times New Roman" w:cs="Times New Roman"/>
          <w:i/>
          <w:iCs/>
          <w:color w:val="000000" w:themeColor="text1"/>
        </w:rPr>
        <w:t>.</w:t>
      </w:r>
      <w:r w:rsidRPr="003D2D46">
        <w:rPr>
          <w:rFonts w:ascii="Times New Roman" w:hAnsi="Times New Roman" w:cs="Times New Roman"/>
          <w:i/>
          <w:iCs/>
          <w:color w:val="000000" w:themeColor="text1"/>
        </w:rPr>
        <w:t xml:space="preserve"> parapertussis </w:t>
      </w:r>
      <w:r w:rsidRPr="003D2D46">
        <w:rPr>
          <w:rFonts w:ascii="Times New Roman" w:hAnsi="Times New Roman" w:cs="Times New Roman"/>
          <w:i/>
          <w:iCs/>
          <w:color w:val="000000" w:themeColor="text1"/>
        </w:rPr>
        <w:fldChar w:fldCharType="begin" w:fldLock="1"/>
      </w:r>
      <w:r w:rsidR="00476116" w:rsidRPr="003D2D46">
        <w:rPr>
          <w:rFonts w:ascii="Times New Roman" w:hAnsi="Times New Roman" w:cs="Times New Roman"/>
          <w:i/>
          <w:iCs/>
          <w:color w:val="000000" w:themeColor="text1"/>
        </w:rPr>
        <w:instrText>ADDIN CSL_CITATION {"citationItems":[{"id":"ITEM-1","itemData":{"DOI":"10.1093/cid/cir860","ISSN":"10584838","PMID":"22156857","abstract":"Clinical specimens from 9 states during 2008-2010 were tested by PCR for Bordetella pertussis and Bordetella parapertussis. Of the positive samples, 13.99% were identified as B. parapertussis. It was concluded that B. parapertussis infections are more common than previously realized and contribute to cases thought to be vaccine failures. © 2011 The Author.","author":[{"dropping-particle":"","family":"Cherry","given":"James D.","non-dropping-particle":"","parse-names":false,"suffix":""},{"dropping-particle":"","family":"Seaton","given":"Brent L.","non-dropping-particle":"","parse-names":false,"suffix":""}],"container-title":"Clinical Infectious Diseases","id":"ITEM-1","issue":"4","issued":{"date-parts":[["2012"]]},"page":"534-537","title":"Patterns of Bordetella parapertussis respiratory illnesses: 2008-2010","type":"article-journal","volume":"54"},"uris":["http://www.mendeley.com/documents/?uuid=e8639220-0ffd-41f8-ac8e-f914ac7265e1","http://www.mendeley.com/documents/?uuid=588e7682-0933-402c-a776-829253ce50fd","http://www.mendeley.com/documents/?uuid=b9b28ec5-b686-424c-bb89-1da8634ec457"]}],"mendeley":{"formattedCitation":"(Cherry &amp; Seaton, 2012)","plainTextFormattedCitation":"(Cherry &amp; Seaton, 2012)","previouslyFormattedCitation":"(Cherry &amp; Seaton, 2012)"},"properties":{"noteIndex":0},"schema":"https://github.com/citation-style-language/schema/raw/master/csl-citation.json"}</w:instrText>
      </w:r>
      <w:r w:rsidRPr="003D2D46">
        <w:rPr>
          <w:rFonts w:ascii="Times New Roman" w:hAnsi="Times New Roman" w:cs="Times New Roman"/>
          <w:i/>
          <w:iCs/>
          <w:color w:val="000000" w:themeColor="text1"/>
        </w:rPr>
        <w:fldChar w:fldCharType="separate"/>
      </w:r>
      <w:r w:rsidR="00C736C1" w:rsidRPr="003D2D46">
        <w:rPr>
          <w:rFonts w:ascii="Times New Roman" w:hAnsi="Times New Roman" w:cs="Times New Roman"/>
          <w:iCs/>
          <w:noProof/>
          <w:color w:val="000000" w:themeColor="text1"/>
        </w:rPr>
        <w:t>(Cherry &amp; Seaton, 2012)</w:t>
      </w:r>
      <w:r w:rsidRPr="003D2D46">
        <w:rPr>
          <w:rFonts w:ascii="Times New Roman" w:hAnsi="Times New Roman" w:cs="Times New Roman"/>
          <w:i/>
          <w:iCs/>
          <w:color w:val="000000" w:themeColor="text1"/>
        </w:rPr>
        <w:fldChar w:fldCharType="end"/>
      </w:r>
      <w:r w:rsidRPr="003D2D46">
        <w:rPr>
          <w:rFonts w:ascii="Times New Roman" w:hAnsi="Times New Roman" w:cs="Times New Roman"/>
          <w:color w:val="000000" w:themeColor="text1"/>
        </w:rPr>
        <w:t xml:space="preserve">. Although human infections with </w:t>
      </w:r>
      <w:r w:rsidRPr="003D2D46">
        <w:rPr>
          <w:rFonts w:ascii="Times New Roman" w:hAnsi="Times New Roman" w:cs="Times New Roman"/>
          <w:i/>
          <w:iCs/>
          <w:color w:val="000000" w:themeColor="text1"/>
        </w:rPr>
        <w:t xml:space="preserve">B. parapertussis </w:t>
      </w:r>
      <w:r w:rsidRPr="003D2D46">
        <w:rPr>
          <w:rFonts w:ascii="Times New Roman" w:hAnsi="Times New Roman" w:cs="Times New Roman"/>
          <w:color w:val="000000" w:themeColor="text1"/>
        </w:rPr>
        <w:t xml:space="preserve">have been reported, it appears that it produces less severe illness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Heininger","given":"U","non-dropping-particle":"","parse-names":false,"suffix":""},{"dropping-particle":"","family":"Stehr","given":"K","non-dropping-particle":"","parse-names":false,"suffix":""},{"dropping-particle":"","family":"Schmitt-Grohe","given":"S","non-dropping-particle":"","parse-names":false,"suffix":""},{"dropping-particle":"","family":"Lorenz","given":"C","non-dropping-particle":"","parse-names":false,"suffix":""},{"dropping-particle":"","family":"Rost","given":"R","non-dropping-particle":"","parse-names":false,"suffix":""},{"dropping-particle":"","family":"Christenson","given":"PD","non-dropping-particle":"","parse-names":false,"suffix":""},{"dropping-particle":"","family":"Uberall","given":"M","non-dropping-particle":"","parse-names":false,"suffix":""},{"dropping-particle":"","family":"Cherry","given":"JD","non-dropping-particle":"","parse-names":false,"suffix":""}],"container-title":"Pediatric Infectious Disease Journal","id":"ITEM-1","issue":"4","issued":{"date-parts":[["1994"]]},"page":"306-9","title":"Clinical characteristics of illness caused by Bordetella parapertussis compared with illness caused by Bordetella pertussis","type":"article-journal","volume":"13"},"uris":["http://www.mendeley.com/documents/?uuid=b66162f2-dd13-4172-8342-02efaa33708c","http://www.mendeley.com/documents/?uuid=e21cd723-106b-4297-8cdd-7841dd3b7be7","http://www.mendeley.com/documents/?uuid=fc3508db-397b-46c3-a8db-53b7a80654a3"]}],"mendeley":{"formattedCitation":"(Heininger et al., 1994)","plainTextFormattedCitation":"(Heininger et al., 1994)","previouslyFormattedCitation":"(Heininger et al., 1994)"},"properties":{"noteIndex":0},"schema":"https://github.com/citation-style-language/schema/raw/master/csl-citation.json"}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(Heininger et al., 1994)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is more often the causative agent of respiratory illness in domestic </w:t>
      </w:r>
      <w:r w:rsidR="000A54E8" w:rsidRPr="003D2D46">
        <w:rPr>
          <w:rFonts w:ascii="Times New Roman" w:hAnsi="Times New Roman" w:cs="Times New Roman"/>
          <w:color w:val="000000" w:themeColor="text1"/>
        </w:rPr>
        <w:t xml:space="preserve">farm </w:t>
      </w:r>
      <w:r w:rsidRPr="003D2D46">
        <w:rPr>
          <w:rFonts w:ascii="Times New Roman" w:hAnsi="Times New Roman" w:cs="Times New Roman"/>
          <w:color w:val="000000" w:themeColor="text1"/>
        </w:rPr>
        <w:t>animals</w:t>
      </w:r>
      <w:r w:rsidR="000A54E8" w:rsidRPr="003D2D46">
        <w:rPr>
          <w:rFonts w:ascii="Times New Roman" w:hAnsi="Times New Roman" w:cs="Times New Roman"/>
          <w:color w:val="000000" w:themeColor="text1"/>
        </w:rPr>
        <w:t>, specifically sheep</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{"citationItems":[{"id":"ITEM-1","itemData":{"author":[{"dropping-particle":"","family":"Leber","given":"AL","non-dropping-particle":"","parse-names":false,"suffix":""}],"container-title":"Clinics in Laboratory Medicine","id":"ITEM-1","issue":"2","issued":{"date-parts":[["2014"]]},"page":"237-255","title":"Pertussis: Relevant Species and Diagnostic Update","type":"article-journal","volume":"34"},"uris":["http://www.mendeley.com/documents/?uuid=20ccef66-357a-4c3b-880a-4fe16c370e27","http://www.mendeley.com/documents/?uuid=36313e86-5cc0-4030-b7d9-7ab6464849bb","http://www.mendeley.com/documents/?uuid=a4a5c737-b626-4210-89a5-39a42db577e9"]}],"mendeley":{"formattedCitation":"(Leber, 2014)","plainTextFormattedCitation":"(Leber, 2014)","previouslyFormattedCitation":"(Leber,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(Leber,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E1FC424" w14:textId="77777777" w:rsidR="004B759B" w:rsidRPr="003D2D46" w:rsidRDefault="004B759B" w:rsidP="00580A15">
      <w:pPr>
        <w:spacing w:line="480" w:lineRule="auto"/>
        <w:rPr>
          <w:rFonts w:ascii="Times New Roman" w:hAnsi="Times New Roman" w:cs="Times New Roman"/>
          <w:color w:val="000000" w:themeColor="text1"/>
        </w:rPr>
      </w:pPr>
    </w:p>
    <w:p w14:paraId="13B45C11" w14:textId="77777777" w:rsidR="004B759B" w:rsidRPr="003D2D46" w:rsidRDefault="00EA09C6">
      <w:pPr>
        <w:pStyle w:val="Heading3"/>
        <w:spacing w:line="480" w:lineRule="auto"/>
        <w:rPr>
          <w:rFonts w:ascii="Times New Roman" w:hAnsi="Times New Roman" w:cs="Times New Roman"/>
          <w:color w:val="000000" w:themeColor="text1"/>
          <w:szCs w:val="24"/>
        </w:rPr>
      </w:pPr>
      <w:bookmarkStart w:id="10" w:name="_Toc81647059"/>
      <w:bookmarkStart w:id="11" w:name="_Toc82445499"/>
      <w:bookmarkStart w:id="12" w:name="_Toc87797060"/>
      <w:r w:rsidRPr="003D2D46">
        <w:rPr>
          <w:rFonts w:ascii="Times New Roman" w:hAnsi="Times New Roman" w:cs="Times New Roman"/>
          <w:color w:val="000000" w:themeColor="text1"/>
          <w:szCs w:val="24"/>
        </w:rPr>
        <w:t>2.2</w:t>
      </w:r>
      <w:r w:rsidR="004B759B" w:rsidRPr="003D2D46">
        <w:rPr>
          <w:rFonts w:ascii="Times New Roman" w:hAnsi="Times New Roman" w:cs="Times New Roman"/>
          <w:color w:val="000000" w:themeColor="text1"/>
          <w:szCs w:val="24"/>
        </w:rPr>
        <w:t xml:space="preserve"> Clinical Signs</w:t>
      </w:r>
      <w:bookmarkEnd w:id="10"/>
      <w:bookmarkEnd w:id="11"/>
      <w:bookmarkEnd w:id="12"/>
    </w:p>
    <w:p w14:paraId="093CBA7E" w14:textId="439E18E9"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iCs/>
          <w:color w:val="000000" w:themeColor="text1"/>
        </w:rPr>
        <w:t xml:space="preserve">The </w:t>
      </w:r>
      <w:r w:rsidRPr="003D2D46">
        <w:rPr>
          <w:rFonts w:ascii="Times New Roman" w:hAnsi="Times New Roman" w:cs="Times New Roman"/>
          <w:color w:val="000000" w:themeColor="text1"/>
        </w:rPr>
        <w:t xml:space="preserve">incubation period of pertussis is 7-10 days, with a range of 4-21 days. The clinical course of the disease is characterized by three phases: the catarrhal, paroxysmal, and convalescent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http://www.mendeley.com/documents/?uuid=a0088559-8d54-459b-8529-174d68b8d317","http://www.mendeley.com/documents/?uuid=a2faa85c-1253-45fe-977f-363df9ccc8df"]}],"mendeley":{"formattedCitation":"(Centers for Disease Control and Prevention, 2015a; Kilgore et al., 2016)","plainTextFormattedCitation":"(Centers for Disease Control and Prevention, 2015a; Kilgore et al., 2016)","previouslyFormattedCitation":"(Centers for Disease Control and Prevention, 2015a;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duration of illness varies by the time of each phase of the illness. The catarrhal phase </w:t>
      </w:r>
      <w:r w:rsidRPr="003D2D46">
        <w:rPr>
          <w:rFonts w:ascii="Times New Roman" w:hAnsi="Times New Roman" w:cs="Times New Roman"/>
          <w:color w:val="000000" w:themeColor="text1"/>
        </w:rPr>
        <w:lastRenderedPageBreak/>
        <w:t xml:space="preserve">of the disease lasts 1-2 weeks with patients exhibiting symptoms including runny nose, sneezing, fever, and mild cough that gets progressively severe over the course of the phase. Paroxysmal coughing episodes followed by vomiting and exhaustion are characteristic of the second phase of the disease. The paroxysmal coughing episodes can result in decreased oxygen saturation and cyanosis. Paroxysmal attacks often increase in frequency for 1-2 weeks, stabilize for approximately 2 weeks, and then decrease. Patients have an average of 15 attacks per day. The final phase, the convalescent phase, lasts approximately 2-3 weeks wherein the severe cough gradually resolves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http://www.mendeley.com/documents/?uuid=a7f68ab0-a8c7-46ca-82d9-e73201971b40","http://www.mendeley.com/documents/?uuid=4033aa9c-56af-4c80-b3be-b2b8962738f2"]}],"mendeley":{"formattedCitation":"(Centers for Disease Control and Prevention, 2015a; Kilgore et al., 2016)","plainTextFormattedCitation":"(Centers for Disease Control and Prevention, 2015a; Kilgore et al., 2016)","previouslyFormattedCitation":"(Centers for Disease Control and Prevention, 2015a;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9CB1DBB" w14:textId="77777777" w:rsidR="00292AAF" w:rsidRPr="003D2D46" w:rsidRDefault="00292AAF" w:rsidP="00292AAF">
      <w:pPr>
        <w:spacing w:line="480" w:lineRule="auto"/>
        <w:rPr>
          <w:rFonts w:ascii="Times New Roman" w:hAnsi="Times New Roman" w:cs="Times New Roman"/>
          <w:color w:val="000000" w:themeColor="text1"/>
        </w:rPr>
      </w:pPr>
    </w:p>
    <w:p w14:paraId="0040845A" w14:textId="4A191C2E" w:rsidR="004B759B" w:rsidRPr="003D2D46" w:rsidRDefault="00292AAF"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Clinical signs vary by age</w:t>
      </w:r>
      <w:r w:rsidR="00B3423F"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with the most severe disease occurring in infants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Reviews","id":"ITEM-1","issue":"3","issued":{"date-parts":[["2016"]]},"page":"449-486","title":"Pertussis: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Kilgore et al., 2016)","plainTextFormattedCitation":"(Kilgore et al., 2016)","previouslyFormattedCitation":"(Kilgore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Adolescents and adults usually experience milder disease</w:t>
      </w:r>
      <w:r w:rsidR="00B3423F"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w:t>
      </w:r>
      <w:r w:rsidR="00B3423F" w:rsidRPr="003D2D46">
        <w:rPr>
          <w:rFonts w:ascii="Times New Roman" w:hAnsi="Times New Roman" w:cs="Times New Roman"/>
          <w:color w:val="000000" w:themeColor="text1"/>
        </w:rPr>
        <w:t>p</w:t>
      </w:r>
      <w:r w:rsidRPr="003D2D46">
        <w:rPr>
          <w:rFonts w:ascii="Times New Roman" w:hAnsi="Times New Roman" w:cs="Times New Roman"/>
          <w:color w:val="000000" w:themeColor="text1"/>
        </w:rPr>
        <w:t xml:space="preserve">ertussis infections in adolescents and adults may be asymptomatic or present as a mild cough or cold-like illness, typically without the characteristic “whooping” cough. Adolescent and adult populations that are considered </w:t>
      </w:r>
      <w:r w:rsidR="00B3423F" w:rsidRPr="003D2D46">
        <w:rPr>
          <w:rFonts w:ascii="Times New Roman" w:hAnsi="Times New Roman" w:cs="Times New Roman"/>
          <w:color w:val="000000" w:themeColor="text1"/>
        </w:rPr>
        <w:t xml:space="preserve">to be </w:t>
      </w:r>
      <w:r w:rsidRPr="003D2D46">
        <w:rPr>
          <w:rFonts w:ascii="Times New Roman" w:hAnsi="Times New Roman" w:cs="Times New Roman"/>
          <w:color w:val="000000" w:themeColor="text1"/>
        </w:rPr>
        <w:t xml:space="preserve">at high risk for severe illness include: women in their third trimester of pregnancy, adults with moderate to severe asthma, and immunocompromised individuals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Prevention","given":"","non-dropping-particle":"","parse-names":false,"suffix":""}],"editor":[{"dropping-particle":"","family":"Roush","given":"Sandra W.","non-dropping-particle":"","parse-names":false,"suffix":""},{"dropping-particle":"","family":"Baldy","given":"Linda M.","non-dropping-particle":"","parse-names":false,"suffix":""},{"dropping-particle":"","family":"Hall","given":"Mary Ann Kirkconnell","non-dropping-particle":"","parse-names":false,"suffix":""}],"id":"ITEM-1","issued":{"date-parts":[["2014"]]},"publisher":"Centers for Disease Control and Prevention","title":"Manual for the Surveillance of Vaccine-Preventable Diseases","type":"book"},"uris":["http://www.mendeley.com/documents/?uuid=edcd13e2-2ce8-43f7-a319-efd9e080ae57","http://www.mendeley.com/documents/?uuid=202d9586-78e2-4ae8-baeb-325038fae43c","http://www.mendeley.com/documents/?uuid=22aa29b5-47b7-4d01-82d6-f247a642d1b3"]}],"mendeley":{"formattedCitation":"(Centers for Disease Control and Prevention, 2014)","plainTextFormattedCitation":"(Centers for Disease Control and Prevention, 2014)","previouslyFormattedCitation":"(Centers for Disease Control and Prevention,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(Centers for Disease Control and Prevention,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Clinical presentation has also been reported to vary by gender, infecting species (</w:t>
      </w:r>
      <w:r w:rsidRPr="003D2D46">
        <w:rPr>
          <w:rFonts w:ascii="Times New Roman" w:hAnsi="Times New Roman" w:cs="Times New Roman"/>
          <w:i/>
          <w:iCs/>
          <w:color w:val="000000" w:themeColor="text1"/>
        </w:rPr>
        <w:t xml:space="preserve">B. pertussis </w:t>
      </w:r>
      <w:r w:rsidRPr="003D2D46">
        <w:rPr>
          <w:rFonts w:ascii="Times New Roman" w:hAnsi="Times New Roman" w:cs="Times New Roman"/>
          <w:color w:val="000000" w:themeColor="text1"/>
        </w:rPr>
        <w:t xml:space="preserve">versus </w:t>
      </w:r>
      <w:r w:rsidRPr="003D2D46">
        <w:rPr>
          <w:rFonts w:ascii="Times New Roman" w:hAnsi="Times New Roman" w:cs="Times New Roman"/>
          <w:i/>
          <w:iCs/>
          <w:color w:val="000000" w:themeColor="text1"/>
        </w:rPr>
        <w:t>B. parapertussis</w:t>
      </w:r>
      <w:r w:rsidRPr="003D2D46">
        <w:rPr>
          <w:rFonts w:ascii="Times New Roman" w:hAnsi="Times New Roman" w:cs="Times New Roman"/>
          <w:color w:val="000000" w:themeColor="text1"/>
        </w:rPr>
        <w:t xml:space="preserve">), infectious dose, and time since last vaccination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herry","given":"JD","non-dropping-particle":"","parse-names":false,"suffix":""},{"dropping-particle":"","family":"Heininger","given":"U","non-dropping-particle":"","parse-names":false,"suffix":""}],"container-title":"Pediatric Infectious Diseases","edition":"6th","editor":[{"dropping-particle":"","family":"Feigin","given":"RD","non-dropping-particle":"","parse-names":false,"suffix":""},{"dropping-particle":"","family":"Cherry","given":"JD","non-dropping-particle":"","parse-names":false,"suffix":""},{"dropping-particle":"","family":"Demmler-Harrison","given":"GJ","non-dropping-particle":"","parse-names":false,"suffix":""},{"dropping-particle":"","family":"Kaplan","given":"SL","non-dropping-particle":"","parse-names":false,"suffix":""}],"id":"ITEM-1","issued":{"date-parts":[["2009"]]},"page":"1683-1706","publisher":"WB Saunders","publisher-place":"Philadelphia, PA","title":"Pertussis and other Bordetella infections","type":"chapter"},"uris":["http://www.mendeley.com/documents/?uuid=956d0e2a-29ec-44ce-bb21-6c39aead2a2c","http://www.mendeley.com/documents/?uuid=561ca5f2-3fc0-4b57-9f9d-1ab189004470","http://www.mendeley.com/documents/?uuid=c71e796b-611e-4e03-ad8e-8ec2060186be"]},{"id":"ITEM-2","itemData":{"author":[{"dropping-particle":"","family":"Heininger","given":"Ulrich","non-dropping-particle":"","parse-names":false,"suffix":""}],"chapter-number":"2","container-title":"Kendig's Disorders of the Respiratory Tract in Children","edition":"9th","editor":[{"dropping-particle":"","family":"Wilmott","given":"RW","non-dropping-particle":"","parse-names":false,"suffix":""},{"dropping-particle":"","family":"Bush","given":"A","non-dropping-particle":"","parse-names":false,"suffix":""},{"dropping-particle":"","family":"Deterding","given":"RR","non-dropping-particle":"","parse-names":false,"suffix":""},{"dropping-particle":"","family":"Ratjen","given":"F","non-dropping-particle":"","parse-names":false,"suffix":""},{"dropping-particle":"","family":"Sly","given":"P","non-dropping-particle":"","parse-names":false,"suffix":""},{"dropping-particle":"","family":"Zar","given":"H","non-dropping-particle":"","parse-names":false,"suffix":""},{"dropping-particle":"","family":"Li","given":"A","non-dropping-particle":"","parse-names":false,"suffix":""}],"id":"ITEM-2","issued":{"date-parts":[["2018"]]},"page":"528-534","publisher":"Elsevier","title":"Pertussis and Other Bordetella Infections of the Respiratory Tract","type":"chapter"},"uris":["http://www.mendeley.com/documents/?uuid=d3f95977-cee9-4ce2-901f-a4b7c0dcf2c9","http://www.mendeley.com/documents/?uuid=3a573623-52c8-4ed2-8264-c557eed9af1b","http://www.mendeley.com/documents/?uuid=0791f5ab-f96f-4b85-8d2e-00320b5d7961"]},{"id":"ITEM-3","itemData":{"DOI":"10.1128/CMR.18.2.326","author":[{"dropping-particle":"","family":"Mattoo","given":"Seema","non-dropping-particle":"","parse-names":false,"suffix":""},{"dropping-particle":"","family":"Cherry","given":"James D","non-dropping-particle":"","parse-names":false,"suffix":""}],"container-title":"Society","id":"ITEM-3","issue":"2","issued":{"date-parts":[["2005"]]},"page":"326-382","title":"Molecular Pathogenesis, Epidemiology, and Clinical Manifestations of Respiratory Infections Due to","type":"article-journal","volume":"18"},"uris":["http://www.mendeley.com/documents/?uuid=a4213734-2bfa-46f5-b817-b09ccf35784c","http://www.mendeley.com/documents/?uuid=c5855d9d-104d-486e-aa94-842f1897718e","http://www.mendeley.com/documents/?uuid=3fe606eb-9c3a-4d00-899b-06fb5477d2ea"]},{"id":"ITEM-4","itemData":{"DOI":"10.1086/515057","ISSN":"10584838","PMID":"10447027","abstract":"Pertussis was first recognized as an epidemic disease in the 16th century. The classic illness is a three-stage illness (catarrhal, spasmodic, and convalescent), with a distinctive cough, and its characteristics today are similar to those in the prevaccine era. In the prevaccine era, the calculated attack rate was 872/100,000 population, and the majority of cases occurred in children &lt;5 years of age. On average, there were 7,300 deaths/year; the death rate began to decline before antimicrobial therapy and vaccination. Reported pertussis in adults was rare, but numerous investigators noted that atypical cases of pertussis were common in adults.","author":[{"dropping-particle":"","family":"Cherry","given":"James D.","non-dropping-particle":"","parse-names":false,"suffix":""}],"container-title":"Clinical Infectious Diseases","id":"ITEM-4","issue":"6 SUPPL. 2","issued":{"date-parts":[["1999"]]},"page":"107-111","title":"Pertussis in the preantibiotic and prevaccine era, with emphasis on adult pertussis","type":"article-journal","volume":"28"},"uris":["http://www.mendeley.com/documents/?uuid=0e90909d-5930-4107-9068-842b89df35e3","http://www.mendeley.com/documents/?uuid=676e3550-c237-4373-86f1-35ecff625f0f","http://www.mendeley.com/documents/?uuid=31acce26-11b3-4c52-82c3-393ea9279af2"]},{"id":"ITEM-5","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Reviews","id":"ITEM-5","issue":"3","issued":{"date-parts":[["2016"]]},"page":"449-486","title":"Pertussis: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Cherry, 1999; Mattoo &amp; Cherry, 2005; Cherry &amp; Heininger, 2009; Kilgore et al., 2016; Heininger, 2018)","plainTextFormattedCitation":"(Cherry, 1999; Mattoo &amp; Cherry, 2005; Cherry &amp; Heininger, 2009; Kilgore et al., 2016; Heininger, 2018)","previouslyFormattedCitation":"(Cherry, 1999; Mattoo &amp; Cherry, 2005; Cherry &amp; Heininger, 2009; Kilgore et al., 2016; Heininger,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(Cherry, 1999; Mattoo &amp; Cherry, 2005; Cherry &amp; Heininger, 2009; Kilgore et al., 2016; Heininger,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r w:rsidR="004B759B" w:rsidRPr="003D2D46">
        <w:rPr>
          <w:rFonts w:ascii="Times New Roman" w:hAnsi="Times New Roman" w:cs="Times New Roman"/>
          <w:color w:val="000000" w:themeColor="text1"/>
        </w:rPr>
        <w:t xml:space="preserve"> </w:t>
      </w:r>
    </w:p>
    <w:p w14:paraId="46221616" w14:textId="77777777" w:rsidR="004B759B" w:rsidRPr="003D2D46" w:rsidRDefault="004B759B" w:rsidP="00580A15">
      <w:pPr>
        <w:spacing w:line="480" w:lineRule="auto"/>
        <w:rPr>
          <w:rFonts w:ascii="Times New Roman" w:hAnsi="Times New Roman" w:cs="Times New Roman"/>
          <w:color w:val="000000" w:themeColor="text1"/>
        </w:rPr>
      </w:pPr>
    </w:p>
    <w:p w14:paraId="24B615F9" w14:textId="77777777" w:rsidR="004B759B" w:rsidRPr="003D2D46" w:rsidRDefault="00EA09C6">
      <w:pPr>
        <w:pStyle w:val="Heading41111"/>
        <w:spacing w:line="480" w:lineRule="auto"/>
        <w:rPr>
          <w:rFonts w:cs="Times New Roman"/>
          <w:color w:val="000000" w:themeColor="text1"/>
        </w:rPr>
      </w:pPr>
      <w:bookmarkStart w:id="13" w:name="_Toc81647060"/>
      <w:bookmarkStart w:id="14" w:name="_Toc82445500"/>
      <w:bookmarkStart w:id="15" w:name="_Toc87797061"/>
      <w:r w:rsidRPr="003D2D46">
        <w:rPr>
          <w:rFonts w:cs="Times New Roman"/>
          <w:color w:val="000000" w:themeColor="text1"/>
        </w:rPr>
        <w:lastRenderedPageBreak/>
        <w:t xml:space="preserve">2.2.1 </w:t>
      </w:r>
      <w:r w:rsidR="004B759B" w:rsidRPr="003D2D46">
        <w:rPr>
          <w:rFonts w:cs="Times New Roman"/>
          <w:color w:val="000000" w:themeColor="text1"/>
        </w:rPr>
        <w:t>Clinical Complications</w:t>
      </w:r>
      <w:bookmarkEnd w:id="13"/>
      <w:bookmarkEnd w:id="14"/>
      <w:bookmarkEnd w:id="15"/>
    </w:p>
    <w:p w14:paraId="7875BA5C" w14:textId="5A7747C1" w:rsidR="00292AAF" w:rsidRPr="003D2D46" w:rsidRDefault="00292AAF">
      <w:pPr>
        <w:spacing w:line="480" w:lineRule="auto"/>
        <w:rPr>
          <w:rFonts w:ascii="Times New Roman" w:hAnsi="Times New Roman" w:cs="Times New Roman"/>
          <w:color w:val="000000" w:themeColor="text1"/>
        </w:rPr>
      </w:pPr>
      <w:bookmarkStart w:id="16" w:name="_Toc81647061"/>
      <w:bookmarkStart w:id="17" w:name="_Toc82445501"/>
      <w:r w:rsidRPr="003D2D46">
        <w:rPr>
          <w:rFonts w:ascii="Times New Roman" w:hAnsi="Times New Roman" w:cs="Times New Roman"/>
          <w:color w:val="000000" w:themeColor="text1"/>
        </w:rPr>
        <w:t xml:space="preserve">The most common complication of pertussis is secondary bacterial pneumonia which is the cause of most pertussis-related deaths with infants having the highest risk of developing this outcome. Data from 2000 to 2017 show that pneumonia occurred in 13.2% of reported cases, 18.6% of which were in infants less than six months old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It has been estimated that, in the United States, approximately half of the infants with pertussis will be hospitalized and 1 in 100 infants will die from the disease</w:t>
      </w:r>
      <w:r w:rsidR="00206E89" w:rsidRPr="003D2D46">
        <w:rPr>
          <w:rFonts w:ascii="Times New Roman" w:hAnsi="Times New Roman" w:cs="Times New Roman"/>
          <w:color w:val="000000" w:themeColor="text1"/>
        </w:rPr>
        <w:t xml:space="preserve">. The overall case fatality rate in the United States is 0.8% in infants less than six months old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{"citationItems":[{"id":"ITEM-1","itemData":{"author":[{"dropping-particle":"","family":"Hoey","given":"J","non-dropping-particle":"","parse-names":false,"suffix":""}],"container-title":"Canadian Medical Association Journal","id":"ITEM-1","issue":"4","issued":{"date-parts":[["2003"]]},"page":"453-454","title":"Pertussis in Adults","type":"article-journal","volume":"168"},"uris":["http://www.mendeley.com/documents/?uuid=8e6a3891-f930-431f-974e-06c41af9edb6","http://www.mendeley.com/documents/?uuid=80beec42-4df2-4c5a-b5a7-7723803b8ad5","http://www.mendeley.com/documents/?uuid=2a606b70-0206-4791-81fa-24e851e354a5"]},{"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Hoey, 2003; Kilgore et al., 2016)","plainTextFormattedCitation":"(Hoey, 2003; Kilgore et al., 2016)","previouslyFormattedCitation":"(Hoey, 2003;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937006" w:rsidRPr="003D2D46">
        <w:rPr>
          <w:rFonts w:ascii="Times New Roman" w:hAnsi="Times New Roman" w:cs="Times New Roman"/>
          <w:noProof/>
          <w:color w:val="000000" w:themeColor="text1"/>
        </w:rPr>
        <w:t>(Hoey, 2003;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577B5182" w14:textId="77777777" w:rsidR="00292AAF" w:rsidRPr="003D2D46" w:rsidRDefault="00292AAF" w:rsidP="00292AAF">
      <w:pPr>
        <w:spacing w:line="480" w:lineRule="auto"/>
        <w:rPr>
          <w:rFonts w:ascii="Times New Roman" w:hAnsi="Times New Roman" w:cs="Times New Roman"/>
          <w:color w:val="000000" w:themeColor="text1"/>
        </w:rPr>
      </w:pPr>
    </w:p>
    <w:p w14:paraId="30F2CC42" w14:textId="14740096" w:rsidR="00292AAF" w:rsidRPr="003D2D46" w:rsidRDefault="00292AAF" w:rsidP="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Other complications of pertussis include seizures and encephalopathy, likely secondary to hypoxia from the paroxysmal coughing episodes. These neurologic complications are more common in infants. Less serious complications include otitis media, anorexia, and dehydration. The repeated thoracic and abdominal pressure from paroxysmal episodes can also result in pneumothorax, nose bleeds, subdural hematomas, hernias, and rectal prolapse. Adolescent and adult complications include difficulty sleeping, urinary incontinence, pneumonia, rib fracture, syncope, and weight loss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7FE260A" w14:textId="77777777" w:rsidR="005A0DE5" w:rsidRPr="003D2D46" w:rsidRDefault="005A0DE5" w:rsidP="00292AAF">
      <w:pPr>
        <w:spacing w:line="480" w:lineRule="auto"/>
        <w:rPr>
          <w:rFonts w:ascii="Times New Roman" w:hAnsi="Times New Roman" w:cs="Times New Roman"/>
          <w:color w:val="000000" w:themeColor="text1"/>
        </w:rPr>
      </w:pPr>
    </w:p>
    <w:p w14:paraId="6D92C642" w14:textId="77777777" w:rsidR="004B759B" w:rsidRPr="003D2D46" w:rsidRDefault="00EA09C6">
      <w:pPr>
        <w:pStyle w:val="Heading3"/>
        <w:spacing w:line="480" w:lineRule="auto"/>
        <w:rPr>
          <w:rFonts w:ascii="Times New Roman" w:hAnsi="Times New Roman" w:cs="Times New Roman"/>
          <w:color w:val="000000" w:themeColor="text1"/>
          <w:szCs w:val="24"/>
        </w:rPr>
      </w:pPr>
      <w:bookmarkStart w:id="18" w:name="_Toc87797062"/>
      <w:r w:rsidRPr="003D2D46">
        <w:rPr>
          <w:rFonts w:ascii="Times New Roman" w:hAnsi="Times New Roman" w:cs="Times New Roman"/>
          <w:color w:val="000000" w:themeColor="text1"/>
          <w:szCs w:val="24"/>
        </w:rPr>
        <w:t>2.3</w:t>
      </w:r>
      <w:r w:rsidR="004B759B" w:rsidRPr="003D2D46">
        <w:rPr>
          <w:rFonts w:ascii="Times New Roman" w:hAnsi="Times New Roman" w:cs="Times New Roman"/>
          <w:color w:val="000000" w:themeColor="text1"/>
          <w:szCs w:val="24"/>
        </w:rPr>
        <w:t xml:space="preserve"> Pathogenesis</w:t>
      </w:r>
      <w:bookmarkEnd w:id="18"/>
      <w:r w:rsidR="004B759B" w:rsidRPr="003D2D46">
        <w:rPr>
          <w:rFonts w:ascii="Times New Roman" w:hAnsi="Times New Roman" w:cs="Times New Roman"/>
          <w:color w:val="000000" w:themeColor="text1"/>
          <w:szCs w:val="24"/>
        </w:rPr>
        <w:t xml:space="preserve"> </w:t>
      </w:r>
      <w:bookmarkEnd w:id="16"/>
      <w:bookmarkEnd w:id="17"/>
    </w:p>
    <w:p w14:paraId="32CCBA5A" w14:textId="4DC8FBEC"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Exposure occurs through aerosol transmission from an infected host to a susceptible one. The attachment phase of pathogenesis begins with the adherence of </w:t>
      </w:r>
      <w:r w:rsidRPr="003D2D46">
        <w:rPr>
          <w:rFonts w:ascii="Times New Roman" w:hAnsi="Times New Roman" w:cs="Times New Roman"/>
          <w:i/>
          <w:iCs/>
          <w:color w:val="000000" w:themeColor="text1"/>
        </w:rPr>
        <w:t xml:space="preserve">B. pertussis </w:t>
      </w:r>
      <w:r w:rsidRPr="003D2D46">
        <w:rPr>
          <w:rFonts w:ascii="Times New Roman" w:hAnsi="Times New Roman" w:cs="Times New Roman"/>
          <w:color w:val="000000" w:themeColor="text1"/>
        </w:rPr>
        <w:t xml:space="preserve">to the </w:t>
      </w:r>
      <w:r w:rsidRPr="003D2D46">
        <w:rPr>
          <w:rFonts w:ascii="Times New Roman" w:hAnsi="Times New Roman" w:cs="Times New Roman"/>
          <w:color w:val="000000" w:themeColor="text1"/>
        </w:rPr>
        <w:lastRenderedPageBreak/>
        <w:t xml:space="preserve">tracheal epithelium and lungs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Reviews","id":"ITEM-1","issue":"3","issued":{"date-parts":[["2016"]]},"page":"449-486","title":"Pertussis: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Kilgore et al., 2016)","plainTextFormattedCitation":"(Kilgore et al., 2016)","previouslyFormattedCitation":"(Kilgore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After initial adherence, the bacteria multiply locally, causing damage to the respiratory tract. As the bacteria colonize lower into the respiratory tract and lungs, they produce necrotizing bronchitis and diffuse alveolar damage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{"citationItems":[{"id":"ITEM-1","itemData":{"DOI":"10.1086/589753","ISSN":"10584838","PMID":"18558873","abstract":"Background. Each year, Bordetella pertussis infection causes an estimated 294,000 deaths worldwide, primarily among young, nonvaccinated children. Approximately 90% of all deaths due to pertussis in the Unites States occur in young infants. These children often develop intractable pulmonary hypertension; however, the pathophysiologic mechanism responsible for this complication has not been well characterized, and there have been no detailed descriptions of the pathology of this disease since the 1940s. Methods. Respiratory tissue samples obtained at autopsy from 15 infants aged ≤4 months who had polymerase chain reaction- or culture-confirmed B. pertussis pneumonia were evaluated by multiple histochemical stains, immunohistochemical evaluation, and electron microscopic examination. Results. The pulmonary histopathologic examination of the samples revealed a descending infection dominated by necrotizing bronchiolitis, intra-alveolar hemorrhage, and fibrinous edema. All samples had marked leukocytosis, and most showed luminal aggregates of abundant leukocytes in small pulmonary arteries, veins, and lymphatics. A novel immunohistochemical stain for B. pertussis revealed abundant extracellular bordetellae in cilia of the trachea, bronchi, and bronchioles, as well as intracellular bacteria and antigens in alveolar macrophages and ciliated epithelium. Conclusions. Pertussis should be suspected in any infant death associated with marked leukocytosis, bronchopneumonia, or refractory pulmonary hypertension, particularly in children aged ≤4 months. The pathologic findings identified in the respiratory tracts of these children, in addition to recognized physiologic responses of the infant lung to hypoxia, suggest that B. pertussis pneumonia triggers a cascade of events that includes acute pulmonary vasoconstriction and pertussis toxin-mediated increases in circulating leukocyte mass. These responses ultimately compromise pulmonary blood flow, exacerbate hypoxemia, and create a vicious cycle of refractory pulmonary hypertension.","author":[{"dropping-particle":"","family":"Paddock","given":"Christopher D.","non-dropping-particle":"","parse-names":false,"suffix":""},{"dropping-particle":"","family":"Sanden","given":"Gary N.","non-dropping-particle":"","parse-names":false,"suffix":""},{"dropping-particle":"","family":"Cherry","given":"James D.","non-dropping-particle":"","parse-names":false,"suffix":""},{"dropping-particle":"","family":"Gal","given":"Anthony A.","non-dropping-particle":"","parse-names":false,"suffix":""},{"dropping-particle":"","family":"Langston","given":"Claire","non-dropping-particle":"","parse-names":false,"suffix":""},{"dropping-particle":"","family":"Tatti","given":"Kathleen M.","non-dropping-particle":"","parse-names":false,"suffix":""},{"dropping-particle":"","family":"Wu","given":"Kai Hui","non-dropping-particle":"","parse-names":false,"suffix":""},{"dropping-particle":"","family":"Goldsmith","given":"Cynthia S.","non-dropping-particle":"","parse-names":false,"suffix":""},{"dropping-particle":"","family":"Greer","given":"Patricia W.","non-dropping-particle":"","parse-names":false,"suffix":""},{"dropping-particle":"","family":"Montague","given":"Jeltley L.","non-dropping-particle":"","parse-names":false,"suffix":""},{"dropping-particle":"","family":"Eliason","given":"Mark T.","non-dropping-particle":"","parse-names":false,"suffix":""},{"dropping-particle":"","family":"Holman","given":"Robert C.","non-dropping-particle":"","parse-names":false,"suffix":""},{"dropping-particle":"","family":"Guarner","given":"Jeannette","non-dropping-particle":"","parse-names":false,"suffix":""},{"dropping-particle":"","family":"Shieh","given":"Wun Ju","non-dropping-particle":"","parse-names":false,"suffix":""},{"dropping-particle":"","family":"Zaki","given":"Sherif R.","non-dropping-particle":"","parse-names":false,"suffix":""}],"container-title":"Clinical Infectious Diseases","id":"ITEM-1","issue":"3","issued":{"date-parts":[["2008"]]},"page":"328-338","title":"Pathology and pathogenesis of fatal Bordetella pertussis infection in infants","type":"article-journal","volume":"47"},"uris":["http://www.mendeley.com/documents/?uuid=bad7712a-0095-4dab-b1db-61fdd6a57e42","http://www.mendeley.com/documents/?uuid=f5f55d6a-3784-4f93-95b5-000dcfbf1cd5","http://www.mendeley.com/documents/?uuid=399cdfd2-a5c4-4850-8e9b-177c7865d3b4"]}],"mendeley":{"formattedCitation":"(Paddock et al., 2008)","plainTextFormattedCitation":"(Paddock et al., 2008)","previouslyFormattedCitation":"(Paddock et al., 2008)"},"properties":{"noteIndex":0},"schema":"https://github.com/citation-style-language/schema/raw/master/csl-citation.json"}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(Paddock et al., 2008)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severe cases, these events can lead to pulmonary hypertension, respiratory failure, and death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{"citationItems":[{"id":"ITEM-1","itemData":{"DOI":"10.1086/589753","ISSN":"10584838","PMID":"18558873","abstract":"Background. Each year, Bordetella pertussis infection causes an estimated 294,000 deaths worldwide, primarily among young, nonvaccinated children. Approximately 90% of all deaths due to pertussis in the Unites States occur in young infants. These children often develop intractable pulmonary hypertension; however, the pathophysiologic mechanism responsible for this complication has not been well characterized, and there have been no detailed descriptions of the pathology of this disease since the 1940s. Methods. Respiratory tissue samples obtained at autopsy from 15 infants aged ≤4 months who had polymerase chain reaction- or culture-confirmed B. pertussis pneumonia were evaluated by multiple histochemical stains, immunohistochemical evaluation, and electron microscopic examination. Results. The pulmonary histopathologic examination of the samples revealed a descending infection dominated by necrotizing bronchiolitis, intra-alveolar hemorrhage, and fibrinous edema. All samples had marked leukocytosis, and most showed luminal aggregates of abundant leukocytes in small pulmonary arteries, veins, and lymphatics. A novel immunohistochemical stain for B. pertussis revealed abundant extracellular bordetellae in cilia of the trachea, bronchi, and bronchioles, as well as intracellular bacteria and antigens in alveolar macrophages and ciliated epithelium. Conclusions. Pertussis should be suspected in any infant death associated with marked leukocytosis, bronchopneumonia, or refractory pulmonary hypertension, particularly in children aged ≤4 months. The pathologic findings identified in the respiratory tracts of these children, in addition to recognized physiologic responses of the infant lung to hypoxia, suggest that B. pertussis pneumonia triggers a cascade of events that includes acute pulmonary vasoconstriction and pertussis toxin-mediated increases in circulating leukocyte mass. These responses ultimately compromise pulmonary blood flow, exacerbate hypoxemia, and create a vicious cycle of refractory pulmonary hypertension.","author":[{"dropping-particle":"","family":"Paddock","given":"Christopher D.","non-dropping-particle":"","parse-names":false,"suffix":""},{"dropping-particle":"","family":"Sanden","given":"Gary N.","non-dropping-particle":"","parse-names":false,"suffix":""},{"dropping-particle":"","family":"Cherry","given":"James D.","non-dropping-particle":"","parse-names":false,"suffix":""},{"dropping-particle":"","family":"Gal","given":"Anthony A.","non-dropping-particle":"","parse-names":false,"suffix":""},{"dropping-particle":"","family":"Langston","given":"Claire","non-dropping-particle":"","parse-names":false,"suffix":""},{"dropping-particle":"","family":"Tatti","given":"Kathleen M.","non-dropping-particle":"","parse-names":false,"suffix":""},{"dropping-particle":"","family":"Wu","given":"Kai Hui","non-dropping-particle":"","parse-names":false,"suffix":""},{"dropping-particle":"","family":"Goldsmith","given":"Cynthia S.","non-dropping-particle":"","parse-names":false,"suffix":""},{"dropping-particle":"","family":"Greer","given":"Patricia W.","non-dropping-particle":"","parse-names":false,"suffix":""},{"dropping-particle":"","family":"Montague","given":"Jeltley L.","non-dropping-particle":"","parse-names":false,"suffix":""},{"dropping-particle":"","family":"Eliason","given":"Mark T.","non-dropping-particle":"","parse-names":false,"suffix":""},{"dropping-particle":"","family":"Holman","given":"Robert C.","non-dropping-particle":"","parse-names":false,"suffix":""},{"dropping-particle":"","family":"Guarner","given":"Jeannette","non-dropping-particle":"","parse-names":false,"suffix":""},{"dropping-particle":"","family":"Shieh","given":"Wun Ju","non-dropping-particle":"","parse-names":false,"suffix":""},{"dropping-particle":"","family":"Zaki","given":"Sherif R.","non-dropping-particle":"","parse-names":false,"suffix":""}],"container-title":"Clinical Infectious Diseases","id":"ITEM-1","issue":"3","issued":{"date-parts":[["2008"]]},"page":"328-338","title":"Pathology and pathogenesis of fatal Bordetella pertussis infection in infants","type":"article-journal","volume":"47"},"uris":["http://www.mendeley.com/documents/?uuid=399cdfd2-a5c4-4850-8e9b-177c7865d3b4","http://www.mendeley.com/documents/?uuid=f5f55d6a-3784-4f93-95b5-000dcfbf1cd5","http://www.mendeley.com/documents/?uuid=bad7712a-0095-4dab-b1db-61fdd6a57e42"]},{"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http://www.mendeley.com/documents/?uuid=b2d7a76a-0cca-400a-8773-321fe13c4c6d","http://www.mendeley.com/documents/?uuid=dc23baa6-5cea-4fd2-931d-5d821e38b9e7"]}],"mendeley":{"formattedCitation":"(Paddock et al., 2008; Kilgore et al., 2016)","plainTextFormattedCitation":"(Paddock et al., 2008; Kilgore et al., 2016)","previouslyFormattedCitation":"(Paddock et al., 2008;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(Paddock et al., 2008;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315E995" w14:textId="77777777" w:rsidR="00711230" w:rsidRPr="003D2D46" w:rsidRDefault="00711230" w:rsidP="00580A15">
      <w:pPr>
        <w:spacing w:line="480" w:lineRule="auto"/>
        <w:rPr>
          <w:rFonts w:ascii="Times New Roman" w:hAnsi="Times New Roman" w:cs="Times New Roman"/>
          <w:color w:val="000000" w:themeColor="text1"/>
        </w:rPr>
      </w:pPr>
    </w:p>
    <w:p w14:paraId="2AAEDFA2" w14:textId="77777777" w:rsidR="004B759B" w:rsidRPr="003D2D46" w:rsidRDefault="00EA09C6">
      <w:pPr>
        <w:pStyle w:val="Heading3"/>
        <w:spacing w:line="480" w:lineRule="auto"/>
        <w:rPr>
          <w:rFonts w:ascii="Times New Roman" w:hAnsi="Times New Roman" w:cs="Times New Roman"/>
          <w:color w:val="000000" w:themeColor="text1"/>
          <w:szCs w:val="24"/>
        </w:rPr>
      </w:pPr>
      <w:bookmarkStart w:id="19" w:name="_Toc81647062"/>
      <w:bookmarkStart w:id="20" w:name="_Toc82445502"/>
      <w:bookmarkStart w:id="21" w:name="_Toc87797063"/>
      <w:r w:rsidRPr="003D2D46">
        <w:rPr>
          <w:rFonts w:ascii="Times New Roman" w:hAnsi="Times New Roman" w:cs="Times New Roman"/>
          <w:color w:val="000000" w:themeColor="text1"/>
          <w:szCs w:val="24"/>
        </w:rPr>
        <w:t>2.</w:t>
      </w:r>
      <w:r w:rsidR="004B759B" w:rsidRPr="003D2D46">
        <w:rPr>
          <w:rFonts w:ascii="Times New Roman" w:hAnsi="Times New Roman" w:cs="Times New Roman"/>
          <w:color w:val="000000" w:themeColor="text1"/>
          <w:szCs w:val="24"/>
        </w:rPr>
        <w:t>4 Diagnosis and Treatment</w:t>
      </w:r>
      <w:bookmarkEnd w:id="19"/>
      <w:bookmarkEnd w:id="20"/>
      <w:bookmarkEnd w:id="21"/>
    </w:p>
    <w:p w14:paraId="11C60FEA" w14:textId="654CD226"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Diagnosis of pertussis depends on clinical history and laboratory testing. Laboratory tests include bacterial culture, polymerase chain reaction (PCR), and serological testing. Bacterial culture is considered the gold standard for diagnosis as it is the most specific (100%) laboratory test for pertussis, although it has lower sensitivity (12-60%) than PCR (93.5% specificity, 97.1% sensitivity)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{"citationItems":[{"id":"ITEM-1","itemData":{"DOI":"doi.org/10.1371/journal.pone.0195979","author":[{"dropping-particle":"","family":"Lee","given":"Adria D","non-dropping-particle":"","parse-names":false,"suffix":""},{"dropping-particle":"","family":"Cassiday","given":"Pamela K","non-dropping-particle":"","parse-names":false,"suffix":""},{"dropping-particle":"","family":"Pawloski","given":"Lucia C","non-dropping-particle":"","parse-names":false,"suffix":""},{"dropping-particle":"","family":"Tatti","given":"Kathleen M","non-dropping-particle":"","parse-names":false,"suffix":""},{"dropping-particle":"","family":"Martin","given":"D","non-dropping-particle":"","parse-names":false,"suffix":""},{"dropping-particle":"","family":"Briere","given":"Elizabeth C","non-dropping-particle":"","parse-names":false,"suffix":""},{"dropping-particle":"","family":"Tondella","given":"M Lucia","non-dropping-particle":"","parse-names":false,"suffix":""},{"dropping-particle":"","family":"Martin","given":"Stacey W","non-dropping-particle":"","parse-names":false,"suffix":""}],"container-title":"PLoS ONE","id":"ITEM-1","issue":"4","issued":{"date-parts":[["2018"]]},"title":"Clinical evaluation and validation of laboratory methods for the diagnosis of Bordetella pertussis infection : Culture , polymerase chain reaction ( PCR ) and anti-pertussis toxin IgG","type":"article-journal","volume":"13"},"uris":["http://www.mendeley.com/documents/?uuid=6e809ba8-3404-48e5-ad0d-0e1672538c08","http://www.mendeley.com/documents/?uuid=0fc5297e-def7-4ffe-af97-b86d73b4ed42","http://www.mendeley.com/documents/?uuid=d52937a8-0d24-4b28-9160-4608b7597e21"]},{"id":"ITEM-2","itemData":{"DOI":"10.1128/jcm.37.9.2872-2876.1999","ISSN":"00951137","PMID":"10449467","abstract":"We prospectively compared the performance of culture, direct fluorescent-antibody testing (DFA), and an in-house-developed PCR test targeting the repeated insertion sequence IS481 for the detection of Bordetella pertussis in nasopharyngeal swab specimens. We tested 319 consecutive paired specimens on which all three tests were performed. A total of 59 specimens were positive by one or more tests. Of these, 5 were positive by all three tests, 2 were positive by culture and PCR, 16 were positive by PCR and DFA, 28 were positive by PCR only, and 8 were positive by DFA only. Any specimen positive by culture was considered to be a true positive, as were specimens positive by both PCR and DFA. Specimens positive only by PCR or DFA were considered discrepant, and their status was resolved by review of patient histories. Patients with symptoms meeting the Centers for Disease Control and Prevention clinical case definition for pertussis and who had a specimen positive by PCR or DFA were considered to have true B. pertussis infections. Of the 28 patients positive by PCR only, 20 met the clinical case definition for pertussis, while 3 of the 8 patients positive by DFA only met the clinical case definition. After resolution of the status of discrepant specimens, the sensitivity, specificity, positive predictive value, and negative predictive value were 15.2, 100, 100, and 87.5%, respectively, for culture; 93.5, 97.1, 84.3, and 98.9%, respectively, for PCR; and 52.2, 98.2, 82.8, and 92.4%, respectively, for DFA. The actual positive predictive value of PCR was probably greater, as several PCR-positive patients who did not meet the clinical case definition had symptoms consistent with typical or atypical pertussis. PCR is a sensitive and specific method for the detection of B. pertussis.","author":[{"dropping-particle":"","family":"Loeffelholz","given":"Mike J.","non-dropping-particle":"","parse-names":false,"suffix":""},{"dropping-particle":"","family":"Thompson","given":"Curt J.","non-dropping-particle":"","parse-names":false,"suffix":""},{"dropping-particle":"","family":"Long","given":"Karla S.","non-dropping-particle":"","parse-names":false,"suffix":""},{"dropping-particle":"","family":"Gilchrist","given":"Mary J.R.","non-dropping-particle":"","parse-names":false,"suffix":""}],"container-title":"Journal of Clinical Microbiology","id":"ITEM-2","issue":"9","issued":{"date-parts":[["1999"]]},"page":"2872-2876","title":"Comparison of PCR, culture, and direct fluorescent-antibody testing for detection of Bordetella pertussis","type":"article-journal","volume":"37"},"uris":["http://www.mendeley.com/documents/?uuid=c1e197c0-c226-4e3c-87dc-e88663967045","http://www.mendeley.com/documents/?uuid=a0293766-9eb7-4afe-b11a-d31741b80498","http://www.mendeley.com/documents/?uuid=dcd4f23e-7b6a-42b3-a443-5689bf87a92f"]}],"mendeley":{"formattedCitation":"(Loeffelholz et al., 1999; Lee et al., 2018)","plainTextFormattedCitation":"(Loeffelholz et al., 1999; Lee et al., 2018)","previouslyFormattedCitation":"(Loeffelholz et al., 1999; Lee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(Loeffelholz et al., 1999; Lee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It is critical that </w:t>
      </w:r>
      <w:r w:rsidR="006708F4" w:rsidRPr="003D2D46">
        <w:rPr>
          <w:rFonts w:ascii="Times New Roman" w:hAnsi="Times New Roman" w:cs="Times New Roman"/>
          <w:color w:val="000000" w:themeColor="text1"/>
        </w:rPr>
        <w:t xml:space="preserve">nasopharyngeal </w:t>
      </w:r>
      <w:r w:rsidRPr="003D2D46">
        <w:rPr>
          <w:rFonts w:ascii="Times New Roman" w:hAnsi="Times New Roman" w:cs="Times New Roman"/>
          <w:color w:val="000000" w:themeColor="text1"/>
        </w:rPr>
        <w:t xml:space="preserve">specimens are collected as early as possible, as they are more likely to </w:t>
      </w:r>
      <w:r w:rsidR="00037B22" w:rsidRPr="003D2D46">
        <w:rPr>
          <w:rFonts w:ascii="Times New Roman" w:hAnsi="Times New Roman" w:cs="Times New Roman"/>
          <w:color w:val="000000" w:themeColor="text1"/>
        </w:rPr>
        <w:t>produce accurate test results</w:t>
      </w:r>
      <w:r w:rsidRPr="003D2D46">
        <w:rPr>
          <w:rFonts w:ascii="Times New Roman" w:hAnsi="Times New Roman" w:cs="Times New Roman"/>
          <w:color w:val="000000" w:themeColor="text1"/>
        </w:rPr>
        <w:t xml:space="preserve"> less than two weeks after the onset of coughing symptoms as viable bacteria are available during this time period, after which the sensitivity decreases and false negative rates increase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{"citationItems":[{"id":"ITEM-1","itemData":{"URL":"https://www.cdc.gov/pertussis/clinical/diagnostic-testing/diagnosis-confirmation.html","accessed":{"date-parts":[["2021","11","14"]]},"author":[{"dropping-particle":"","family":"Centers for Disease Control and Prevention (CDC)","given":"","non-dropping-particle":"","parse-names":false,"suffix":""}],"id":"ITEM-1","issued":{"date-parts":[["2019"]]},"title":"Pertussis (Whooping Cough): Diagnosis Confirmation","type":"webpage"},"uris":["http://www.mendeley.com/documents/?uuid=f3822a76-3229-428b-8081-5225bfc5d603","http://www.mendeley.com/documents/?uuid=f0d14f69-5be8-4f86-afa8-9613640ce5c4","http://www.mendeley.com/documents/?uuid=d577e67e-13f4-4b97-a797-92ddcc4e091d"]},{"id":"ITEM-2","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-2","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 Centers for Disease Control and Prevention (CDC), 2019a)","plainTextFormattedCitation":"(Centers for Disease Control and Prevention, 2015a; Centers for Disease Control and Prevention (CDC), 2019a)","previouslyFormattedCitation":"(Centers for Disease Control and Prevention, 2015a; Centers for Disease Control and Prevention (CDC), 2019a)"},"properties":{"noteIndex":0},"schema":"https://github.com/citation-style-language/schema/raw/master/csl-citation.json"}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476116" w:rsidRPr="003D2D46">
        <w:rPr>
          <w:rFonts w:ascii="Times New Roman" w:hAnsi="Times New Roman" w:cs="Times New Roman"/>
          <w:noProof/>
          <w:color w:val="000000" w:themeColor="text1"/>
        </w:rPr>
        <w:t>(Centers for Disease Control and Prevention, 2015a; Centers for Disease Control and Prevention (CDC), 2019a)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study comparing sensitivities (Se) and specificities (Sp) of culture, PCR, and serological tests for pertussis reported that after two weeks of cough onset, both culture and PCR are markedly less sensitive; cultures were reported to have an estimated sensitivity of 9.7% </w:t>
      </w:r>
      <w:r w:rsidRPr="003D2D46">
        <w:rPr>
          <w:rFonts w:ascii="Times New Roman" w:hAnsi="Times New Roman" w:cs="Times New Roman"/>
          <w:color w:val="000000" w:themeColor="text1"/>
        </w:rPr>
        <w:lastRenderedPageBreak/>
        <w:t xml:space="preserve">after two weeks of cough onset compared to 93.2% in the first two weeks after onset of cough while the sensitivity of PCR reduced to 21.4% from 81.7%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{"citationItems":[{"id":"ITEM-1","itemData":{"DOI":"doi.org/10.1371/journal.pone.0195979","author":[{"dropping-particle":"","family":"Lee","given":"Adria D","non-dropping-particle":"","parse-names":false,"suffix":""},{"dropping-particle":"","family":"Cassiday","given":"Pamela K","non-dropping-particle":"","parse-names":false,"suffix":""},{"dropping-particle":"","family":"Pawloski","given":"Lucia C","non-dropping-particle":"","parse-names":false,"suffix":""},{"dropping-particle":"","family":"Tatti","given":"Kathleen M","non-dropping-particle":"","parse-names":false,"suffix":""},{"dropping-particle":"","family":"Martin","given":"D","non-dropping-particle":"","parse-names":false,"suffix":""},{"dropping-particle":"","family":"Briere","given":"Elizabeth C","non-dropping-particle":"","parse-names":false,"suffix":""},{"dropping-particle":"","family":"Tondella","given":"M Lucia","non-dropping-particle":"","parse-names":false,"suffix":""},{"dropping-particle":"","family":"Martin","given":"Stacey W","non-dropping-particle":"","parse-names":false,"suffix":""}],"container-title":"PLoS ONE","id":"ITEM-1","issue":"4","issued":{"date-parts":[["2018"]]},"title":"Clinical evaluation and validation of laboratory methods for the diagnosis of Bordetella pertussis infection : Culture , polymerase chain reaction ( PCR ) and anti-pertussis toxin IgG","type":"article-journal","volume":"13"},"uris":["http://www.mendeley.com/documents/?uuid=d52937a8-0d24-4b28-9160-4608b7597e21","http://www.mendeley.com/documents/?uuid=0fc5297e-def7-4ffe-af97-b86d73b4ed42","http://www.mendeley.com/documents/?uuid=6e809ba8-3404-48e5-ad0d-0e1672538c08"]}],"mendeley":{"formattedCitation":"(Lee et al., 2018)","plainTextFormattedCitation":"(Lee et al., 2018)","previouslyFormattedCitation":"(Lee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(Lee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65D311D" w14:textId="77777777" w:rsidR="00292AAF" w:rsidRPr="003D2D46" w:rsidRDefault="00292AAF" w:rsidP="00292AAF">
      <w:pPr>
        <w:spacing w:line="480" w:lineRule="auto"/>
        <w:rPr>
          <w:rFonts w:ascii="Times New Roman" w:hAnsi="Times New Roman" w:cs="Times New Roman"/>
          <w:color w:val="000000" w:themeColor="text1"/>
        </w:rPr>
      </w:pPr>
    </w:p>
    <w:p w14:paraId="70320CB5" w14:textId="4F26DE1C" w:rsidR="00292AAF" w:rsidRPr="003D2D46" w:rsidRDefault="00292AAF" w:rsidP="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While bacterial culture is considered the gold standard, PCR is the most commonly used diagnostic test for pertussis as real-time </w:t>
      </w:r>
      <w:r w:rsidR="000F0A54" w:rsidRPr="003D2D46">
        <w:rPr>
          <w:rFonts w:ascii="Times New Roman" w:hAnsi="Times New Roman" w:cs="Times New Roman"/>
          <w:color w:val="000000" w:themeColor="text1"/>
        </w:rPr>
        <w:t>Polymerase Chain Reaction</w:t>
      </w:r>
      <w:r w:rsidRPr="003D2D46">
        <w:rPr>
          <w:rFonts w:ascii="Times New Roman" w:hAnsi="Times New Roman" w:cs="Times New Roman"/>
          <w:color w:val="000000" w:themeColor="text1"/>
        </w:rPr>
        <w:t xml:space="preserve"> (RT-PCR) allows for rapid diagnosis in less than 24 hours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{"citationItems":[{"id":"ITEM-1","itemData":{"author":[{"dropping-particle":"","family":"Tatti","given":"Kathleen M.","non-dropping-particle":"","parse-names":false,"suffix":""},{"dropping-particle":"","family":"Martin","given":"Stacey W","non-dropping-particle":"","parse-names":false,"suffix":""},{"dropping-particle":"","family":"Boney","given":"Kathryn O","non-dropping-particle":"","parse-names":false,"suffix":""},{"dropping-particle":"","family":"Brown","given":"Kristin","non-dropping-particle":"","parse-names":false,"suffix":""},{"dropping-particle":"","family":"Clark","given":"Thomas A.","non-dropping-particle":"","parse-names":false,"suffix":""},{"dropping-particle":"","family":"Tondella","given":"M Lucia","non-dropping-particle":"","parse-names":false,"suffix":""}],"container-title":"Pediatr Infect Dis J","id":"ITEM-1","issue":"9","issued":{"date-parts":[["2013"]]},"page":"942-945","title":"Qualitative assessment of pertussis diagnostics in United States laboratories","type":"article-journal","volume":"32"},"uris":["http://www.mendeley.com/documents/?uuid=5190ec23-edfb-451b-a5e5-f4ae11896d43","http://www.mendeley.com/documents/?uuid=57fb2fb5-740d-4d79-92d7-79460f9aa62f","http://www.mendeley.com/documents/?uuid=915e43e8-59e5-4411-b717-d4a2cbe0c403"]},{"id":"ITEM-2","itemData":{"DOI":"doi.org/10.1371/journal.pone.0195979","author":[{"dropping-particle":"","family":"Lee","given":"Adria D","non-dropping-particle":"","parse-names":false,"suffix":""},{"dropping-particle":"","family":"Cassiday","given":"Pamela K","non-dropping-particle":"","parse-names":false,"suffix":""},{"dropping-particle":"","family":"Pawloski","given":"Lucia C","non-dropping-particle":"","parse-names":false,"suffix":""},{"dropping-particle":"","family":"Tatti","given":"Kathleen M","non-dropping-particle":"","parse-names":false,"suffix":""},{"dropping-particle":"","family":"Martin","given":"D","non-dropping-particle":"","parse-names":false,"suffix":""},{"dropping-particle":"","family":"Briere","given":"Elizabeth C","non-dropping-particle":"","parse-names":false,"suffix":""},{"dropping-particle":"","family":"Tondella","given":"M Lucia","non-dropping-particle":"","parse-names":false,"suffix":""},{"dropping-particle":"","family":"Martin","given":"Stacey W","non-dropping-particle":"","parse-names":false,"suffix":""}],"container-title":"PLoS ONE","id":"ITEM-2","issue":"4","issued":{"date-parts":[["2018"]]},"title":"Clinical evaluation and validation of laboratory methods for the diagnosis of Bordetella pertussis infection : Culture , polymerase chain reaction ( PCR ) and anti-pertussis toxin IgG","type":"article-journal","volume":"13"},"uris":["http://www.mendeley.com/documents/?uuid=d52937a8-0d24-4b28-9160-4608b7597e21","http://www.mendeley.com/documents/?uuid=0fc5297e-def7-4ffe-af97-b86d73b4ed42","http://www.mendeley.com/documents/?uuid=6e809ba8-3404-48e5-ad0d-0e1672538c08"]}],"mendeley":{"formattedCitation":"(Tatti et al., 2013; Lee et al., 2018)","plainTextFormattedCitation":"(Tatti et al., 2013; Lee et al., 2018)","previouslyFormattedCitation":"(Tatti et al., 2013; Lee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(Tatti et al., 2013; Lee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while bacterial culture requires 7 days. Although PCR is not as specific (93.5%) as culture for pertussis (100%), it does have higher sensitivity (97.1%). An evaluation of the use of PCR for diagnosis of pertussis reported a specificity of 98%, a positive predictive value of 95%, and a negative predictive value of 81%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Lind-brandberg","given":"Lena","non-dropping-particle":"","parse-names":false,"suffix":""},{"dropping-particle":"","family":"Welinder-olsson","given":"Christina","non-dropping-particle":"","parse-names":false,"suffix":""},{"dropping-particle":"","family":"Lagergård","given":"Teresa","non-dropping-particle":"","parse-names":false,"suffix":""},{"dropping-particle":"","family":"Taranger","given":"John","non-dropping-particle":"","parse-names":false,"suffix":""},{"dropping-particle":"","family":"Trollfors","given":"Birger","non-dropping-particle":"","parse-names":false,"suffix":""},{"dropping-particle":"","family":"Zackrisson","given":"Gunilla","non-dropping-particle":"","parse-names":false,"suffix":""}],"id":"ITEM-1","issue":"3","issued":{"date-parts":[["1998"]]},"page":"679-683","title":"Evaluation of PCR for Diagnosis of Bordetella pertussis and Bordetella parapertussis Infections","type":"article-journal","volume":"36"},"uris":["http://www.mendeley.com/documents/?uuid=37d7ae6a-dd36-4da5-a60b-dd2e136a7f75","http://www.mendeley.com/documents/?uuid=dc572823-2e18-4ff2-8300-a818932a46cf","http://www.mendeley.com/documents/?uuid=7a882f0f-d7cd-4eb7-a08b-f14ffd1435a1"]}],"mendeley":{"formattedCitation":"(Lind-brandberg et al., 1998)","plainTextFormattedCitation":"(Lind-brandberg et al., 1998)","previouslyFormattedCitation":"(Lind-brandberg et al., 1998)"},"properties":{"noteIndex":0},"schema":"https://github.com/citation-style-language/schema/raw/master/csl-citation.json"}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(Lind-brandberg et al., 1998)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While limited in their usefulness for prompt diagnosis, serologic assays are routinely used across the globe for surveillance and diagnosis for late stage illness (&gt;4 weeks after onset of cough)</w:t>
      </w:r>
      <w:r w:rsidR="006243D0"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when culture and PCR have poor diagnostic utility </w:t>
      </w:r>
      <w:r w:rsidRPr="003D2D46">
        <w:rPr>
          <w:rFonts w:ascii="Times New Roman" w:hAnsi="Times New Roman" w:cs="Times New Roman"/>
          <w:color w:val="000000" w:themeColor="text1"/>
        </w:rPr>
        <w:fldChar w:fldCharType="begin" w:fldLock="1"/>
      </w:r>
      <w:r w:rsidR="00EA3232" w:rsidRPr="003D2D46">
        <w:rPr>
          <w:rFonts w:ascii="Times New Roman" w:hAnsi="Times New Roman" w:cs="Times New Roman"/>
          <w:color w:val="000000" w:themeColor="text1"/>
        </w:rPr>
        <w:instrText>ADDIN CSL_CITATION {"citationItems":[{"id":"ITEM-1","itemData":{"DOI":"10.1128/CVI.00760-13","author":[{"dropping-particle":"","family":"Vaz-de-Lima","given":"Lourdes RA","non-dropping-particle":"","parse-names":false,"suffix":""},{"dropping-particle":"","family":"Martin","given":"Monte D","non-dropping-particle":"","parse-names":false,"suffix":""},{"dropping-particle":"","family":"Pawloski","given":"Lucia C","non-dropping-particle":"","parse-names":false,"suffix":""},{"dropping-particle":"","family":"Leite","given":"Daniela","non-dropping-particle":"","parse-names":false,"suffix":""},{"dropping-particle":"","family":"Rocha","given":"KCP","non-dropping-particle":"","parse-names":false,"suffix":""},{"dropping-particle":"","family":"Brito","given":"Cyro","non-dropping-particle":"de","parse-names":false,"suffix":""},{"dropping-particle":"","family":"Vaz","given":"Tania MI","non-dropping-particle":"","parse-names":false,"suffix":""},{"dropping-particle":"","family":"Martins","given":"Luciano M","non-dropping-particle":"","parse-names":false,"suffix":""},{"dropping-particle":"","family":"Alvarenga","given":"DP","non-dropping-particle":"","parse-names":false,"suffix":""},{"dropping-particle":"","family":"Ribiero","given":"AF","non-dropping-particle":"","parse-names":false,"suffix":""},{"dropping-particle":"","family":"Carvalhanas","given":"Telma RMP","non-dropping-particle":"","parse-names":false,"suffix":""},{"dropping-particle":"","family":"Nakasaki","given":"Rosa MD","non-dropping-particle":"","parse-names":false,"suffix":""},{"dropping-particle":"","family":"Oliviera","given":"Silvia S","non-dropping-particle":"","parse-names":false,"suffix":""},{"dropping-particle":"","family":"Waldman","given":"EA","non-dropping-particle":"","parse-names":false,"suffix":""},{"dropping-particle":"","family":"Tondella","given":"Maria Lucia","non-dropping-particle":"","parse-names":false,"suffix":""}],"container-title":"Clinical and Vaccine Immunology","id":"ITEM-1","issue":"5","issued":{"date-parts":[["2014"]]},"page":"636-640","title":"Serodiagnosis as Adjunct Assay for Pertussis Infection in São Paulo","type":"article-journal","volume":"21"},"uris":["http://www.mendeley.com/documents/?uuid=e50f994b-d557-43d1-8c3c-5ae7f36c29c7","http://www.mendeley.com/documents/?uuid=c47e60db-8ec5-430a-bc18-c35986864c84","http://www.mendeley.com/documents/?uuid=bcf56dd7-7ec6-4fff-9c91-6d73fe1f8072"]},{"id":"ITEM-2","itemData":{"ISBN":"9789241513920","URL":"https://www.who.int/publications/i/item/surveillance-standards-for-vaccine-preventable-diseases-2nd-edition","accessed":{"date-parts":[["2021","1","18"]]},"author":[{"dropping-particle":"","family":"World Health Organization (WHO)","given":"","non-dropping-particle":"","parse-names":false,"suffix":""}],"edition":"2nd","editor":[{"dropping-particle":"","family":"World Health Organization","given":"","non-dropping-particle":"","parse-names":false,"suffix":""}],"id":"ITEM-2","issued":{"date-parts":[["2018"]]},"publisher":"World Health Organization","title":"Surveillance Standards for Vaccine-Preventable Diseases, 2nd Edition","type":"webpage"},"uris":["http://www.mendeley.com/documents/?uuid=3c45490d-0051-46f3-a8da-4086fdb83ee1","http://www.mendeley.com/documents/?uuid=14fd4be4-ceb3-49da-9926-635715f8b7a4","http://www.mendeley.com/documents/?uuid=91356cc9-eb5d-442f-b398-26a491669877"]},{"id":"ITEM-3","itemData":{"DOI":"10.1128/CVI.05430-11","author":[{"dropping-particle":"","family":"May","given":"Meryta L","non-dropping-particle":"","parse-names":false,"suffix":""},{"dropping-particle":"","family":"Doi","given":"Suhail A","non-dropping-particle":"","parse-names":false,"suffix":""},{"dropping-particle":"","family":"King","given":"David","non-dropping-particle":"","parse-names":false,"suffix":""},{"dropping-particle":"","family":"Evans","given":"Jenny","non-dropping-particle":"","parse-names":false,"suffix":""},{"dropping-particle":"","family":"Robson","given":"Jennifer M","non-dropping-particle":"","parse-names":false,"suffix":""}],"container-title":"Clinical and Vaccine Immunology","id":"ITEM-3","issue":"2","issued":{"date-parts":[["2012"]]},"page":"190-197","title":"Prospective Evaluation of an Australian Pertussis Toxin IgG and IgA Enzyme Immunoassay","type":"article-journal","volume":"19"},"uris":["http://www.mendeley.com/documents/?uuid=5ddef57c-7963-4020-9219-d14e365361e1","http://www.mendeley.com/documents/?uuid=55c60cef-683b-4b57-8383-a7606c77b5d8","http://www.mendeley.com/documents/?uuid=20b0e60a-bc5c-4697-9896-b20607a715cb"]}],"mendeley":{"formattedCitation":"(May et al., 2012; Vaz-de-Lima et al., 2014; World Health Organization (WHO), 2018)","plainTextFormattedCitation":"(May et al., 2012; Vaz-de-Lima et al., 2014; World Health Organization (WHO), 2018)","previouslyFormattedCitation":"(May et al., 2012; Vaz-de-Lima et al., 2014; World Health Organization (WHO),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B05F0" w:rsidRPr="003D2D46">
        <w:rPr>
          <w:rFonts w:ascii="Times New Roman" w:hAnsi="Times New Roman" w:cs="Times New Roman"/>
          <w:noProof/>
          <w:color w:val="000000" w:themeColor="text1"/>
        </w:rPr>
        <w:t>(May et al., 2012; Vaz-de-Lima et al., 2014; World Health Organization (WHO),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Serologic tests may be used to diagnose late-stage pertussis infections, though there are many barriers to using serology for successful diagnosis. </w:t>
      </w:r>
      <w:r w:rsidR="006243D0" w:rsidRPr="003D2D46">
        <w:rPr>
          <w:rFonts w:ascii="Times New Roman" w:hAnsi="Times New Roman" w:cs="Times New Roman"/>
          <w:color w:val="000000" w:themeColor="text1"/>
        </w:rPr>
        <w:t>For examples</w:t>
      </w:r>
      <w:r w:rsidRPr="003D2D46">
        <w:rPr>
          <w:rFonts w:ascii="Times New Roman" w:hAnsi="Times New Roman" w:cs="Times New Roman"/>
          <w:color w:val="000000" w:themeColor="text1"/>
        </w:rPr>
        <w:t xml:space="preserve">, past infections and recent (within the past year) vaccination against pertussis can be detected by serological testing. Due to the limitations of using serological tests for diagnosis of active pertussis infections, the World Health Organization (WHO) recommends that serological testing be used for diagnosis of pertussis only if </w:t>
      </w:r>
      <w:r w:rsidR="006243D0" w:rsidRPr="003D2D46">
        <w:rPr>
          <w:rFonts w:ascii="Times New Roman" w:hAnsi="Times New Roman" w:cs="Times New Roman"/>
          <w:color w:val="000000" w:themeColor="text1"/>
        </w:rPr>
        <w:t>it</w:t>
      </w:r>
      <w:r w:rsidRPr="003D2D46">
        <w:rPr>
          <w:rFonts w:ascii="Times New Roman" w:hAnsi="Times New Roman" w:cs="Times New Roman"/>
          <w:color w:val="000000" w:themeColor="text1"/>
        </w:rPr>
        <w:t xml:space="preserve"> </w:t>
      </w:r>
      <w:r w:rsidR="006243D0" w:rsidRPr="003D2D46">
        <w:rPr>
          <w:rFonts w:ascii="Times New Roman" w:hAnsi="Times New Roman" w:cs="Times New Roman"/>
          <w:color w:val="000000" w:themeColor="text1"/>
        </w:rPr>
        <w:t>has been</w:t>
      </w:r>
      <w:r w:rsidRPr="003D2D46">
        <w:rPr>
          <w:rFonts w:ascii="Times New Roman" w:hAnsi="Times New Roman" w:cs="Times New Roman"/>
          <w:color w:val="000000" w:themeColor="text1"/>
        </w:rPr>
        <w:t xml:space="preserve"> more than four weeks since onset of coughing </w:t>
      </w:r>
      <w:r w:rsidRPr="003D2D46">
        <w:rPr>
          <w:rFonts w:ascii="Times New Roman" w:hAnsi="Times New Roman" w:cs="Times New Roman"/>
          <w:color w:val="000000" w:themeColor="text1"/>
        </w:rPr>
        <w:fldChar w:fldCharType="begin" w:fldLock="1"/>
      </w:r>
      <w:r w:rsidR="00EA3232" w:rsidRPr="003D2D46">
        <w:rPr>
          <w:rFonts w:ascii="Times New Roman" w:hAnsi="Times New Roman" w:cs="Times New Roman"/>
          <w:color w:val="000000" w:themeColor="text1"/>
        </w:rPr>
        <w:instrText>ADDIN CSL_CITATION {"citationItems":[{"id":"ITEM-1","itemData":{"ISBN":"9789241513920","URL":"https://www.who.int/publications/i/item/surveillance-standards-for-vaccine-preventable-diseases-2nd-edition","accessed":{"date-parts":[["2021","1","18"]]},"author":[{"dropping-particle":"","family":"World Health Organization (WHO)","given":"","non-dropping-particle":"","parse-names":false,"suffix":""}],"edition":"2nd","editor":[{"dropping-particle":"","family":"World Health Organization","given":"","non-dropping-particle":"","parse-names":false,"suffix":""}],"id":"ITEM-1","issued":{"date-parts":[["2018"]]},"publisher":"World Health Organization","title":"Surveillance Standards for Vaccine-Preventable Diseases, 2nd Edition","type":"webpage"},"uris":["http://www.mendeley.com/documents/?uuid=91356cc9-eb5d-442f-b398-26a491669877","http://www.mendeley.com/documents/?uuid=14fd4be4-ceb3-49da-9926-635715f8b7a4","http://www.mendeley.com/documents/?uuid=3c45490d-0051-46f3-a8da-4086fdb83ee1"]}],"mendeley":{"formattedCitation":"(World Health Organization (WHO), 2018)","plainTextFormattedCitation":"(World Health Organization (WHO), 2018)","previouslyFormattedCitation":"(World Health Organization (WHO),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B05F0" w:rsidRPr="003D2D46">
        <w:rPr>
          <w:rFonts w:ascii="Times New Roman" w:hAnsi="Times New Roman" w:cs="Times New Roman"/>
          <w:noProof/>
          <w:color w:val="000000" w:themeColor="text1"/>
        </w:rPr>
        <w:t>(World Health Organization (WHO),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It also should not be used within a year of pertussis vaccination as IgG antibodies may persist </w:t>
      </w:r>
      <w:r w:rsidRPr="003D2D46">
        <w:rPr>
          <w:rFonts w:ascii="Times New Roman" w:hAnsi="Times New Roman" w:cs="Times New Roman"/>
          <w:color w:val="000000" w:themeColor="text1"/>
        </w:rPr>
        <w:fldChar w:fldCharType="begin" w:fldLock="1"/>
      </w:r>
      <w:r w:rsidR="00EA3232" w:rsidRPr="003D2D46">
        <w:rPr>
          <w:rFonts w:ascii="Times New Roman" w:hAnsi="Times New Roman" w:cs="Times New Roman"/>
          <w:color w:val="000000" w:themeColor="text1"/>
        </w:rPr>
        <w:instrText>ADDIN CSL_CITATION {"citationItems":[{"id":"ITEM-1","itemData":{"ISBN":"9789241513920","URL":"https://www.who.int/publications/i/item/surveillance-standards-for-vaccine-preventable-diseases-2nd-edition","accessed":{"date-parts":[["2021","1","18"]]},"author":[{"dropping-particle":"","family":"World Health Organization (WHO)","given":"","non-dropping-particle":"","parse-names":false,"suffix":""}],"edition":"2nd","editor":[{"dropping-particle":"","family":"World Health Organization","given":"","non-dropping-particle":"","parse-names":false,"suffix":""}],"id":"ITEM-1","issued":{"date-parts":[["2018"]]},"publisher":"World Health Organization","title":"Surveillance Standards for Vaccine-Preventable Diseases, 2nd Edition","type":"webpage"},"uris":["http://www.mendeley.com/documents/?uuid=91356cc9-eb5d-442f-b398-26a491669877","http://www.mendeley.com/documents/?uuid=14fd4be4-ceb3-49da-9926-635715f8b7a4","http://www.mendeley.com/documents/?uuid=3c45490d-0051-46f3-a8da-4086fdb83ee1"]}],"mendeley":{"formattedCitation":"(World Health Organization (WHO), 2018)","plainTextFormattedCitation":"(World Health Organization (WHO), 2018)","previouslyFormattedCitation":"(World Health Organization (WHO),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B05F0" w:rsidRPr="003D2D46">
        <w:rPr>
          <w:rFonts w:ascii="Times New Roman" w:hAnsi="Times New Roman" w:cs="Times New Roman"/>
          <w:noProof/>
          <w:color w:val="000000" w:themeColor="text1"/>
        </w:rPr>
        <w:t>(World Health Organization (WHO),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lastRenderedPageBreak/>
        <w:t xml:space="preserve">There is currently no assay approved by the US Food and Drug Administration (FDA) for use in the United States. Moreover, results of serological testing are not included in the pertussis case definition used by the Council of State and Territorial Epidemiologists (CSTE). However, serological testing may be useful for identification of adolescent and adult cases that may have low clinical suspicion until the cough has persisted for several weeks </w:t>
      </w:r>
      <w:r w:rsidRPr="003D2D46">
        <w:rPr>
          <w:rFonts w:ascii="Times New Roman" w:hAnsi="Times New Roman" w:cs="Times New Roman"/>
          <w:color w:val="000000" w:themeColor="text1"/>
        </w:rPr>
        <w:fldChar w:fldCharType="begin" w:fldLock="1"/>
      </w:r>
      <w:r w:rsidR="00EA3232" w:rsidRPr="003D2D46">
        <w:rPr>
          <w:rFonts w:ascii="Times New Roman" w:hAnsi="Times New Roman" w:cs="Times New Roman"/>
          <w:color w:val="000000" w:themeColor="text1"/>
        </w:rPr>
        <w:instrText>ADDIN CSL_CITATION {"citationItems":[{"id":"ITEM-1","itemData":{"ISBN":"9789241513920","URL":"https://www.who.int/publications/i/item/surveillance-standards-for-vaccine-preventable-diseases-2nd-edition","accessed":{"date-parts":[["2021","1","18"]]},"author":[{"dropping-particle":"","family":"World Health Organization (WHO)","given":"","non-dropping-particle":"","parse-names":false,"suffix":""}],"edition":"2nd","editor":[{"dropping-particle":"","family":"World Health Organization","given":"","non-dropping-particle":"","parse-names":false,"suffix":""}],"id":"ITEM-1","issued":{"date-parts":[["2018"]]},"publisher":"World Health Organization","title":"Surveillance Standards for Vaccine-Preventable Diseases, 2nd Edition","type":"webpage"},"uris":["http://www.mendeley.com/documents/?uuid=91356cc9-eb5d-442f-b398-26a491669877","http://www.mendeley.com/documents/?uuid=14fd4be4-ceb3-49da-9926-635715f8b7a4","http://www.mendeley.com/documents/?uuid=3c45490d-0051-46f3-a8da-4086fdb83ee1"]}],"mendeley":{"formattedCitation":"(World Health Organization (WHO), 2018)","plainTextFormattedCitation":"(World Health Organization (WHO), 2018)","previouslyFormattedCitation":"(World Health Organization (WHO),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B05F0" w:rsidRPr="003D2D46">
        <w:rPr>
          <w:rFonts w:ascii="Times New Roman" w:hAnsi="Times New Roman" w:cs="Times New Roman"/>
          <w:noProof/>
          <w:color w:val="000000" w:themeColor="text1"/>
        </w:rPr>
        <w:t>(World Health Organization (WHO),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4B1E809A" w14:textId="77777777" w:rsidR="004B759B" w:rsidRPr="003D2D46" w:rsidRDefault="004B759B" w:rsidP="00580A15">
      <w:pPr>
        <w:spacing w:line="480" w:lineRule="auto"/>
        <w:rPr>
          <w:rFonts w:ascii="Times New Roman" w:hAnsi="Times New Roman" w:cs="Times New Roman"/>
          <w:color w:val="000000" w:themeColor="text1"/>
        </w:rPr>
      </w:pPr>
    </w:p>
    <w:p w14:paraId="6C386FBB" w14:textId="77777777" w:rsidR="004B759B" w:rsidRPr="003D2D46" w:rsidRDefault="00EA09C6">
      <w:pPr>
        <w:pStyle w:val="Heading41111"/>
        <w:spacing w:line="480" w:lineRule="auto"/>
        <w:rPr>
          <w:rFonts w:cs="Times New Roman"/>
          <w:color w:val="000000" w:themeColor="text1"/>
        </w:rPr>
      </w:pPr>
      <w:bookmarkStart w:id="22" w:name="_Toc81647063"/>
      <w:bookmarkStart w:id="23" w:name="_Toc82445503"/>
      <w:bookmarkStart w:id="24" w:name="_Toc87797064"/>
      <w:r w:rsidRPr="003D2D46">
        <w:rPr>
          <w:rFonts w:cs="Times New Roman"/>
          <w:color w:val="000000" w:themeColor="text1"/>
        </w:rPr>
        <w:t>2.4.1</w:t>
      </w:r>
      <w:r w:rsidR="004B759B" w:rsidRPr="003D2D46">
        <w:rPr>
          <w:rFonts w:cs="Times New Roman"/>
          <w:color w:val="000000" w:themeColor="text1"/>
        </w:rPr>
        <w:t xml:space="preserve"> Diagnostic Criteria</w:t>
      </w:r>
      <w:bookmarkEnd w:id="22"/>
      <w:bookmarkEnd w:id="23"/>
      <w:bookmarkEnd w:id="24"/>
    </w:p>
    <w:p w14:paraId="4C234654" w14:textId="04C8CD3E"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WHO clinical case definition of pertussis is, “a case diagnosed as pertussis by a physician or a person with a cough lasting at least two weeks with one of the following symptoms: paroxysmal cough, inspiratory whooping, or post-tussive vomiting”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{"citationItems":[{"id":"ITEM-1","itemData":{"DOI":"10.1093/cid/cis302","ISSN":"10584838","PMID":"22431797","abstract":"Existing clinical case definitions of pertussis are decades old and based largely on clinical presentation in infants and children, yet an increasing burden is borne by adolescents and adults who may manifest distinct signs/symptoms. Therefore, a \"one-size-fits-all\" clinical case definition is no longer appropriate. Seeking to improve pertussis diagnosis, the Global Pertussis Initiative (GPI) developed an algorithm that delineates the signs/symptoms of pertussis most common to 3 age groups: 0-3 months, 4 months to 9 years, and ≥10 years. These case definitions are based on clinical presentation alone, but do include recommendations on laboratory diagnostics. Until pertussis can be accurately diagnosed, its burden will remain underestimated, making the introduction of epidemiologically appropriate preventive strategies difficult. The proposed definitions are intended to be widely applicable and to encourage the expanded use of laboratory diagnostics. Determination of their utility and their sensitivity and/or specificity versus existing case definitions is required. © 2012 The Author.","author":[{"dropping-particle":"","family":"Cherry","given":"James D.","non-dropping-particle":"","parse-names":false,"suffix":""},{"dropping-particle":"","family":"Tan","given":"Tina","non-dropping-particle":"","parse-names":false,"suffix":""},{"dropping-particle":"","family":"Wirsing Von König","given":"Carl Heinz","non-dropping-particle":"","parse-names":false,"suffix":""},{"dropping-particle":"","family":"Forsyth","given":"Kevin D.","non-dropping-particle":"","parse-names":false,"suffix":""},{"dropping-particle":"","family":"Thisyakorn","given":"Usa","non-dropping-particle":"","parse-names":false,"suffix":""},{"dropping-particle":"","family":"Greenberg","given":"David","non-dropping-particle":"","parse-names":false,"suffix":""},{"dropping-particle":"","family":"Johnson","given":"David","non-dropping-particle":"","parse-names":false,"suffix":""},{"dropping-particle":"","family":"Marchant","given":"Colin","non-dropping-particle":"","parse-names":false,"suffix":""},{"dropping-particle":"","family":"Plotkin","given":"Stanley","non-dropping-particle":"","parse-names":false,"suffix":""}],"container-title":"Clinical Infectious Diseases","id":"ITEM-1","issue":"12","issued":{"date-parts":[["2012"]]},"page":"1756-1764","title":"Clinical definitions of pertussis: Summary of a global pertussis initiative roundtable meeting, February 2011","type":"article-journal","volume":"54"},"uris":["http://www.mendeley.com/documents/?uuid=7dec0ddc-3046-47a4-be3e-03c30452744f","http://www.mendeley.com/documents/?uuid=296246fd-e0cc-4722-8c67-b6cd2072cb71","http://www.mendeley.com/documents/?uuid=8a558e76-1321-4af4-a821-1c68e0a5d22c"]}],"mendeley":{"formattedCitation":"(Cherry et al., 2012)","plainTextFormattedCitation":"(Cherry et al., 2012)","previouslyFormattedCitation":"(Cherry et al.,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(Cherry et al.,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definition for a laboratory confirmed case of pertussis, on the other hand, includes isolation of </w:t>
      </w:r>
      <w:r w:rsidRPr="003D2D46">
        <w:rPr>
          <w:rFonts w:ascii="Times New Roman" w:hAnsi="Times New Roman" w:cs="Times New Roman"/>
          <w:i/>
          <w:iCs/>
          <w:color w:val="000000" w:themeColor="text1"/>
        </w:rPr>
        <w:t>B. pertussis</w:t>
      </w:r>
      <w:r w:rsidRPr="003D2D46">
        <w:rPr>
          <w:rFonts w:ascii="Times New Roman" w:hAnsi="Times New Roman" w:cs="Times New Roman"/>
          <w:color w:val="000000" w:themeColor="text1"/>
        </w:rPr>
        <w:t xml:space="preserve"> through culture, detection by PCR, or positive paired serology </w:t>
      </w:r>
      <w:r w:rsidRPr="003D2D46">
        <w:rPr>
          <w:rFonts w:ascii="Times New Roman" w:hAnsi="Times New Roman" w:cs="Times New Roman"/>
          <w:color w:val="000000" w:themeColor="text1"/>
        </w:rPr>
        <w:fldChar w:fldCharType="begin" w:fldLock="1"/>
      </w:r>
      <w:r w:rsidR="00C607E9" w:rsidRPr="003D2D46">
        <w:rPr>
          <w:rFonts w:ascii="Times New Roman" w:hAnsi="Times New Roman" w:cs="Times New Roman"/>
          <w:color w:val="000000" w:themeColor="text1"/>
        </w:rPr>
        <w:instrText>ADDIN CSL_CITATION {"citationItems":[{"id":"ITEM-1","itemData":{"author":[{"dropping-particle":"","family":"World Health Organization (WHO)","given":"","non-dropping-particle":"","parse-names":false,"suffix":""}],"id":"ITEM-1","issue":"October 2000","issued":{"date-parts":[["2001"]]},"number-of-pages":"16-18","title":"Pertussis surveillance: A global meeting, Geneva 16-18 October 2000","type":"report"},"uris":["http://www.mendeley.com/documents/?uuid=595add7d-60cb-40a9-bc4a-0aea8bedd7d3","http://www.mendeley.com/documents/?uuid=5f450935-4c99-4da8-96aa-8227e695214c","http://www.mendeley.com/documents/?uuid=c0c7774b-fd1e-4a98-b602-2c6799bf8fd7"]}],"mendeley":{"formattedCitation":"(World Health Organization (WHO), 2001)","plainTextFormattedCitation":"(World Health Organization (WHO), 2001)","previouslyFormattedCitation":"(World Health Organization (WHO), 2001)"},"properties":{"noteIndex":0},"schema":"https://github.com/citation-style-language/schema/raw/master/csl-citation.json"}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607E9" w:rsidRPr="003D2D46">
        <w:rPr>
          <w:rFonts w:ascii="Times New Roman" w:hAnsi="Times New Roman" w:cs="Times New Roman"/>
          <w:noProof/>
          <w:color w:val="000000" w:themeColor="text1"/>
        </w:rPr>
        <w:t>(World Health Organization (WHO), 2001)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04DE5DA" w14:textId="77777777" w:rsidR="00292AAF" w:rsidRPr="003D2D46" w:rsidRDefault="00292AAF" w:rsidP="00292AAF">
      <w:pPr>
        <w:spacing w:line="480" w:lineRule="auto"/>
        <w:rPr>
          <w:rFonts w:ascii="Times New Roman" w:hAnsi="Times New Roman" w:cs="Times New Roman"/>
          <w:color w:val="000000" w:themeColor="text1"/>
        </w:rPr>
      </w:pPr>
    </w:p>
    <w:p w14:paraId="47778DCC" w14:textId="1C9D7987" w:rsidR="00292AAF" w:rsidRPr="003D2D46" w:rsidRDefault="00292AAF" w:rsidP="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In the United States, the clinical pertussis case definition by the CSTE is “a cough lasting greater than or equal to two weeks with at least one of the following signs or symptoms (in the absence of a more likely diagnosis): paroxysms of coughing, inspiratory whoop, post-tussive vomiting, or apnea (with or without cyanosis)”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{"citationItems":[{"id":"ITEM-1","itemData":{"ISSN":"2499-9954","author":[{"dropping-particle":"","family":"Council of State and Territorial Epidemiologists","given":"","non-dropping-particle":"","parse-names":false,"suffix":""}],"id":"ITEM-1","issued":{"date-parts":[["2019"]]},"publisher-place":"Atlanta, GA","title":"Revision to the Case Definition for National Pertussis Surveillance","type":"webpage"},"uris":["http://www.mendeley.com/documents/?uuid=8527b766-f409-4b53-bbda-02828c8bf179","http://www.mendeley.com/documents/?uuid=e4e0599c-82a4-417c-a21a-cf61cf362bdd","http://www.mendeley.com/documents/?uuid=d8670215-8887-473f-ac3f-86d57d10305e"]}],"mendeley":{"formattedCitation":"(Council of State and Territorial Epidemiologists, 2019)","plainTextFormattedCitation":"(Council of State and Territorial Epidemiologists, 2019)","previouslyFormattedCitation":"(Council of State and Territorial Epidemiologists,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(Council of State and Territorial Epidemiologists,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CSTE laboratory criteria for diagnosis of the disease also includes isolation of </w:t>
      </w:r>
      <w:r w:rsidRPr="003D2D46">
        <w:rPr>
          <w:rFonts w:ascii="Times New Roman" w:hAnsi="Times New Roman" w:cs="Times New Roman"/>
          <w:i/>
          <w:iCs/>
          <w:color w:val="000000" w:themeColor="text1"/>
        </w:rPr>
        <w:t>B. pertussis</w:t>
      </w:r>
      <w:r w:rsidRPr="003D2D46">
        <w:rPr>
          <w:rFonts w:ascii="Times New Roman" w:hAnsi="Times New Roman" w:cs="Times New Roman"/>
          <w:color w:val="000000" w:themeColor="text1"/>
        </w:rPr>
        <w:t xml:space="preserve"> from a clinical specimen through culture or positive PCR for </w:t>
      </w:r>
      <w:r w:rsidRPr="003D2D46">
        <w:rPr>
          <w:rFonts w:ascii="Times New Roman" w:hAnsi="Times New Roman" w:cs="Times New Roman"/>
          <w:i/>
          <w:iCs/>
          <w:color w:val="000000" w:themeColor="text1"/>
        </w:rPr>
        <w:t xml:space="preserve">B. pertussis. </w:t>
      </w:r>
      <w:r w:rsidRPr="003D2D46">
        <w:rPr>
          <w:rFonts w:ascii="Times New Roman" w:hAnsi="Times New Roman" w:cs="Times New Roman"/>
          <w:color w:val="000000" w:themeColor="text1"/>
        </w:rPr>
        <w:t xml:space="preserve">The CSTE also presents criteria for a probable case, which </w:t>
      </w:r>
      <w:r w:rsidRPr="003D2D46">
        <w:rPr>
          <w:rFonts w:ascii="Times New Roman" w:hAnsi="Times New Roman" w:cs="Times New Roman"/>
          <w:color w:val="000000" w:themeColor="text1"/>
        </w:rPr>
        <w:lastRenderedPageBreak/>
        <w:t xml:space="preserve">include meeting the clinical criteria in absence of a more likely diagnosis or having epidemiologic linkage through known contact with a laboratory confirmed case </w:t>
      </w:r>
      <w:r w:rsidRPr="003D2D46">
        <w:rPr>
          <w:rFonts w:ascii="Times New Roman" w:hAnsi="Times New Roman" w:cs="Times New Roman"/>
          <w:i/>
          <w:iCs/>
          <w:color w:val="000000" w:themeColor="text1"/>
        </w:rPr>
        <w:t>and</w:t>
      </w:r>
      <w:r w:rsidRPr="003D2D46">
        <w:rPr>
          <w:rFonts w:ascii="Times New Roman" w:hAnsi="Times New Roman" w:cs="Times New Roman"/>
          <w:color w:val="000000" w:themeColor="text1"/>
        </w:rPr>
        <w:t xml:space="preserve"> having a cough of any duration with at least one of the following symptoms: paroxysmal cough, inspiratory whooping, post-tussive vomiting, or apnea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{"citationItems":[{"id":"ITEM-1","itemData":{"ISSN":"2499-9954","author":[{"dropping-particle":"","family":"Council of State and Territorial Epidemiologists","given":"","non-dropping-particle":"","parse-names":false,"suffix":""}],"id":"ITEM-1","issued":{"date-parts":[["2019"]]},"publisher-place":"Atlanta, GA","title":"Revision to the Case Definition for National Pertussis Surveillance","type":"webpage"},"uris":["http://www.mendeley.com/documents/?uuid=d8670215-8887-473f-ac3f-86d57d10305e","http://www.mendeley.com/documents/?uuid=e4e0599c-82a4-417c-a21a-cf61cf362bdd","http://www.mendeley.com/documents/?uuid=8527b766-f409-4b53-bbda-02828c8bf179"]}],"mendeley":{"formattedCitation":"(Council of State and Territorial Epidemiologists, 2019)","plainTextFormattedCitation":"(Council of State and Territorial Epidemiologists, 2019)","previouslyFormattedCitation":"(Council of State and Territorial Epidemiologists,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(Council of State and Territorial Epidemiologists,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5087AE64" w14:textId="77777777" w:rsidR="004B759B" w:rsidRPr="003D2D46" w:rsidRDefault="004B759B" w:rsidP="00580A15">
      <w:pPr>
        <w:spacing w:line="480" w:lineRule="auto"/>
        <w:rPr>
          <w:rFonts w:ascii="Times New Roman" w:hAnsi="Times New Roman" w:cs="Times New Roman"/>
          <w:color w:val="000000" w:themeColor="text1"/>
        </w:rPr>
      </w:pPr>
    </w:p>
    <w:p w14:paraId="003A0E0B" w14:textId="77777777" w:rsidR="004B759B" w:rsidRPr="003D2D46" w:rsidRDefault="00EA09C6">
      <w:pPr>
        <w:pStyle w:val="Heading41111"/>
        <w:spacing w:line="480" w:lineRule="auto"/>
        <w:rPr>
          <w:rFonts w:cs="Times New Roman"/>
          <w:color w:val="000000" w:themeColor="text1"/>
        </w:rPr>
      </w:pPr>
      <w:bookmarkStart w:id="25" w:name="_Toc81647064"/>
      <w:bookmarkStart w:id="26" w:name="_Toc82445504"/>
      <w:bookmarkStart w:id="27" w:name="_Toc87797065"/>
      <w:r w:rsidRPr="003D2D46">
        <w:rPr>
          <w:rFonts w:cs="Times New Roman"/>
          <w:color w:val="000000" w:themeColor="text1"/>
        </w:rPr>
        <w:t>2.4.2</w:t>
      </w:r>
      <w:r w:rsidR="004B759B" w:rsidRPr="003D2D46">
        <w:rPr>
          <w:rFonts w:cs="Times New Roman"/>
          <w:color w:val="000000" w:themeColor="text1"/>
        </w:rPr>
        <w:t xml:space="preserve"> Treatment</w:t>
      </w:r>
      <w:bookmarkEnd w:id="25"/>
      <w:bookmarkEnd w:id="26"/>
      <w:bookmarkEnd w:id="27"/>
      <w:r w:rsidR="004B759B" w:rsidRPr="003D2D46">
        <w:rPr>
          <w:rFonts w:cs="Times New Roman"/>
          <w:color w:val="000000" w:themeColor="text1"/>
        </w:rPr>
        <w:t xml:space="preserve"> </w:t>
      </w:r>
    </w:p>
    <w:p w14:paraId="4E397C0F" w14:textId="5FEF9599"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Antimicrobial treatment does not lessen the severity of pertussis illness unless it is started early in the course of infection, specifically prior to the onset of paroxysmal coughing. Three macrolide antibiotics (azithromycin, erythromycin, and clarithromycin) are recommended for treatment of pertussis. The most commonly used antibiotic is azithromycin, because it requires a short (5 day) course of treatment and is preferred amongst the macrolides for infants younger than one month. Caution is indicated for macrolide use in infants less than one month old because of its potential association with infantile hypertrophic pyloric stenosis (IHPS). However, macrolides are still used because the risk of IHPS in infants is lower than the risk of developing severe complications from pertussis infection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Prevention","given":"","non-dropping-particle":"","parse-names":false,"suffix":""}],"id":"ITEM-1","issued":{"date-parts":[["2005"]]},"page":"1-16","title":"Recommended Antimicrobial Agents for the Treatment and Postexposure Prophylaxis of Pertussis","type":"webpage"},"uris":["http://www.mendeley.com/documents/?uuid=4b0cc4fa-028a-417a-879c-fa1a69f9b9d7","http://www.mendeley.com/documents/?uuid=476aca68-55fb-4e17-b179-11b405d3f4f4","http://www.mendeley.com/documents/?uuid=52f3738d-997f-4068-ae9e-a28c31928a74"]}],"mendeley":{"formattedCitation":"(Centers for Disease Control and Prevention, 2005)","plainTextFormattedCitation":"(Centers for Disease Control and Prevention, 2005)","previouslyFormattedCitation":"(Centers for Disease Control and Prevention, 2005)"},"properties":{"noteIndex":0},"schema":"https://github.com/citation-style-language/schema/raw/master/csl-citation.json"}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(Centers for Disease Control and Prevention, 2005)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Trimethoprim-sulfamethoxazole (TMP-SMZ) is recommended for infants older than 2 months when macrolides are contraindicated or when antibiotic resistance is suspected. The Centers for Disease Control and Prevention recommend macrolide antibiotic chemoprophylaxis for any high risk contacts and household contacts of a pertussis patient for outbreak control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prauer","given":"MA","non-dropping-particle":"","parse-names":false,"suffix":""},{"dropping-particle":"","family":"Cochi","given":"SL","non-dropping-particle":"","parse-names":false,"suffix":""},{"dropping-particle":"","family":"Zell","given":"ER","non-dropping-particle":"","parse-names":false,"suffix":""},{"dropping-particle":"","family":"Sutter","given":"RW","non-dropping-particle":"","parse-names":false,"suffix":""},{"dropping-particle":"","family":"Mullen","given":"JR","non-dropping-particle":"","parse-names":false,"suffix":""},{"dropping-particle":"","family":"Englender","given":"SJ","non-dropping-particle":"","parse-names":false,"suffix":""},{"dropping-particle":"","family":"Patriarca","given":"PA","non-dropping-particle":"","parse-names":false,"suffix":""}],"container-title":"Am J Dis Child","id":"ITEM-1","issue":"2","issued":{"date-parts":[["1992"]]},"page":"177-81","title":"Prevention of secondary transmission of pertussis in households with early use of erythromycin","type":"article-journal","volume":"146"},"uris":["http://www.mendeley.com/documents/?uuid=b34a480d-a6a6-45a3-a652-68f6c3d806e1","http://www.mendeley.com/documents/?uuid=054f6325-d997-464c-96e3-ec1e726a6dc9","http://www.mendeley.com/documents/?uuid=84f82837-6caf-4b41-a9a1-ac33b96c3a1d"]},{"id":"ITEM-2","itemData":{"author":[{"dropping-particle":"","family":"Centers for Disease Control and Prevention","given":"","non-dropping-particle":"","parse-names":false,"suffix":""}],"id":"ITEM-2","issued":{"date-parts":[["2005"]]},"page":"1-16","title":"Recommended Antimicrobial Agents for the Treatment and Postexposure Prophylaxis of Pertussis","type":"webpage"},"uris":["http://www.mendeley.com/documents/?uuid=52f3738d-997f-4068-ae9e-a28c31928a74","http://www.mendeley.com/documents/?uuid=476aca68-55fb-4e17-b179-11b405d3f4f4","http://www.mendeley.com/documents/?uuid=4b0cc4fa-028a-417a-879c-fa1a69f9b9d7"]}],"mendeley":{"formattedCitation":"(Sprauer et al., 1992; Centers for Disease Control and Prevention, 2005)","plainTextFormattedCitation":"(Sprauer et al., 1992; Centers for Disease Control and Prevention, 2005)","previouslyFormattedCitation":"(Sprauer et al., 1992; Centers for Disease Control and Prevention, 2005)"},"properties":{"noteIndex":0},"schema":"https://github.com/citation-style-language/schema/raw/master/csl-citation.json"}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 xml:space="preserve">(Sprauer et al., 1992; Centers for Disease Control </w:t>
      </w:r>
      <w:r w:rsidR="00C736C1" w:rsidRPr="003D2D46">
        <w:rPr>
          <w:rFonts w:ascii="Times New Roman" w:hAnsi="Times New Roman" w:cs="Times New Roman"/>
          <w:noProof/>
          <w:color w:val="000000" w:themeColor="text1"/>
        </w:rPr>
        <w:lastRenderedPageBreak/>
        <w:t>and Prevention, 2005)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i/>
          <w:iCs/>
          <w:color w:val="000000" w:themeColor="text1"/>
        </w:rPr>
        <w:t xml:space="preserve">B. pertussis </w:t>
      </w:r>
      <w:r w:rsidRPr="003D2D46">
        <w:rPr>
          <w:rFonts w:ascii="Times New Roman" w:hAnsi="Times New Roman" w:cs="Times New Roman"/>
          <w:color w:val="000000" w:themeColor="text1"/>
        </w:rPr>
        <w:t xml:space="preserve">resistance to macrolide antibiotics is rare, though some studies have reported that </w:t>
      </w:r>
      <w:r w:rsidRPr="003D2D46">
        <w:rPr>
          <w:rFonts w:ascii="Times New Roman" w:hAnsi="Times New Roman" w:cs="Times New Roman"/>
          <w:i/>
          <w:iCs/>
          <w:color w:val="000000" w:themeColor="text1"/>
        </w:rPr>
        <w:t>B. parapertussis</w:t>
      </w:r>
      <w:r w:rsidRPr="003D2D46">
        <w:rPr>
          <w:rFonts w:ascii="Times New Roman" w:hAnsi="Times New Roman" w:cs="Times New Roman"/>
          <w:color w:val="000000" w:themeColor="text1"/>
        </w:rPr>
        <w:t xml:space="preserve"> is less susceptible to macrolide antibiotics. Other studies, however, have reported that macrolides (including azithromycin, erythromycin, clarithromycin), TMP-SMZ, and ciprofloxacin are useful when treating </w:t>
      </w:r>
      <w:r w:rsidRPr="003D2D46">
        <w:rPr>
          <w:rFonts w:ascii="Times New Roman" w:hAnsi="Times New Roman" w:cs="Times New Roman"/>
          <w:i/>
          <w:iCs/>
          <w:color w:val="000000" w:themeColor="text1"/>
        </w:rPr>
        <w:t xml:space="preserve">Bordetella parapertussis </w:t>
      </w:r>
      <w:r w:rsidRPr="003D2D46">
        <w:rPr>
          <w:rFonts w:ascii="Times New Roman" w:hAnsi="Times New Roman" w:cs="Times New Roman"/>
          <w:color w:val="000000" w:themeColor="text1"/>
        </w:rPr>
        <w:t xml:space="preserve">infections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{"citationItems":[{"id":"ITEM-1","itemData":{"DOI":"10.1128/aac.42.4.965","ISSN":"00664804","PMID":"9559823","abstract":"When tested by agar dilution on Mueller-Hinton agar supplemented with 5% horse blood, the ketolides HMR 3004 and HMR 3647 were slightly more active (MIC at which 90% of the isolates were inhibited [MIC 90], 0.03 μg/ml) against Bordetella pertussis than azithromycin. clarithromycin, erythromycin A, and roxithromycin. Azithromycin (MIC 90, 0.06 μg/ml) was the most active compound against B. parapertussis. Rifampin and rifapentine were considerably less active.","author":[{"dropping-particle":"","family":"Hoppe","given":"Jörg E.","non-dropping-particle":"","parse-names":false,"suffix":""},{"dropping-particle":"","family":"Bryskier","given":"André","non-dropping-particle":"","parse-names":false,"suffix":""}],"container-title":"Antimicrobial Agents and Chemotherapy","id":"ITEM-1","issue":"4","issued":{"date-parts":[["1998"]]},"page":"965-966","title":"In vitro susceptibilities of Bordetella pertussis and Bordetella parapertussis to two ketolides (HMR 3004 and HMR 3647), four macrolides (Azithromycin, clarithromycin, erythromycin A, and roxithromycin), and two ansamycins (Rifampin and rifapentine)","type":"article-journal","volume":"42"},"uris":["http://www.mendeley.com/documents/?uuid=943a8d02-20e8-4e33-8c53-8549d9134e69","http://www.mendeley.com/documents/?uuid=2f705809-fee0-41e7-a70c-fb158cc5b6b6","http://www.mendeley.com/documents/?uuid=46cc9301-a1bf-4bf0-87cd-bbb8053da72d"]},{"id":"ITEM-2","itemData":{"DOI":"10.1128/aac.40.3.807","ISSN":"00664804","PMID":"8851619","abstract":"The in vitro activities of levofloxacin, ofloxacin, d-ofloxacin, ciprofloxacin, cefpirome, and meropenem against 34 clinical isolates each of Bordetella pertussis and Bordetella parapertussis were determined by agar dilution on Mueller-Hinton agar supplemented with 5% horse blood. Levofloxacin was as active as ciprofloxacin against both species (MIC, 0.06 μg/ml) and more active than ofloxacin and d-ofloxacin. Cefpirome was more active against B. pertussis (MIC, 1.0 μg/ml) than against B. parapertussis (MIC, &gt;2 μg/ml), while the reverse was true for meropenem (MIC, 2.0 μg/ml against B. pertussis and 1.0 μg/ml against B. parapertussis).","author":[{"dropping-particle":"","family":"Hoppe","given":"Jörg E.","non-dropping-particle":"","parse-names":false,"suffix":""},{"dropping-particle":"","family":"Rahimi-Galougahi","given":"Eynollah","non-dropping-particle":"","parse-names":false,"suffix":""},{"dropping-particle":"","family":"Seibert","given":"Gerhard","non-dropping-particle":"","parse-names":false,"suffix":""}],"container-title":"Antimicrobial Agents and Chemotherapy","id":"ITEM-2","issue":"3","issued":{"date-parts":[["1996"]]},"page":"807-808","title":"In vitro susceptibilities of Bordetella pertussis and Bordetella parapertussis to four fluoroquinolones (levofloxacin, d-ofloxacin, ofloxacin, and ciprofloxacin), cefpirome, and meropenem","type":"article-journal","volume":"40"},"uris":["http://www.mendeley.com/documents/?uuid=14479870-bb11-4a3a-9be5-184c6fa8e9c9","http://www.mendeley.com/documents/?uuid=fa108199-dd3f-46ff-b684-8038a24e3939","http://www.mendeley.com/documents/?uuid=1222bc66-d02c-466a-b31f-23f2b29a0481"]},{"id":"ITEM-3","itemData":{"author":[{"dropping-particle":"","family":"Centers for Disease Control and Prevention","given":"","non-dropping-particle":"","parse-names":false,"suffix":""}],"id":"ITEM-3","issued":{"date-parts":[["2005"]]},"page":"1-16","title":"Recommended Antimicrobial Agents for the Treatment and Postexposure Prophylaxis of Pertussis","type":"webpage"},"uris":["http://www.mendeley.com/documents/?uuid=52f3738d-997f-4068-ae9e-a28c31928a74","http://www.mendeley.com/documents/?uuid=476aca68-55fb-4e17-b179-11b405d3f4f4","http://www.mendeley.com/documents/?uuid=4b0cc4fa-028a-417a-879c-fa1a69f9b9d7"]}],"mendeley":{"formattedCitation":"(Hoppe, Rahimi-Galougahi &amp; Seibert, 1996; Hoppe &amp; Bryskier, 1998; Centers for Disease Control and Prevention, 2005)","plainTextFormattedCitation":"(Hoppe, Rahimi-Galougahi &amp; Seibert, 1996; Hoppe &amp; Bryskier, 1998; Centers for Disease Control and Prevention, 2005)","previouslyFormattedCitation":"(Hoppe, Rahimi-Galougahi &amp; Seibert, 1996; Hoppe &amp; Bryskier, 1998; Centers for Disease Control and Prevention, 2005)"},"properties":{"noteIndex":0},"schema":"https://github.com/citation-style-language/schema/raw/master/csl-citation.json"}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(Hoppe, Rahimi-Galougahi &amp; Seibert, 1996; Hoppe &amp; Bryskier, 1998; Centers for Disease Control and Prevention, 2005)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E5930E8" w14:textId="77777777" w:rsidR="004B759B" w:rsidRPr="003D2D46" w:rsidRDefault="004B759B" w:rsidP="000F5D77">
      <w:pPr>
        <w:spacing w:line="480" w:lineRule="auto"/>
        <w:rPr>
          <w:rFonts w:ascii="Times New Roman" w:hAnsi="Times New Roman" w:cs="Times New Roman"/>
          <w:color w:val="000000" w:themeColor="text1"/>
        </w:rPr>
      </w:pPr>
    </w:p>
    <w:p w14:paraId="0EB5F3E6" w14:textId="77777777" w:rsidR="004B759B" w:rsidRPr="003D2D46" w:rsidRDefault="00EA09C6">
      <w:pPr>
        <w:pStyle w:val="Heading3"/>
        <w:spacing w:before="0" w:after="0" w:line="480" w:lineRule="auto"/>
        <w:rPr>
          <w:rFonts w:ascii="Times New Roman" w:hAnsi="Times New Roman" w:cs="Times New Roman"/>
          <w:color w:val="000000" w:themeColor="text1"/>
          <w:szCs w:val="24"/>
        </w:rPr>
      </w:pPr>
      <w:bookmarkStart w:id="28" w:name="_Toc81647065"/>
      <w:bookmarkStart w:id="29" w:name="_Toc82445505"/>
      <w:bookmarkStart w:id="30" w:name="_Toc87797066"/>
      <w:r w:rsidRPr="003D2D46">
        <w:rPr>
          <w:rFonts w:ascii="Times New Roman" w:hAnsi="Times New Roman" w:cs="Times New Roman"/>
          <w:color w:val="000000" w:themeColor="text1"/>
          <w:szCs w:val="24"/>
        </w:rPr>
        <w:t>2.5</w:t>
      </w:r>
      <w:r w:rsidR="004B759B" w:rsidRPr="003D2D46">
        <w:rPr>
          <w:rFonts w:ascii="Times New Roman" w:hAnsi="Times New Roman" w:cs="Times New Roman"/>
          <w:color w:val="000000" w:themeColor="text1"/>
          <w:szCs w:val="24"/>
        </w:rPr>
        <w:t xml:space="preserve"> Transmission</w:t>
      </w:r>
      <w:bookmarkEnd w:id="28"/>
      <w:bookmarkEnd w:id="29"/>
      <w:bookmarkEnd w:id="30"/>
      <w:r w:rsidR="004B759B" w:rsidRPr="003D2D46">
        <w:rPr>
          <w:rFonts w:ascii="Times New Roman" w:hAnsi="Times New Roman" w:cs="Times New Roman"/>
          <w:color w:val="000000" w:themeColor="text1"/>
          <w:szCs w:val="24"/>
        </w:rPr>
        <w:t xml:space="preserve"> </w:t>
      </w:r>
    </w:p>
    <w:p w14:paraId="755A7A32" w14:textId="23A49423" w:rsidR="00292AAF" w:rsidRPr="003D2D46" w:rsidRDefault="00292AAF">
      <w:pPr>
        <w:spacing w:line="480" w:lineRule="auto"/>
        <w:rPr>
          <w:rFonts w:ascii="Times New Roman" w:hAnsi="Times New Roman" w:cs="Times New Roman"/>
          <w:color w:val="000000" w:themeColor="text1"/>
        </w:rPr>
      </w:pPr>
      <w:r w:rsidRPr="003D2D46">
        <w:rPr>
          <w:rFonts w:ascii="Times New Roman" w:hAnsi="Times New Roman" w:cs="Times New Roman"/>
          <w:i/>
          <w:iCs/>
          <w:color w:val="000000" w:themeColor="text1"/>
        </w:rPr>
        <w:t xml:space="preserve">Bordetella pertussis </w:t>
      </w:r>
      <w:r w:rsidRPr="003D2D46">
        <w:rPr>
          <w:rFonts w:ascii="Times New Roman" w:hAnsi="Times New Roman" w:cs="Times New Roman"/>
          <w:color w:val="000000" w:themeColor="text1"/>
        </w:rPr>
        <w:t xml:space="preserve">has been thought to be transmitted through aerosolized respiratory droplets but it was not until 2012 that this mode of transmission was documented in a controlled study in a baboon challenge trial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{"citationItems":[{"id":"ITEM-1","itemData":{"DOI":"10.1097/01.inf.0000160909.24879.e6","ISSN":"08913668","PMID":"15876919","abstract":"Vaccination against pertussis has resulted in reduction of the infection pressure of Bordetella pertussis (partial herd immunity), but the circulation of B. pertussis has persisted as a consequence of waning of vaccine-induced and naturally acquired immunity. An increase in the reported incidence of B. pertussis infection in older children, adolescents and young adults has been noted, resulting in a perceived resurgence of the disease in these age groups. Regardless of whether this resurgence is real or not, older groups are increasingly recognized as playing an important role in transmitting B. pertussis infection to incompletely immunized infants, in whom pertussis disease continues to cause severe and fatal illness, albeit at much lower levels than in the prevaccine era. Several studies have suggested that mothers, in particular, are a significant source of infection for infants. Adolescents, grandparents and health care workers can also play a role. By contrast, most adolescents acquire the infection from schoolmates and friends, whereas for adults the main sources are children and work colleagues. Furthermore teachers, child care workers and health care workers could be at increased risk of being exposed to, and transmitting, B. pertussis infection. Current immunization strategies inadequately control the circulation of B, pertussis, in part because of suboptimal adherence to current pediatric immunization guidelines. In addition to efforts to improve pertussis immunization rates in children, the expansion of pertussis immunization to target specific groups should be considered. Besides reducing morbidity in the targeted groups, these strategies could decrease the residual burden of pertussis morbidity and mortality in infants. Copyright © 2005 by Lippincott Williams &amp; Wilkins.","author":[{"dropping-particle":"","family":"Schellekens","given":"Joop","non-dropping-particle":"","parse-names":false,"suffix":""},{"dropping-particle":"","family":"König","given":"Carl Heinz Wirsing","non-dropping-particle":"Von","parse-names":false,"suffix":""},{"dropping-particle":"","family":"Gardner","given":"Pierce","non-dropping-particle":"","parse-names":false,"suffix":""}],"container-title":"Pediatric Infectious Disease Journal","id":"ITEM-1","issue":"5 SUPPL.","issued":{"date-parts":[["2005"]]},"page":"19-24","title":"Pertussis sources of infection and routes of transmission in the vaccination era","type":"article-journal","volume":"24"},"uris":["http://www.mendeley.com/documents/?uuid=6886225f-7bdb-4d5a-8a18-2ca67fe5aa73","http://www.mendeley.com/documents/?uuid=e1367ff0-0350-4efd-84bc-e3dd1afea1cc","http://www.mendeley.com/documents/?uuid=b4c04b93-6ea1-438c-9778-998427654b2e"]},{"id":"ITEM-2","itemData":{"DOI":"10.1093/infdis/jis443","ISSN":"00221899","PMID":"22807521","abstract":"Pertussis is a contagious, acute respiratory illness caused by the bacterial pathogen Bordetella pertussis. Although it is widely believed that transmission of B. pertussis occurs via aerosolized respiratory droplets, no controlled study has ever documented airborne transmission of pertussis. We set out to determine if airborne transmission occurs between infected and naive animals, utilizing the baboon model of pertussis. Our results showed that 100 of exposed naive animals became infected even when physical contact was prevented, demonstrating that pertussis transmission occurs via aerosolized respiratory droplets. © 2012 The Author.","author":[{"dropping-particle":"","family":"Warfel","given":"Jason M.","non-dropping-particle":"","parse-names":false,"suffix":""},{"dropping-particle":"","family":"Beren","given":"Joel","non-dropping-particle":"","parse-names":false,"suffix":""},{"dropping-particle":"","family":"Merkel","given":"Tod J.","non-dropping-particle":"","parse-names":false,"suffix":""}],"container-title":"Journal of Infectious Diseases","id":"ITEM-2","issue":"6","issued":{"date-parts":[["2012"]]},"page":"902-906","title":"Airborne transmission of bordetella pertussis","type":"article-journal","volume":"206"},"uris":["http://www.mendeley.com/documents/?uuid=6fc79a8e-dd79-4603-bba3-fdae99f8beab","http://www.mendeley.com/documents/?uuid=a81e3ed1-6639-4dad-a4e0-c34e6974cd56","http://www.mendeley.com/documents/?uuid=807cc2a4-22ff-493f-b0f6-d5c9a8d5f1e9"]}],"mendeley":{"formattedCitation":"(Schellekens, Von König &amp; Gardner, 2005; Warfel, Beren &amp; Merkel, 2012)","plainTextFormattedCitation":"(Schellekens, Von König &amp; Gardner, 2005; Warfel, Beren &amp; Merkel, 2012)","previouslyFormattedCitation":"(Schellekens, Von König &amp; Gardner, 2005; Warfel, Beren &amp; Merkel,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(Schellekens, Von König &amp; Gardner, 2005; Warfel, Beren &amp; Merkel,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While the mode of transmission has only recently been confirmed through controlled studies, high transmissibility has been consistently documented in epidemiologic studies of outbreaks, in households, and in school settings. Adults and adolescents have been identified as important sources of infection for infants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Prevention","given":"","non-dropping-particle":"","parse-names":false,"suffix":""}],"container-title":"Epidemiology and Prevention of Vaccine-Preventable Diseases","edition":"13","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48c8246c-a82a-4636-a3ed-18874f033aaf","http://www.mendeley.com/documents/?uuid=de95c8d1-1ecc-4aef-aad5-b12d58ac9b81","http://www.mendeley.com/documents/?uuid=84b3b1c7-4c11-44b8-9b4d-681b2b03a344"]},{"id":"ITEM-2","itemData":{"DOI":"10.1097/01.inf.0000258699.64164.6d","ISSN":"08913668","PMID":"17414390","abstract":"BACKGROUND: Pertussis vaccination has reduced the number of notified cases in industrialized countries from peak years by more than 95%. The effect of recently recommended adult and adolescent vaccination strategies on infant pertussis depends, in part, on the proportion of infants infected by adults and adolescents. This proportion, however, remains unclear, because studies have not been able to determine the source case for 47%-60% of infant cases. METHODS: A prospective international multicenter study was conducted of laboratory confirmed infant pertussis cases (aged ≤6 months) and their household and nonhousehold contacts. Comprehensive diagnostic evaluation (including PCR and serology) was performed on all participants independent of symptoms. Source cases were identified and described by relationship to the infant, age and household status. RESULTS: The study population comprised 95 index cases and 404 contacts. The source of pertussis was identified for 48% of infants in the primary analysis and up to 78% in sensitivity analyses. In the primary analysis, parents accounted for 55% of source cases, followed by siblings (16%), aunts/uncles (10%), friends/cousins (10%), grandparents (6%) and part-time caretakers (2%). The distribution of source cases was robust to sensitivity analyses. CONCLUSIONS: This study provides solid evidence that among infants for whom a source case was identified, household members were responsible for 76%-83% of transmission of Bordetella pertussis to this high-risk group. Vaccination of adolescents and adults in close contact with young infants may thus eliminate a substantial proportion of infant pertussis if high coverage rates can be achieved. © 2007 Lippincott Williams &amp; Wilkins, Inc.","author":[{"dropping-particle":"","family":"Wendelboe","given":"Aaron M.","non-dropping-particle":"","parse-names":false,"suffix":""},{"dropping-particle":"","family":"Njamkepo","given":"Elisabeth","non-dropping-particle":"","parse-names":false,"suffix":""},{"dropping-particle":"","family":"Bourillon","given":"Antoine","non-dropping-particle":"","parse-names":false,"suffix":""},{"dropping-particle":"","family":"Floret","given":"D. Daniel","non-dropping-particle":"","parse-names":false,"suffix":""},{"dropping-particle":"","family":"Gaudelus","given":"Joel","non-dropping-particle":"","parse-names":false,"suffix":""},{"dropping-particle":"","family":"Gerber","given":"Michael","non-dropping-particle":"","parse-names":false,"suffix":""},{"dropping-particle":"","family":"Grimprel","given":"Emmanuel","non-dropping-particle":"","parse-names":false,"suffix":""},{"dropping-particle":"","family":"Greenberg","given":"David","non-dropping-particle":"","parse-names":false,"suffix":""},{"dropping-particle":"","family":"Halperin","given":"Scott","non-dropping-particle":"","parse-names":false,"suffix":""},{"dropping-particle":"","family":"Liese","given":"Johannes","non-dropping-particle":"","parse-names":false,"suffix":""},{"dropping-particle":"","family":"Muñoz-Rivas","given":"Flor","non-dropping-particle":"","parse-names":false,"suffix":""},{"dropping-particle":"","family":"Teyssou","given":"Remy","non-dropping-particle":"","parse-names":false,"suffix":""},{"dropping-particle":"","family":"Guiso","given":"Nicole","non-dropping-particle":"","parse-names":false,"suffix":""},{"dropping-particle":"","family":"Rie","given":"Annelies","non-dropping-particle":"Van","parse-names":false,"suffix":""}],"container-title":"Pediatric Infectious Disease Journal","id":"ITEM-2","issue":"4","issued":{"date-parts":[["2007"]]},"page":"293-299","title":"Transmission of Bordetella pertussis to young infants","type":"article-journal","volume":"26"},"uris":["http://www.mendeley.com/documents/?uuid=6014fca6-50e7-479a-86c2-669bca961ee4","http://www.mendeley.com/documents/?uuid=8efeedef-0374-4ee0-8e9e-646bdedc6cfc","http://www.mendeley.com/documents/?uuid=94385d04-43ed-42eb-9879-91e58ec6141b"]}],"mendeley":{"formattedCitation":"(Wendelboe et al., 2007; Centers for Disease Control and Prevention, 2015b)","plainTextFormattedCitation":"(Wendelboe et al., 2007; Centers for Disease Control and Prevention, 2015b)","previouslyFormattedCitation":"(Wendelboe et al., 2007; Centers for Disease Control and Prevention, 2015b)"},"properties":{"noteIndex":0},"schema":"https://github.com/citation-style-language/schema/raw/master/csl-citation.json"}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(Wendelboe et al., 2007; Centers for Disease Control and Prevention, 2015b)</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international prospective study of laboratory confirmed cases reported that parents accounted for 55% of cases followed by siblings (16%), friends or cousins (10%), and grandparents (6%)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{"citationItems":[{"id":"ITEM-1","itemData":{"DOI":"10.1097/01.inf.0000258699.64164.6d","ISSN":"08913668","PMID":"17414390","abstract":"BACKGROUND: Pertussis vaccination has reduced the number of notified cases in industrialized countries from peak years by more than 95%. The effect of recently recommended adult and adolescent vaccination strategies on infant pertussis depends, in part, on the proportion of infants infected by adults and adolescents. This proportion, however, remains unclear, because studies have not been able to determine the source case for 47%-60% of infant cases. METHODS: A prospective international multicenter study was conducted of laboratory confirmed infant pertussis cases (aged ≤6 months) and their household and nonhousehold contacts. Comprehensive diagnostic evaluation (including PCR and serology) was performed on all participants independent of symptoms. Source cases were identified and described by relationship to the infant, age and household status. RESULTS: The study population comprised 95 index cases and 404 contacts. The source of pertussis was identified for 48% of infants in the primary analysis and up to 78% in sensitivity analyses. In the primary analysis, parents accounted for 55% of source cases, followed by siblings (16%), aunts/uncles (10%), friends/cousins (10%), grandparents (6%) and part-time caretakers (2%). The distribution of source cases was robust to sensitivity analyses. CONCLUSIONS: This study provides solid evidence that among infants for whom a source case was identified, household members were responsible for 76%-83% of transmission of Bordetella pertussis to this high-risk group. Vaccination of adolescents and adults in close contact with young infants may thus eliminate a substantial proportion of infant pertussis if high coverage rates can be achieved. © 2007 Lippincott Williams &amp; Wilkins, Inc.","author":[{"dropping-particle":"","family":"Wendelboe","given":"Aaron M.","non-dropping-particle":"","parse-names":false,"suffix":""},{"dropping-particle":"","family":"Njamkepo","given":"Elisabeth","non-dropping-particle":"","parse-names":false,"suffix":""},{"dropping-particle":"","family":"Bourillon","given":"Antoine","non-dropping-particle":"","parse-names":false,"suffix":""},{"dropping-particle":"","family":"Floret","given":"D. Daniel","non-dropping-particle":"","parse-names":false,"suffix":""},{"dropping-particle":"","family":"Gaudelus","given":"Joel","non-dropping-particle":"","parse-names":false,"suffix":""},{"dropping-particle":"","family":"Gerber","given":"Michael","non-dropping-particle":"","parse-names":false,"suffix":""},{"dropping-particle":"","family":"Grimprel","given":"Emmanuel","non-dropping-particle":"","parse-names":false,"suffix":""},{"dropping-particle":"","family":"Greenberg","given":"David","non-dropping-particle":"","parse-names":false,"suffix":""},{"dropping-particle":"","family":"Halperin","given":"Scott","non-dropping-particle":"","parse-names":false,"suffix":""},{"dropping-particle":"","family":"Liese","given":"Johannes","non-dropping-particle":"","parse-names":false,"suffix":""},{"dropping-particle":"","family":"Muñoz-Rivas","given":"Flor","non-dropping-particle":"","parse-names":false,"suffix":""},{"dropping-particle":"","family":"Teyssou","given":"Remy","non-dropping-particle":"","parse-names":false,"suffix":""},{"dropping-particle":"","family":"Guiso","given":"Nicole","non-dropping-particle":"","parse-names":false,"suffix":""},{"dropping-particle":"","family":"Rie","given":"Annelies","non-dropping-particle":"Van","parse-names":false,"suffix":""}],"container-title":"Pediatric Infectious Disease Journal","id":"ITEM-1","issue":"4","issued":{"date-parts":[["2007"]]},"page":"293-299","title":"Transmission of Bordetella pertussis to young infants","type":"article-journal","volume":"26"},"uris":["http://www.mendeley.com/documents/?uuid=94385d04-43ed-42eb-9879-91e58ec6141b","http://www.mendeley.com/documents/?uuid=8efeedef-0374-4ee0-8e9e-646bdedc6cfc","http://www.mendeley.com/documents/?uuid=6014fca6-50e7-479a-86c2-669bca961ee4"]}],"mendeley":{"formattedCitation":"(Wendelboe et al., 2007)","plainTextFormattedCitation":"(Wendelboe et al., 2007)","previouslyFormattedCitation":"(Wendelboe et al.,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(Wendelboe et al.,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B0EC07C" w14:textId="77777777" w:rsidR="00292AAF" w:rsidRPr="003D2D46" w:rsidRDefault="00292AAF" w:rsidP="00292AAF">
      <w:pPr>
        <w:spacing w:line="480" w:lineRule="auto"/>
        <w:rPr>
          <w:rFonts w:ascii="Times New Roman" w:hAnsi="Times New Roman" w:cs="Times New Roman"/>
          <w:color w:val="000000" w:themeColor="text1"/>
        </w:rPr>
      </w:pPr>
    </w:p>
    <w:p w14:paraId="6FFB134F" w14:textId="0DA0A3F1" w:rsidR="00292AAF" w:rsidRPr="003D2D46" w:rsidRDefault="00292AAF" w:rsidP="000F5D7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Household transmission studies report attack rates ranging from 58% to 100%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{"citationItems":[{"id":"ITEM-1","itemData":{"DOI":"10.1093/infdis/jis443","ISSN":"00221899","PMID":"22807521","abstract":"Pertussis is a contagious, acute respiratory illness caused by the bacterial pathogen Bordetella pertussis. Although it is widely believed that transmission of B. pertussis occurs via aerosolized respiratory droplets, no controlled study has ever documented airborne transmission of pertussis. We set out to determine if airborne transmission occurs between infected and naive animals, utilizing the baboon model of pertussis. Our results showed that 100 of exposed naive animals became infected even when physical contact was prevented, demonstrating that pertussis transmission occurs via aerosolized respiratory droplets. © 2012 The Author.","author":[{"dropping-particle":"","family":"Warfel","given":"Jason M.","non-dropping-particle":"","parse-names":false,"suffix":""},{"dropping-particle":"","family":"Beren","given":"Joel","non-dropping-particle":"","parse-names":false,"suffix":""},{"dropping-particle":"","family":"Merkel","given":"Tod J.","non-dropping-particle":"","parse-names":false,"suffix":""}],"container-title":"Journal of Infectious Diseases","id":"ITEM-1","issue":"6","issued":{"date-parts":[["2012"]]},"page":"902-906","title":"Airborne transmission of bordetella pertussis","type":"article-journal","volume":"206"},"uris":["http://www.mendeley.com/documents/?uuid=807cc2a4-22ff-493f-b0f6-d5c9a8d5f1e9","http://www.mendeley.com/documents/?uuid=a81e3ed1-6639-4dad-a4e0-c34e6974cd56","http://www.mendeley.com/documents/?uuid=6fc79a8e-dd79-4603-bba3-fdae99f8beab"]}],"mendeley":{"formattedCitation":"(Warfel, Beren &amp; Merkel, 2012)","plainTextFormattedCitation":"(Warfel, Beren &amp; Merkel, 2012)","previouslyFormattedCitation":"(Warfel, Beren &amp; Merkel,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(Warfel, Beren &amp; Merkel,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Center for Disease Control and Prevention reports that the </w:t>
      </w:r>
      <w:r w:rsidRPr="003D2D46">
        <w:rPr>
          <w:rFonts w:ascii="Times New Roman" w:hAnsi="Times New Roman" w:cs="Times New Roman"/>
          <w:color w:val="000000" w:themeColor="text1"/>
        </w:rPr>
        <w:lastRenderedPageBreak/>
        <w:t xml:space="preserve">household attack rate is around 80%, though other studies have reported estimates ranging from 64% to 86%, with an average of 76%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{"citationItems":[{"id":"ITEM-1","itemData":{"author":[{"dropping-particle":"","family":"Stehr","given":"Klemens","non-dropping-particle":"","parse-names":false,"suffix":""},{"dropping-particle":"","family":"Cherry","given":"James D","non-dropping-particle":"","parse-names":false,"suffix":""},{"dropping-particle":"","family":"Heininger","given":"Ulrich","non-dropping-particle":"","parse-names":false,"suffix":""},{"dropping-particle":"","family":"Schmitt-grohe","given":"Sabina","non-dropping-particle":"","parse-names":false,"suffix":""},{"dropping-particle":"","family":"Laussucq","given":"Suzanne","non-dropping-particle":"","parse-names":false,"suffix":""},{"dropping-particle":"","family":"Eckhardt","given":"Thomas","non-dropping-particle":"","parse-names":false,"suffix":""},{"dropping-particle":"","family":"Meyer","given":"Martin","non-dropping-particle":"","parse-names":false,"suffix":""},{"dropping-particle":"","family":"Engelhardt","given":"Rita","non-dropping-particle":"","parse-names":false,"suffix":""},{"dropping-particle":"","family":"Christenson","given":"PD","non-dropping-particle":"","parse-names":false,"suffix":""}],"container-title":"Pediatrics","id":"ITEM-1","issue":"1","issued":{"date-parts":[["1998"]]},"title":"A Comparative Efficacy Trial in Germany in Infants Who Received Either the Lederle Whole-Cell Component DTP Vaccine , or DT Vaccine","type":"article-journal","volume":"101"},"uris":["http://www.mendeley.com/documents/?uuid=303235da-5d54-4930-8a21-b1c2dc6ae64b","http://www.mendeley.com/documents/?uuid=5a810124-7e47-44f3-9e4b-a0f4d157b514","http://www.mendeley.com/documents/?uuid=2c2d5363-de8d-4be6-9b53-5d5bf643f809"]},{"id":"ITEM-2","itemData":{"author":[{"dropping-particle":"","family":"Mertsola","given":"Jussi","non-dropping-particle":"","parse-names":false,"suffix":""},{"dropping-particle":"","family":"Ruuskanen","given":"Olli","non-dropping-particle":"","parse-names":false,"suffix":""},{"dropping-particle":"","family":"Eerola","given":"Erkki","non-dropping-particle":"","parse-names":false,"suffix":""},{"dropping-particle":"","family":"Viljanen","given":"Matti K","non-dropping-particle":"","parse-names":false,"suffix":""}],"container-title":"The Journal of Pediatrics","id":"ITEM-2","issue":"3","issued":{"date-parts":[["1983"]]},"page":"359-363","title":"Intrafamilial spread of pertussis","type":"article-journal","volume":"103"},"uris":["http://www.mendeley.com/documents/?uuid=9f21a4d7-f3ca-4efe-9524-3ece415a3735","http://www.mendeley.com/documents/?uuid=20e6a3e8-4773-423d-96da-83cbd21d287d","http://www.mendeley.com/documents/?uuid=74e5a7dc-17df-46cb-b4ef-da3caf0777a8"]},{"id":"ITEM-3","itemData":{"DOI":"10.1093/infdis/jis443","ISSN":"00221899","PMID":"22807521","abstract":"Pertussis is a contagious, acute respiratory illness caused by the bacterial pathogen Bordetella pertussis. Although it is widely believed that transmission of B. pertussis occurs via aerosolized respiratory droplets, no controlled study has ever documented airborne transmission of pertussis. We set out to determine if airborne transmission occurs between infected and naive animals, utilizing the baboon model of pertussis. Our results showed that 100 of exposed naive animals became infected even when physical contact was prevented, demonstrating that pertussis transmission occurs via aerosolized respiratory droplets. © 2012 The Author.","author":[{"dropping-particle":"","family":"Warfel","given":"Jason M.","non-dropping-particle":"","parse-names":false,"suffix":""},{"dropping-particle":"","family":"Beren","given":"Joel","non-dropping-particle":"","parse-names":false,"suffix":""},{"dropping-particle":"","family":"Merkel","given":"Tod J.","non-dropping-particle":"","parse-names":false,"suffix":""}],"container-title":"Journal of Infectious Diseases","id":"ITEM-3","issue":"6","issued":{"date-parts":[["2012"]]},"page":"902-906","title":"Airborne transmission of bordetella pertussis","type":"article-journal","volume":"206"},"uris":["http://www.mendeley.com/documents/?uuid=807cc2a4-22ff-493f-b0f6-d5c9a8d5f1e9","http://www.mendeley.com/documents/?uuid=a81e3ed1-6639-4dad-a4e0-c34e6974cd56","http://www.mendeley.com/documents/?uuid=6fc79a8e-dd79-4603-bba3-fdae99f8beab"]},{"id":"ITEM-4","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-4","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http://www.mendeley.com/documents/?uuid=faccab3e-6275-4d45-83cf-ff9fd942fcf7","http://www.mendeley.com/documents/?uuid=d8b54761-121b-4146-837e-fa7aaed629b8"]}],"mendeley":{"formattedCitation":"(Mertsola et al., 1983; Stehr et al., 1998; Warfel, Beren &amp; Merkel, 2012; Centers for Disease Control and Prevention, 2015a)","plainTextFormattedCitation":"(Mertsola et al., 1983; Stehr et al., 1998; Warfel, Beren &amp; Merkel, 2012; Centers for Disease Control and Prevention, 2015a)","previouslyFormattedCitation":"(Mertsola et al., 1983; Stehr et al., 1998; Warfel, Beren &amp; Merkel, 2012; 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(Mertsola et al., 1983; Stehr et al., 1998; Warfel, Beren &amp; Merkel, 2012; 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Transmission outside of the household has been reported as lower, though it is more difficult to quantify. Classroom studies from the United States and Canada have reported a range of attack rates from 0% to 36%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Brennan","given":"Muireann","non-dropping-particle":"","parse-names":false,"suffix":""},{"dropping-particle":"","family":"Strebel","given":"Peter","non-dropping-particle":"","parse-names":false,"suffix":""},{"dropping-particle":"","family":"George","given":"Harvey","non-dropping-particle":"","parse-names":false,"suffix":""},{"dropping-particle":"","family":"Yih","given":"W Katherine","non-dropping-particle":"","parse-names":false,"suffix":""},{"dropping-particle":"","family":"Tachdjian","given":"Raffi","non-dropping-particle":"","parse-names":false,"suffix":""},{"dropping-particle":"","family":"Lett","given":"Susan M","non-dropping-particle":"","parse-names":false,"suffix":""},{"dropping-particle":"","family":"Cassiday","given":"Pam","non-dropping-particle":"","parse-names":false,"suffix":""},{"dropping-particle":"","family":"Sanden","given":"Gary","non-dropping-particle":"","parse-names":false,"suffix":""},{"dropping-particle":"","family":"Wharton","given":"Melinda","non-dropping-particle":"","parse-names":false,"suffix":""}],"container-title":"The Journal of Infectious Diseases","id":"ITEM-1","issued":{"date-parts":[["2000"]]},"page":"210-215","title":"Evidence for Transmission of Pertussis in Schools, Massachusetts, 1996: Epidemiologic Data Supported by Pulsed-Field Gel Electrophoresis Studies","type":"article-journal","volume":"181"},"uris":["http://www.mendeley.com/documents/?uuid=7e2041f4-6a21-447b-b54b-1747173fecb9","http://www.mendeley.com/documents/?uuid=19c5506e-1fca-4fdb-808c-932e563eee10","http://www.mendeley.com/documents/?uuid=c3d387c7-985e-4e6a-8d8d-7bda5dc199fd"]},{"id":"ITEM-2","itemData":{"author":[{"dropping-particle":"","family":"Moissac","given":"Yvon R","non-dropping-particle":"de","parse-names":false,"suffix":""},{"dropping-particle":"","family":"Ronald","given":"Sheryl L","non-dropping-particle":"","parse-names":false,"suffix":""},{"dropping-particle":"","family":"Peppler","given":"Mark S","non-dropping-particle":"","parse-names":false,"suffix":""}],"id":"ITEM-2","issue":"2","issued":{"date-parts":[["1994"]]},"page":"398-402","title":"Use of Pulsed-Field Gel Electrophoresis for Epidemiological Study of Bordetella pertussis in a Whooping Cough Outbreak","type":"article-journal","volume":"32"},"uris":["http://www.mendeley.com/documents/?uuid=56d0d18e-5f8f-41ef-ac4e-2bd64f700919","http://www.mendeley.com/documents/?uuid=05630137-b337-4c73-a404-780ee68a40c0","http://www.mendeley.com/documents/?uuid=45f1e3cf-1e87-4e50-a4da-68d2c8626304"]},{"id":"ITEM-3","itemData":{"DOI":"10.1016/j.vaccine.2010.05.070","ISSN":"0264-410X","author":[{"dropping-particle":"","family":"Berger","given":"F","non-dropping-particle":"","parse-names":false,"suffix":""},{"dropping-particle":"","family":"Njamkepo","given":"E","non-dropping-particle":"","parse-names":false,"suffix":""},{"dropping-particle":"","family":"Minaberry","given":"S","non-dropping-particle":"","parse-names":false,"suffix":""},{"dropping-particle":"","family":"Mayet","given":"A","non-dropping-particle":"","parse-names":false,"suffix":""},{"dropping-particle":"","family":"Haus-cheymol","given":"R","non-dropping-particle":"","parse-names":false,"suffix":""},{"dropping-particle":"","family":"Verret","given":"C","non-dropping-particle":"","parse-names":false,"suffix":""},{"dropping-particle":"","family":"Massit","given":"B","non-dropping-particle":"","parse-names":false,"suffix":""}],"container-title":"Vaccine","id":"ITEM-3","issue":"32","issued":{"date-parts":[["2010"]]},"page":"5147-5152","publisher":"Elsevier Ltd","title":"Investigation on a pertussis outbreak in a military school : Risk factors and approach to vaccine efficacy","type":"article-journal","volume":"28"},"uris":["http://www.mendeley.com/documents/?uuid=e6264b14-b584-4651-982e-3f0f4fb22ba4","http://www.mendeley.com/documents/?uuid=08b1fe91-d9eb-44f3-ade1-332c89553b08","http://www.mendeley.com/documents/?uuid=6c546e8f-4258-4799-9071-e5c540a50e08"]},{"id":"ITEM-4","itemData":{"DOI":"10.1093/infdis/jis443","ISSN":"00221899","PMID":"22807521","abstract":"Pertussis is a contagious, acute respiratory illness caused by the bacterial pathogen Bordetella pertussis. Although it is widely believed that transmission of B. pertussis occurs via aerosolized respiratory droplets, no controlled study has ever documented airborne transmission of pertussis. We set out to determine if airborne transmission occurs between infected and naive animals, utilizing the baboon model of pertussis. Our results showed that 100 of exposed naive animals became infected even when physical contact was prevented, demonstrating that pertussis transmission occurs via aerosolized respiratory droplets. © 2012 The Author.","author":[{"dropping-particle":"","family":"Warfel","given":"Jason M.","non-dropping-particle":"","parse-names":false,"suffix":""},{"dropping-particle":"","family":"Beren","given":"Joel","non-dropping-particle":"","parse-names":false,"suffix":""},{"dropping-particle":"","family":"Merkel","given":"Tod J.","non-dropping-particle":"","parse-names":false,"suffix":""}],"container-title":"Journal of Infectious Diseases","id":"ITEM-4","issue":"6","issued":{"date-parts":[["2012"]]},"page":"902-906","title":"Airborne transmission of bordetella pertussis","type":"article-journal","volume":"206"},"uris":["http://www.mendeley.com/documents/?uuid=807cc2a4-22ff-493f-b0f6-d5c9a8d5f1e9","http://www.mendeley.com/documents/?uuid=a81e3ed1-6639-4dad-a4e0-c34e6974cd56","http://www.mendeley.com/documents/?uuid=6fc79a8e-dd79-4603-bba3-fdae99f8beab"]}],"mendeley":{"formattedCitation":"(de Moissac, Ronald &amp; Peppler, 1994; Brennan et al., 2000; Berger et al., 2010; Warfel, Beren &amp; Merkel, 2012)","plainTextFormattedCitation":"(de Moissac, Ronald &amp; Peppler, 1994; Brennan et al., 2000; Berger et al., 2010; Warfel, Beren &amp; Merkel, 2012)","previouslyFormattedCitation":"(de Moissac, Ronald &amp; Peppler, 1994; Brennan et al., 2000; Berger et al., 2010; Warfel, Beren &amp; Merkel,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(de Moissac, Ronald &amp; Peppler, 1994; Brennan et al., 2000; Berger et al., 2010; Warfel, Beren &amp; Merkel,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similar classroom study from Estonia reported an attack rate of 36%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Torm","given":"Siiri","non-dropping-particle":"","parse-names":false,"suffix":""},{"dropping-particle":"","family":"Meriste","given":"Sirli","non-dropping-particle":"","parse-names":false,"suffix":""},{"dropping-particle":"","family":"Tamm","given":"Eda","non-dropping-particle":"","parse-names":false,"suffix":""},{"dropping-particle":"","family":"Alusalu","given":"Sirje","non-dropping-particle":"","parse-names":false,"suffix":""},{"dropping-particle":"","family":"Jarviste","given":"Antonina","non-dropping-particle":"","parse-names":false,"suffix":""},{"dropping-particle":"","family":"Lang","given":"Katrin","non-dropping-particle":"","parse-names":false,"suffix":""}],"container-title":"Scandanavian Journal of Infectious Diseases","id":"ITEM-1","issue":"9","issued":{"date-parts":[["2005"]]},"page":"664-668","title":"Pertussis outbreak in a basic school in Estonia: Description, contributing factors and vaccine effectiveness","type":"article-journal","volume":"37"},"uris":["http://www.mendeley.com/documents/?uuid=5afe482a-fc48-43b3-92bc-8d2592200fa5","http://www.mendeley.com/documents/?uuid=32234ed0-7e6a-4530-a6d7-010e6d925fac","http://www.mendeley.com/documents/?uuid=8fa7558b-e64a-4299-84ab-c3d382cc2aca"]}],"mendeley":{"formattedCitation":"(Torm et al., 2005)","plainTextFormattedCitation":"(Torm et al., 2005)","previouslyFormattedCitation":"(Torm et al., 2005)"},"properties":{"noteIndex":0},"schema":"https://github.com/citation-style-language/schema/raw/master/csl-citation.json"}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(Torm et al., 2005)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E20BBBB" w14:textId="77777777" w:rsidR="004B759B" w:rsidRPr="003D2D46" w:rsidRDefault="004B759B" w:rsidP="008C0934">
      <w:pPr>
        <w:spacing w:line="480" w:lineRule="auto"/>
        <w:rPr>
          <w:rFonts w:ascii="Times New Roman" w:hAnsi="Times New Roman" w:cs="Times New Roman"/>
          <w:color w:val="000000" w:themeColor="text1"/>
        </w:rPr>
      </w:pPr>
    </w:p>
    <w:p w14:paraId="18CEBC7E" w14:textId="77777777" w:rsidR="004B759B" w:rsidRPr="003D2D46" w:rsidRDefault="00EA09C6">
      <w:pPr>
        <w:pStyle w:val="Heading3"/>
        <w:spacing w:before="0" w:after="0" w:line="480" w:lineRule="auto"/>
        <w:rPr>
          <w:rFonts w:ascii="Times New Roman" w:hAnsi="Times New Roman" w:cs="Times New Roman"/>
          <w:color w:val="000000" w:themeColor="text1"/>
          <w:szCs w:val="24"/>
        </w:rPr>
      </w:pPr>
      <w:bookmarkStart w:id="31" w:name="_Toc81647067"/>
      <w:bookmarkStart w:id="32" w:name="_Toc82445506"/>
      <w:bookmarkStart w:id="33" w:name="_Toc87797067"/>
      <w:r w:rsidRPr="003D2D46">
        <w:rPr>
          <w:rFonts w:ascii="Times New Roman" w:hAnsi="Times New Roman" w:cs="Times New Roman"/>
          <w:color w:val="000000" w:themeColor="text1"/>
          <w:szCs w:val="24"/>
        </w:rPr>
        <w:t>2.</w:t>
      </w:r>
      <w:r w:rsidR="00BC2A42" w:rsidRPr="003D2D46">
        <w:rPr>
          <w:rFonts w:ascii="Times New Roman" w:hAnsi="Times New Roman" w:cs="Times New Roman"/>
          <w:color w:val="000000" w:themeColor="text1"/>
          <w:szCs w:val="24"/>
        </w:rPr>
        <w:t xml:space="preserve">6 </w:t>
      </w:r>
      <w:r w:rsidR="004B759B" w:rsidRPr="003D2D46">
        <w:rPr>
          <w:rFonts w:ascii="Times New Roman" w:hAnsi="Times New Roman" w:cs="Times New Roman"/>
          <w:color w:val="000000" w:themeColor="text1"/>
          <w:szCs w:val="24"/>
        </w:rPr>
        <w:t>Epidemiology</w:t>
      </w:r>
      <w:bookmarkEnd w:id="31"/>
      <w:bookmarkEnd w:id="32"/>
      <w:bookmarkEnd w:id="33"/>
      <w:r w:rsidR="004B759B" w:rsidRPr="003D2D46">
        <w:rPr>
          <w:rFonts w:ascii="Times New Roman" w:hAnsi="Times New Roman" w:cs="Times New Roman"/>
          <w:color w:val="000000" w:themeColor="text1"/>
          <w:szCs w:val="24"/>
        </w:rPr>
        <w:t xml:space="preserve"> </w:t>
      </w:r>
    </w:p>
    <w:p w14:paraId="4E21F328" w14:textId="77777777" w:rsidR="004B759B" w:rsidRPr="003D2D46" w:rsidRDefault="00EA09C6">
      <w:pPr>
        <w:pStyle w:val="Heading41111"/>
        <w:spacing w:before="0" w:line="480" w:lineRule="auto"/>
        <w:rPr>
          <w:rFonts w:cs="Times New Roman"/>
          <w:color w:val="000000" w:themeColor="text1"/>
        </w:rPr>
      </w:pPr>
      <w:bookmarkStart w:id="34" w:name="_Toc81647068"/>
      <w:bookmarkStart w:id="35" w:name="_Toc82445507"/>
      <w:bookmarkStart w:id="36" w:name="_Toc87797068"/>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.1</w:t>
      </w:r>
      <w:r w:rsidR="004B759B" w:rsidRPr="003D2D46">
        <w:rPr>
          <w:rFonts w:cs="Times New Roman"/>
          <w:color w:val="000000" w:themeColor="text1"/>
        </w:rPr>
        <w:t xml:space="preserve"> Global Burden</w:t>
      </w:r>
      <w:bookmarkEnd w:id="34"/>
      <w:bookmarkEnd w:id="35"/>
      <w:bookmarkEnd w:id="36"/>
      <w:r w:rsidR="004B759B" w:rsidRPr="003D2D46">
        <w:rPr>
          <w:rFonts w:cs="Times New Roman"/>
          <w:color w:val="000000" w:themeColor="text1"/>
        </w:rPr>
        <w:t xml:space="preserve"> </w:t>
      </w:r>
    </w:p>
    <w:p w14:paraId="077A2704" w14:textId="295A1BF9"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is endemic worldwide and epidemics </w:t>
      </w:r>
      <w:r w:rsidR="00696186" w:rsidRPr="003D2D46">
        <w:rPr>
          <w:rFonts w:ascii="Times New Roman" w:hAnsi="Times New Roman" w:cs="Times New Roman"/>
          <w:color w:val="000000" w:themeColor="text1"/>
        </w:rPr>
        <w:t xml:space="preserve">typically </w:t>
      </w:r>
      <w:r w:rsidRPr="003D2D46">
        <w:rPr>
          <w:rFonts w:ascii="Times New Roman" w:hAnsi="Times New Roman" w:cs="Times New Roman"/>
          <w:color w:val="000000" w:themeColor="text1"/>
        </w:rPr>
        <w:t xml:space="preserve">occur in 3-5 year cycles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Prevention","given":"","non-dropping-particle":"","parse-names":false,"suffix":""}],"container-title":"Epidemiology and Prevention of Vaccine-Preventable Diseases","edition":"13","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84b3b1c7-4c11-44b8-9b4d-681b2b03a344","http://www.mendeley.com/documents/?uuid=de95c8d1-1ecc-4aef-aad5-b12d58ac9b81","http://www.mendeley.com/documents/?uuid=48c8246c-a82a-4636-a3ed-18874f033aaf"]}],"mendeley":{"formattedCitation":"(Centers for Disease Control and Prevention, 2015b)","plainTextFormattedCitation":"(Centers for Disease Control and Prevention, 2015b)","previouslyFormattedCitation":"(Centers for Disease Control and Prevention, 2015b)"},"properties":{"noteIndex":0},"schema":"https://github.com/citation-style-language/schema/raw/master/csl-citation.json"}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2015b)</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global burden of pertussis disease and death is estimated to be upwards of 24 million cases and over 160,000 deaths in children under 5 years old per year </w:t>
      </w:r>
      <w:r w:rsidRPr="003D2D46">
        <w:rPr>
          <w:rFonts w:ascii="Times New Roman" w:hAnsi="Times New Roman" w:cs="Times New Roman"/>
          <w:color w:val="000000" w:themeColor="text1"/>
        </w:rPr>
        <w:fldChar w:fldCharType="begin" w:fldLock="1"/>
      </w:r>
      <w:r w:rsidR="00A1003E" w:rsidRPr="003D2D46">
        <w:rPr>
          <w:rFonts w:ascii="Times New Roman" w:hAnsi="Times New Roman" w:cs="Times New Roman"/>
          <w:color w:val="000000" w:themeColor="text1"/>
        </w:rPr>
        <w:instrText>ADDIN CSL_CITATION {"citationItems":[{"id":"ITEM-1","itemData":{"DOI":"10.1016/S1473-3099(17)30390-0","author":[{"dropping-particle":"","family":"Yeung","given":"Karene Hoi Ting","non-dropping-particle":"","parse-names":false,"suffix":""},{"dropping-particle":"","family":"Duclos","given":"Philippe","non-dropping-particle":"","parse-names":false,"suffix":""},{"dropping-particle":"","family":"Nelson","given":"E Anthony S","non-dropping-particle":"","parse-names":false,"suffix":""},{"dropping-particle":"","family":"Hutubessy","given":"Raymond Christiaan W","non-dropping-particle":"","parse-names":false,"suffix":""}],"container-title":"Lancet Infectious Diseases","id":"ITEM-1","issue":"9","issued":{"date-parts":[["2017"]]},"page":"974-980","title":"An update of the global burden of pertussis in children younger than 5 years: a modelling study","type":"article-journal","volume":"17"},"uris":["http://www.mendeley.com/documents/?uuid=cb5fc0fe-18bb-432a-9819-2f015d35e0dc","http://www.mendeley.com/documents/?uuid=ee66554f-3bd2-4837-a014-4d9c6898ff82","http://www.mendeley.com/documents/?uuid=f4173829-3d61-4c7e-befb-87f09b86faf4"]},{"id":"ITEM-2","itemData":{"URL":"https://www.cdc.gov/pertussis/countries/index.html","accessed":{"date-parts":[["2021","11","14"]]},"author":[{"dropping-particle":"","family":"Centers for Disease Control and Prevention (CDC)","given":"","non-dropping-particle":"","parse-names":false,"suffix":""}],"id":"ITEM-2","issued":{"date-parts":[["2021"]]},"title":"Pertussis in Other Countries","type":"webpage"},"uris":["http://www.mendeley.com/documents/?uuid=14c7d4ec-11ec-4962-a71a-6fae4483e6aa","http://www.mendeley.com/documents/?uuid=ea2e1205-47ec-4a13-ae65-1f65f6cffdf1","http://www.mendeley.com/documents/?uuid=dfdd7a8f-a32e-4845-99d6-47f213b9f597"]}],"mendeley":{"formattedCitation":"(Yeung et al., 2017; Centers for Disease Control and Prevention (CDC), 2021)","plainTextFormattedCitation":"(Yeung et al., 2017; Centers for Disease Control and Prevention (CDC), 2021)","previouslyFormattedCitation":"(Yeung et al., 2017; Centers for Disease Control and Prevention (CDC),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A1003E" w:rsidRPr="003D2D46">
        <w:rPr>
          <w:rFonts w:ascii="Times New Roman" w:hAnsi="Times New Roman" w:cs="Times New Roman"/>
          <w:noProof/>
          <w:color w:val="000000" w:themeColor="text1"/>
        </w:rPr>
        <w:t>(Yeung et al., 2017; Centers for Disease Control and Prevention (CDC),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Pertussis incidence and distribution across the world has significant geographic variability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{"citationItems":[{"id":"ITEM-1","itemData":{"DOI":"10.1017/S0950268812003093","ISSN":"14694409","abstract":"Recent much-publicized increases in pertussis case reports in some countries with high vaccine coverage have raised concerns about its current and future control. The ubiquity of this trend, however, remains unexamined. In an attempt to paint a global picture, we used case counts to determine which countries experienced statistically significant trends in incidence over the past two decades and to map changes in incidence during this period. These data reveal that pertussis resurgence is not a universal phenomenon. The heterogeneity in incidence trends, even in countries with superficially similar demography, socioeconomic conditions and vaccination programmes, is striking and requires explanation. In this opinion piece, we review and assess the multifaceted proposed explanations incorporating evolution, population dynamics, and the details of immunization programmes. While we do not solve the riddle that is pertussis epidemiology, we highlight critical aspects that are likely to hold the key to understanding its worldwide epidemiology. © 2013 Cambridge University Press.","author":[{"dropping-particle":"","family":"Jackson","given":"D. W.","non-dropping-particle":"","parse-names":false,"suffix":""},{"dropping-particle":"","family":"Rohani","given":"Pejman","non-dropping-particle":"","parse-names":false,"suffix":""}],"container-title":"Epidemiology and Infection","id":"ITEM-1","issue":"4","issued":{"date-parts":[["2014"]]},"page":"672-684","title":"Perplexities of pertussis: Recent global epidemiological trends and their potential causes","type":"article-journal","volume":"142"},"uris":["http://www.mendeley.com/documents/?uuid=b38a696c-141e-4d06-a8a6-f47727fd850f"]},{"id":"ITEM-2","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Journal","id":"ITEM-2","issue":"9","issued":{"date-parts":[["2015"]]},"page":"222-232","title":"Recent Epidemiologic Trends From 2000 to 2013","type":"article-journal","volume":"34"},"uris":["http://www.mendeley.com/documents/?uuid=f63596c5-b83c-46a0-b85b-a85647885047","http://www.mendeley.com/documents/?uuid=66f947e5-29aa-46e9-a1e2-48e7ced106eb","http://www.mendeley.com/documents/?uuid=81af9c4e-996c-4189-86f0-7db4be153881"]},{"id":"ITEM-3","itemData":{"DOI":"10.3390/ijerph9124626","abstract":"Pertussis continues to be a relevant public-health issue. The high coverage rates achieved have decreased the spread of the pathogen, but the waning of immunity implies a relevant role of adolescents and adults in the infective dynamics as they may represent a significant source of infection for unvaccinated or incompletely immunized newborns. The passive surveillance system is affected by many limitations. The underestimation of pertussis in adolescents, young adults and adults is mainly related to the atypical clinical characteristics of cases and the lack of lab confirmation. The real epidemiological impact of pertussis is not always perceived, anyway, the unavailability of comprehensive data should not hamper the adoption of active prophylactic interventions aimed at preventing the impact of waning immunity on pertussis. To avoid an increase of the mean age of acquisition of the infection, a booster dose of low-antigen content combined vaccine should be adopted in adolescents and adults. A decreased risk of infection in newborns can be achieved with the cocoon strategy, although the debate on this aspect is still open and enhanced surveillance and further studies are needed to fine-tune the pertussis prevention strategy.","author":[{"dropping-particle":"","family":"Gabutti","given":"Giovanni","non-dropping-particle":"","parse-names":false,"suffix":""},{"dropping-particle":"","family":"Rota","given":"Maria Cristina","non-dropping-particle":"","parse-names":false,"suffix":""}],"container-title":"Int J Environ Res Public Health","id":"ITEM-3","issued":{"date-parts":[["2012"]]},"page":"4626-4638","title":"Pertussis : A Review of Disease Epidemiology Worldwide and in Italy","type":"article-journal","volume":"9"},"uris":["http://www.mendeley.com/documents/?uuid=30617c1e-5510-4d8b-9773-d55c830ccae9","http://www.mendeley.com/documents/?uuid=197a76fc-4e45-4021-b6e9-ef012b1544d9","http://www.mendeley.com/documents/?uuid=ae14af25-2f26-416c-bc76-0b13e78674e6"]}],"mendeley":{"formattedCitation":"(Gabutti &amp; Rota, 2012; Jackson &amp; Rohani, 2014; Tan et al., 2015)","plainTextFormattedCitation":"(Gabutti &amp; Rota, 2012; Jackson &amp; Rohani, 2014; Tan et al., 2015)","previouslyFormattedCitation":"(Gabutti &amp; Rota, 2012; Jackson &amp; Rohani, 2014; 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(Gabutti &amp; Rota, 2012; Jackson &amp; Rohani, 2014; 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For example,</w:t>
      </w:r>
      <w:r w:rsidR="001C1DBA" w:rsidRPr="003D2D46">
        <w:rPr>
          <w:rFonts w:ascii="Times New Roman" w:hAnsi="Times New Roman" w:cs="Times New Roman"/>
          <w:color w:val="000000" w:themeColor="text1"/>
        </w:rPr>
        <w:t xml:space="preserve"> estimates from</w:t>
      </w:r>
      <w:r w:rsidRPr="003D2D46">
        <w:rPr>
          <w:rFonts w:ascii="Times New Roman" w:hAnsi="Times New Roman" w:cs="Times New Roman"/>
          <w:color w:val="000000" w:themeColor="text1"/>
        </w:rPr>
        <w:t xml:space="preserve"> </w:t>
      </w:r>
      <w:r w:rsidR="001C1DBA" w:rsidRPr="003D2D46">
        <w:rPr>
          <w:rFonts w:ascii="Times New Roman" w:hAnsi="Times New Roman" w:cs="Times New Roman"/>
          <w:color w:val="000000" w:themeColor="text1"/>
        </w:rPr>
        <w:t xml:space="preserve">the </w:t>
      </w:r>
      <w:r w:rsidRPr="003D2D46">
        <w:rPr>
          <w:rFonts w:ascii="Times New Roman" w:hAnsi="Times New Roman" w:cs="Times New Roman"/>
          <w:color w:val="000000" w:themeColor="text1"/>
        </w:rPr>
        <w:t>WHO</w:t>
      </w:r>
      <w:r w:rsidR="001C1DBA" w:rsidRPr="003D2D46">
        <w:rPr>
          <w:rFonts w:ascii="Times New Roman" w:hAnsi="Times New Roman" w:cs="Times New Roman"/>
          <w:color w:val="000000" w:themeColor="text1"/>
        </w:rPr>
        <w:t xml:space="preserve"> report</w:t>
      </w:r>
      <w:r w:rsidRPr="003D2D46">
        <w:rPr>
          <w:rFonts w:ascii="Times New Roman" w:hAnsi="Times New Roman" w:cs="Times New Roman"/>
          <w:color w:val="000000" w:themeColor="text1"/>
        </w:rPr>
        <w:t xml:space="preserve"> that Africa has the highest </w:t>
      </w:r>
      <w:r w:rsidR="008C6C3F" w:rsidRPr="003D2D46">
        <w:rPr>
          <w:rFonts w:ascii="Times New Roman" w:hAnsi="Times New Roman" w:cs="Times New Roman"/>
          <w:color w:val="000000" w:themeColor="text1"/>
        </w:rPr>
        <w:t>case counts</w:t>
      </w:r>
      <w:r w:rsidRPr="003D2D46">
        <w:rPr>
          <w:rFonts w:ascii="Times New Roman" w:hAnsi="Times New Roman" w:cs="Times New Roman"/>
          <w:color w:val="000000" w:themeColor="text1"/>
        </w:rPr>
        <w:t xml:space="preserve"> of the disease, contributing 33% (7.8 million) of the global cases and 58% (92,500) of global deaths, followed by the southeast Asia which contributes 26% (6.3 million) of the global cases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{"citationItems":[{"id":"ITEM-1","itemData":{"DOI":"10.1016/S1473-3099(17)30390-0","author":[{"dropping-particle":"","family":"Yeung","given":"Karene Hoi Ting","non-dropping-particle":"","parse-names":false,"suffix":""},{"dropping-particle":"","family":"Duclos","given":"Philippe","non-dropping-particle":"","parse-names":false,"suffix":""},{"dropping-particle":"","family":"Nelson","given":"E Anthony S","non-dropping-particle":"","parse-names":false,"suffix":""},{"dropping-particle":"","family":"Hutubessy","given":"Raymond Christiaan W","non-dropping-particle":"","parse-names":false,"suffix":""}],"container-title":"Lancet Infectious Diseases","id":"ITEM-1","issue":"9","issued":{"date-parts":[["2017"]]},"page":"974-980","title":"An update of the global burden of pertussis in children younger than 5 years: a modelling study","type":"article-journal","volume":"17"},"uris":["http://www.mendeley.com/documents/?uuid=f4173829-3d61-4c7e-befb-87f09b86faf4","http://www.mendeley.com/documents/?uuid=ee66554f-3bd2-4837-a014-4d9c6898ff82","http://www.mendeley.com/documents/?uuid=cb5fc0fe-18bb-432a-9819-2f015d35e0dc"]}],"mendeley":{"formattedCitation":"(Yeung et al., 2017)","plainTextFormattedCitation":"(Yeung et al., 2017)","previouslyFormattedCitation":"(Yeung et al.,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(Yeung et al., 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Europe has the lowest estimated </w:t>
      </w:r>
      <w:r w:rsidR="008C6C3F" w:rsidRPr="003D2D46">
        <w:rPr>
          <w:rFonts w:ascii="Times New Roman" w:hAnsi="Times New Roman" w:cs="Times New Roman"/>
          <w:color w:val="000000" w:themeColor="text1"/>
        </w:rPr>
        <w:t>cases</w:t>
      </w:r>
      <w:r w:rsidRPr="003D2D46">
        <w:rPr>
          <w:rFonts w:ascii="Times New Roman" w:hAnsi="Times New Roman" w:cs="Times New Roman"/>
          <w:color w:val="000000" w:themeColor="text1"/>
        </w:rPr>
        <w:t xml:space="preserve"> of disease globally, contributing 1.6 million cases and 900 deaths annually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{"citationItems":[{"id":"ITEM-1","itemData":{"DOI":"10.1016/S1473-3099(17)30390-0","author":[{"dropping-particle":"","family":"Yeung","given":"Karene Hoi Ting","non-dropping-particle":"","parse-names":false,"suffix":""},{"dropping-particle":"","family":"Duclos","given":"Philippe","non-dropping-particle":"","parse-names":false,"suffix":""},{"dropping-particle":"","family":"Nelson","given":"E Anthony S","non-dropping-particle":"","parse-names":false,"suffix":""},{"dropping-particle":"","family":"Hutubessy","given":"Raymond Christiaan W","non-dropping-particle":"","parse-names":false,"suffix":""}],"container-title":"Lancet Infectious Diseases","id":"ITEM-1","issue":"9","issued":{"date-parts":[["2017"]]},"page":"974-980","title":"An update of the global burden of pertussis in children younger than 5 years: a modelling study","type":"article-journal","volume":"17"},"uris":["http://www.mendeley.com/documents/?uuid=f4173829-3d61-4c7e-befb-87f09b86faf4","http://www.mendeley.com/documents/?uuid=ee66554f-3bd2-4837-a014-4d9c6898ff82","http://www.mendeley.com/documents/?uuid=cb5fc0fe-18bb-432a-9819-2f015d35e0dc"]}],"mendeley":{"formattedCitation":"(Yeung et al., 2017)","plainTextFormattedCitation":"(Yeung et al., 2017)","previouslyFormattedCitation":"(Yeung et al.,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 xml:space="preserve">(Yeung et al., </w:t>
      </w:r>
      <w:r w:rsidR="00C736C1" w:rsidRPr="003D2D46">
        <w:rPr>
          <w:rFonts w:ascii="Times New Roman" w:hAnsi="Times New Roman" w:cs="Times New Roman"/>
          <w:noProof/>
          <w:color w:val="000000" w:themeColor="text1"/>
        </w:rPr>
        <w:lastRenderedPageBreak/>
        <w:t>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r w:rsidR="008C6C3F"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Pertussis incidence data are more often available in western and developed nations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https://doi.org/10.1016/S1473-3099(03)00669-8","author":[{"dropping-particle":"","family":"Crowcroft","given":"NS","non-dropping-particle":"","parse-names":false,"suffix":""},{"dropping-particle":"","family":"Stein","given":"C","non-dropping-particle":"","parse-names":false,"suffix":""},{"dropping-particle":"","family":"Duclos","given":"P","non-dropping-particle":"","parse-names":false,"suffix":""},{"dropping-particle":"","family":"Birmingham","given":"M","non-dropping-particle":"","parse-names":false,"suffix":""}],"container-title":"The Lancet Infectious Diseases","id":"ITEM-1","issue":"7","issued":{"date-parts":[["2003"]]},"page":"413-418","title":"How best to estimate the global burden of pertussis?","type":"article-journal","volume":"3"},"uris":["http://www.mendeley.com/documents/?uuid=01e19d7b-f177-458e-8121-c49625542bbd","http://www.mendeley.com/documents/?uuid=8957f8a1-cc49-4801-8a75-26e9955ca759","http://www.mendeley.com/documents/?uuid=31d6ca89-dcc8-4a36-bb2a-4e374faf7466"]}],"mendeley":{"formattedCitation":"(Crowcroft et al., 2003)","plainTextFormattedCitation":"(Crowcroft et al., 2003)","previouslyFormattedCitation":"(Crowcroft et al., 2003)"},"properties":{"noteIndex":0},"schema":"https://github.com/citation-style-language/schema/raw/master/csl-citation.json"}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(Crowcroft et al., 2003)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therefore, outbreaks of the disease are frequently reported in North America and Europe. These outbreaks have been reported in Canada, the United States, the Netherlands, Finland, and Germany. Surveillance data from Europe indicate a resurgence of pertussis cases and an increase in the number of outbreaks</w:t>
      </w:r>
      <w:r w:rsidR="00617DB1" w:rsidRPr="003D2D46">
        <w:rPr>
          <w:rFonts w:ascii="Times New Roman" w:hAnsi="Times New Roman" w:cs="Times New Roman"/>
          <w:color w:val="000000" w:themeColor="text1"/>
        </w:rPr>
        <w:t xml:space="preserve"> since the late 1990s</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{"citationItems":[{"id":"ITEM-1","itemData":{"author":[{"dropping-particle":"","family":"Syed","given":"Muhammad A","non-dropping-particle":"","parse-names":false,"suffix":""},{"dropping-particle":"","family":"Bana","given":"Noureen F","non-dropping-particle":"","parse-names":false,"suffix":""}],"container-title":"Saudi Med J","id":"ITEM-1","issue":"10","issued":{"date-parts":[["2014"]]},"page":"1181-1187","title":"Pertussis: A reemerging and an underreported infectious disease","type":"article-journal","volume":"35"},"uris":["http://www.mendeley.com/documents/?uuid=83e12b4a-fc27-4dc5-9c26-fb0995ba6875","http://www.mendeley.com/documents/?uuid=5eb959a8-571f-44a8-92ad-f016f00bcf53","http://www.mendeley.com/documents/?uuid=122f6266-b9ef-48f8-9825-9377463c3896"]}],"mendeley":{"formattedCitation":"(Syed &amp; Bana, 2014)","plainTextFormattedCitation":"(Syed &amp; Bana, 2014)","previouslyFormattedCitation":"(Syed &amp; Bana,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(Syed &amp; Bana,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743783FD" w14:textId="77777777" w:rsidR="00340169" w:rsidRPr="003D2D46" w:rsidRDefault="00340169" w:rsidP="00340169">
      <w:pPr>
        <w:spacing w:line="480" w:lineRule="auto"/>
        <w:rPr>
          <w:rFonts w:ascii="Times New Roman" w:hAnsi="Times New Roman" w:cs="Times New Roman"/>
          <w:color w:val="000000" w:themeColor="text1"/>
        </w:rPr>
      </w:pPr>
    </w:p>
    <w:p w14:paraId="10CF8251" w14:textId="3E3B1972"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review of global pertussis epidemiology between 1990 and 2010 reported that many nations including Japan, Israel, Australia, Belgium, the Czech Republic, Bulgaria, the Netherlands, Hungary, and Poland have had significant increases in disease incidence risks. The range of reported incidence risks in these nations in 2010 </w:t>
      </w:r>
      <w:r w:rsidR="009C0D96" w:rsidRPr="003D2D46">
        <w:rPr>
          <w:rFonts w:ascii="Times New Roman" w:hAnsi="Times New Roman" w:cs="Times New Roman"/>
          <w:color w:val="000000" w:themeColor="text1"/>
        </w:rPr>
        <w:t>wa</w:t>
      </w:r>
      <w:r w:rsidRPr="003D2D46">
        <w:rPr>
          <w:rFonts w:ascii="Times New Roman" w:hAnsi="Times New Roman" w:cs="Times New Roman"/>
          <w:color w:val="000000" w:themeColor="text1"/>
        </w:rPr>
        <w:t xml:space="preserve">s between 0.3 (Hungary) and 153.8 (Australia) cases per 100,000. Other nations have seen significant decreases in incidence risk, including Vietnam, Thailand, China, Ukraine, Denmark, Belarus, Spain, the United Kingdom, Greece, Italy, Saudi Arabia, and Canada. The range of reported incidence in these nations in 2010 was between 0.1 cases per 100,000 in China and 2.3 cases per 100,000 in Ukraine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{"citationItems":[{"id":"ITEM-1","itemData":{"DOI":"10.1017/S0950268812003093","ISSN":"14694409","abstract":"Recent much-publicized increases in pertussis case reports in some countries with high vaccine coverage have raised concerns about its current and future control. The ubiquity of this trend, however, remains unexamined. In an attempt to paint a global picture, we used case counts to determine which countries experienced statistically significant trends in incidence over the past two decades and to map changes in incidence during this period. These data reveal that pertussis resurgence is not a universal phenomenon. The heterogeneity in incidence trends, even in countries with superficially similar demography, socioeconomic conditions and vaccination programmes, is striking and requires explanation. In this opinion piece, we review and assess the multifaceted proposed explanations incorporating evolution, population dynamics, and the details of immunization programmes. While we do not solve the riddle that is pertussis epidemiology, we highlight critical aspects that are likely to hold the key to understanding its worldwide epidemiology. © 2013 Cambridge University Press.","author":[{"dropping-particle":"","family":"Jackson","given":"D. W.","non-dropping-particle":"","parse-names":false,"suffix":""},{"dropping-particle":"","family":"Rohani","given":"Pejman","non-dropping-particle":"","parse-names":false,"suffix":""}],"container-title":"Epidemiology and Infection","id":"ITEM-1","issue":"4","issued":{"date-parts":[["2014"]]},"page":"672-684","title":"Perplexities of pertussis: Recent global epidemiological trends and their potential causes","type":"article-journal","volume":"142"},"uris":["http://www.mendeley.com/documents/?uuid=b38a696c-141e-4d06-a8a6-f47727fd850f"]}],"mendeley":{"formattedCitation":"(Jackson &amp; Rohani, 2014)","plainTextFormattedCitation":"(Jackson &amp; Rohani, 2014)","previouslyFormattedCitation":"(Jackson &amp; Rohani,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(Jackson &amp; Rohani,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3C70537" w14:textId="77777777" w:rsidR="00340169" w:rsidRPr="003D2D46" w:rsidRDefault="00340169" w:rsidP="00340169">
      <w:pPr>
        <w:spacing w:line="480" w:lineRule="auto"/>
        <w:rPr>
          <w:rFonts w:ascii="Times New Roman" w:hAnsi="Times New Roman" w:cs="Times New Roman"/>
          <w:color w:val="000000" w:themeColor="text1"/>
        </w:rPr>
      </w:pPr>
    </w:p>
    <w:p w14:paraId="051FD3C5" w14:textId="019D97E1"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Data from Low- and Middle-income countries (LMIC) is often sparse. However, a few serologic surveillance studies have been conducted. Pertussis cases have decreased overall in the WHO African region between 2000 and 2013, however, Nigeria reported the second highest number of cases (11,281) worldwide in 2009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Journal","id":"ITEM-1","issue":"9","issued":{"date-parts":[["2015"]]},"page":"222-232","title":"Recent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mendeley":{"formattedCitation":"(Tan et al., 2015)","plainTextFormattedCitation":"(Tan et al., 2015)","previouslyFormattedCitation":"(Tan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recent report of findings and recommendations of the Global Pertussis Initiative (GPI) </w:t>
      </w:r>
      <w:r w:rsidRPr="003D2D46">
        <w:rPr>
          <w:rFonts w:ascii="Times New Roman" w:hAnsi="Times New Roman" w:cs="Times New Roman"/>
          <w:color w:val="000000" w:themeColor="text1"/>
        </w:rPr>
        <w:lastRenderedPageBreak/>
        <w:t xml:space="preserve">highlights the difficulties of understanding the epidemiology of the disease in developing nations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2018.03.025","ISSN":"0264-410X","author":[{"dropping-particle":"","family":"Muloiwa","given":"Rudzani","non-dropping-particle":"","parse-names":false,"suffix":""},{"dropping-particle":"","family":"Wolter","given":"Nicole","non-dropping-particle":"","parse-names":false,"suffix":""},{"dropping-particle":"","family":"Mupere","given":"Ezekiel","non-dropping-particle":"","parse-names":false,"suffix":""},{"dropping-particle":"","family":"Tan","given":"Tina","non-dropping-particle":"","parse-names":false,"suffix":""},{"dropping-particle":"","family":"Chitkara","given":"A J","non-dropping-particle":"","parse-names":false,"suffix":""},{"dropping-particle":"","family":"Forsyth","given":"Kevin D","non-dropping-particle":"","parse-names":false,"suffix":""},{"dropping-particle":"Von","family":"König","given":"Carl-heinz Wirsing","non-dropping-particle":"","parse-names":false,"suffix":""},{"dropping-particle":"","family":"Hussey","given":"Gregory","non-dropping-particle":"","parse-names":false,"suffix":""}],"container-title":"Vaccine","id":"ITEM-1","issue":"18","issued":{"date-parts":[["2018"]]},"page":"2385-2393","publisher":"Elsevier Ltd","title":"Pertussis in Africa : Findings and recommendations of the Global Pertussis Initiative (GPI)","type":"article-journal","volume":"36"},"uris":["http://www.mendeley.com/documents/?uuid=adc7e7f9-ce1e-4b4d-882e-561b2fada5a0","http://www.mendeley.com/documents/?uuid=52bb8101-3394-41bc-bc00-ed4530c70aa0","http://www.mendeley.com/documents/?uuid=9a2dc1cc-099b-4c09-bc5a-324d9e0e0af8"]}],"mendeley":{"formattedCitation":"(Muloiwa et al., 2018)","plainTextFormattedCitation":"(Muloiwa et al., 2018)","previouslyFormattedCitation":"(Muloiwa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(Muloiwa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South Africa between 2008 and 2011, 67% of laboratory confirmed cases were in children less than three months old and as of 2011 had a reported incidence rate of 5.8 per 1,000 child-months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{"citationItems":[{"id":"ITEM-1","itemData":{"DOI":"10.1093/cid/ciw527","author":[{"dropping-particle":"","family":"Nunes","given":"Marta C","non-dropping-particle":"","parse-names":false,"suffix":""},{"dropping-particle":"","family":"Downs","given":"Sarah","non-dropping-particle":"","parse-names":false,"suffix":""},{"dropping-particle":"","family":"Jones","given":"Stephanie","non-dropping-particle":"","parse-names":false,"suffix":""},{"dropping-particle":"Van","family":"Niekerk","given":"Nadia","non-dropping-particle":"","parse-names":false,"suffix":""},{"dropping-particle":"","family":"Cutland","given":"Clare L","non-dropping-particle":"","parse-names":false,"suffix":""},{"dropping-particle":"","family":"Madhi","given":"Shabir A","non-dropping-particle":"","parse-names":false,"suffix":""}],"container-title":"Clinical Infectious Diseases","id":"ITEM-1","issue":"S4","issued":{"date-parts":[["2016"]]},"page":"174-180","title":"Bordetella pertussis Infection in South African HIV- Infected and HIV-Uninfected Mother – Infant Dyads : A Longitudinal Cohort Study","type":"article-journal","volume":"63"},"uris":["http://www.mendeley.com/documents/?uuid=44dca9f9-9e1a-4ea0-a98e-01f0e813e8df","http://www.mendeley.com/documents/?uuid=7a7d2c5f-157d-4b88-b6aa-d1fd20b47579","http://www.mendeley.com/documents/?uuid=036f9c2e-ada1-475b-825c-66056d33d0b6"]},{"id":"ITEM-2","itemData":{"DOI":"10.1016/j.vaccine.2018.03.025","ISSN":"0264-410X","author":[{"dropping-particle":"","family":"Muloiwa","given":"Rudzani","non-dropping-particle":"","parse-names":false,"suffix":""},{"dropping-particle":"","family":"Wolter","given":"Nicole","non-dropping-particle":"","parse-names":false,"suffix":""},{"dropping-particle":"","family":"Mupere","given":"Ezekiel","non-dropping-particle":"","parse-names":false,"suffix":""},{"dropping-particle":"","family":"Tan","given":"Tina","non-dropping-particle":"","parse-names":false,"suffix":""},{"dropping-particle":"","family":"Chitkara","given":"A J","non-dropping-particle":"","parse-names":false,"suffix":""},{"dropping-particle":"","family":"Forsyth","given":"Kevin D","non-dropping-particle":"","parse-names":false,"suffix":""},{"dropping-particle":"Von","family":"König","given":"Carl-heinz Wirsing","non-dropping-particle":"","parse-names":false,"suffix":""},{"dropping-particle":"","family":"Hussey","given":"Gregory","non-dropping-particle":"","parse-names":false,"suffix":""}],"container-title":"Vaccine","id":"ITEM-2","issue":"18","issued":{"date-parts":[["2018"]]},"page":"2385-2393","publisher":"Elsevier Ltd","title":"Pertussis in Africa : Findings and recommendations of the Global Pertussis Initiative (GPI)","type":"article-journal","volume":"36"},"uris":["http://www.mendeley.com/documents/?uuid=9a2dc1cc-099b-4c09-bc5a-324d9e0e0af8","http://www.mendeley.com/documents/?uuid=52bb8101-3394-41bc-bc00-ed4530c70aa0","http://www.mendeley.com/documents/?uuid=adc7e7f9-ce1e-4b4d-882e-561b2fada5a0"]}],"mendeley":{"formattedCitation":"(Nunes et al., 2016; Muloiwa et al., 2018)","plainTextFormattedCitation":"(Nunes et al., 2016; Muloiwa et al., 2018)","previouslyFormattedCitation":"(Nunes et al., 2016; Muloiwa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(Nunes et al., 2016; Muloiwa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hospital study from Niger reported an incidence risk of 8.2 per 1,000 children less than five years old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tropej/fmu001","author":[{"dropping-particle":"","family":"Jusot","given":"Viviane","non-dropping-particle":"","parse-names":false,"suffix":""},{"dropping-particle":"","family":"Aberrane","given":"Said","non-dropping-particle":"","parse-names":false,"suffix":""},{"dropping-particle":"","family":"Ale","given":"Frank","non-dropping-particle":"","parse-names":false,"suffix":""},{"dropping-particle":"","family":"Laouali","given":"Boubou","non-dropping-particle":"","parse-names":false,"suffix":""},{"dropping-particle":"","family":"Moussa","given":"Issa","non-dropping-particle":"","parse-names":false,"suffix":""},{"dropping-particle":"","family":"Alio","given":"Sanda A","non-dropping-particle":"","parse-names":false,"suffix":""},{"dropping-particle":"","family":"Adehossi","given":"Eric","non-dropping-particle":"","parse-names":false,"suffix":""},{"dropping-particle":"","family":"Collard","given":"Jean-Marc","non-dropping-particle":"","parse-names":false,"suffix":""},{"dropping-particle":"","family":"Grais","given":"Rebecca F","non-dropping-particle":"","parse-names":false,"suffix":""}],"container-title":"Journal of Tropical Pediatrics","id":"ITEM-1","issue":"3","issued":{"date-parts":[["2014"]]},"page":"223-230","title":"Prevalence of Bordetella Infection in a Hospital Setting in Niamey, Niger","type":"article-journal","volume":"60"},"uris":["http://www.mendeley.com/documents/?uuid=8d41ecb7-48ff-47fd-984b-0fd2be4bc6a2","http://www.mendeley.com/documents/?uuid=873434d2-f450-42e6-ac2d-d51ce85529b5","http://www.mendeley.com/documents/?uuid=6dc47b55-aba1-431f-83b1-e795712e77f8"]}],"mendeley":{"formattedCitation":"(Jusot et al., 2014)","plainTextFormattedCitation":"(Jusot et al., 2014)","previouslyFormattedCitation":"(Jusot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(Jusot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Similar hospital studies have reported incidence risks of 1.3 per 1,000 population in Ethiopia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https://doi.org/10.1186/s13104-017-2735-1","author":[{"dropping-particle":"","family":"Alamaw","given":"SD","non-dropping-particle":"","parse-names":false,"suffix":""},{"dropping-particle":"","family":"Kassa","given":"AW","non-dropping-particle":"","parse-names":false,"suffix":""},{"dropping-particle":"","family":"Gelaw","given":"YA","non-dropping-particle":"","parse-names":false,"suffix":""}],"container-title":"BMC Research Notes","id":"ITEM-1","issue":"1","issued":{"date-parts":[["2017"]]},"title":"Pertussis outbreak investigation of Mekdela district, South Wollo zone, Amhara region, North-West Ethiopia","type":"article-journal","volume":"10"},"uris":["http://www.mendeley.com/documents/?uuid=105c09fe-1782-4ad2-86ef-48a144bad2ee","http://www.mendeley.com/documents/?uuid=60935aad-9bca-4fc5-88eb-1d84f4a26480","http://www.mendeley.com/documents/?uuid=38d35c7b-d78e-4510-90f9-82334bf813a6"]}],"mendeley":{"formattedCitation":"(Alamaw, Kassa &amp; Gelaw, 2017)","plainTextFormattedCitation":"(Alamaw, Kassa &amp; Gelaw, 2017)","previouslyFormattedCitation":"(Alamaw, Kassa &amp; Gelaw,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(Alamaw, Kassa &amp; Gelaw, 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114 per 1,000 population over seven years old in Kenya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Muller","given":"AS","non-dropping-particle":"","parse-names":false,"suffix":""},{"dropping-particle":"","family":"Leeuwenburg","given":"J","non-dropping-particle":"","parse-names":false,"suffix":""},{"dropping-particle":"","family":"Voorhoeve","given":"AM","non-dropping-particle":"","parse-names":false,"suffix":""}],"container-title":"Bulletin of the World Health Organization","id":"ITEM-1","issue":"6","issued":{"date-parts":[["1984"]]},"page":"899-908","title":"Pertussis in a rural area of Kenya: epidemiology and results of a vaccine trial","type":"article-journal","volume":"62"},"uris":["http://www.mendeley.com/documents/?uuid=498b066d-2873-41bc-9abd-1feccd4143e5","http://www.mendeley.com/documents/?uuid=4cc68d5e-234f-40dc-ba52-4ab04e372f39","http://www.mendeley.com/documents/?uuid=3695998f-66f9-4462-b31a-73fd99bf59ec"]}],"mendeley":{"formattedCitation":"(Muller, Leeuwenburg &amp; Voorhoeve, 1984)","plainTextFormattedCitation":"(Muller, Leeuwenburg &amp; Voorhoeve, 1984)","previouslyFormattedCitation":"(Muller, Leeuwenburg &amp; Voorhoeve, 1984)"},"properties":{"noteIndex":0},"schema":"https://github.com/citation-style-language/schema/raw/master/csl-citation.json"}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(Muller, Leeuwenburg &amp; Voorhoeve, 1984)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 and incidence rate of 2.4 cases per 1,000 infant-months in Zambia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{"citationItems":[{"id":"ITEM-1","itemData":{"DOI":"10.1093/cid/ciw526","author":[{"dropping-particle":"","family":"Gill","given":"Christopher J","non-dropping-particle":"","parse-names":false,"suffix":""},{"dropping-particle":"","family":"Mwananyanda","given":"Lawrence","non-dropping-particle":"","parse-names":false,"suffix":""},{"dropping-particle":"","family":"Macleod","given":"William","non-dropping-particle":"","parse-names":false,"suffix":""},{"dropping-particle":"","family":"Kwenda","given":"Geoffrey","non-dropping-particle":"","parse-names":false,"suffix":""},{"dropping-particle":"","family":"Mwale","given":"Magdalene","non-dropping-particle":"","parse-names":false,"suffix":""},{"dropping-particle":"","family":"Williams","given":"Anna L","non-dropping-particle":"","parse-names":false,"suffix":""},{"dropping-particle":"","family":"Siazeele","given":"Kazungu","non-dropping-particle":"","parse-names":false,"suffix":""},{"dropping-particle":"","family":"Yang","given":"Zhaoyan","non-dropping-particle":"","parse-names":false,"suffix":""},{"dropping-particle":"","family":"Mwansa","given":"James","non-dropping-particle":"","parse-names":false,"suffix":""},{"dropping-particle":"","family":"Thea","given":"Donald M","non-dropping-particle":"","parse-names":false,"suffix":""}],"container-title":"Clinical Infectious Diseases","id":"ITEM-1","issue":"Suppl 4","issued":{"date-parts":[["2016"]]},"title":"Incidence of Severe and Nonsevere Pertussis Among HIV-Exposed and -Unexposed Zambian Infants Through 14 Weeks of Age : Results From the Southern Africa Mother Infant Pertussis Study ( SAMIPS ), a Longitudinal Birth Cohort Study","type":"article-journal","volume":"63"},"uris":["http://www.mendeley.com/documents/?uuid=695fda7e-e583-4910-b4db-c52aae3e5d49","http://www.mendeley.com/documents/?uuid=7871ab0c-13dd-4ec6-863e-97ed58e10eba","http://www.mendeley.com/documents/?uuid=945d2ae4-f185-4709-9b77-456a6fe4f74d"]}],"mendeley":{"formattedCitation":"(Gill et al., 2016)","plainTextFormattedCitation":"(Gill et al., 2016)","previouslyFormattedCitation":"(Gill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(Gill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10BD64D" w14:textId="77777777" w:rsidR="00340169" w:rsidRPr="003D2D46" w:rsidRDefault="00340169" w:rsidP="00340169">
      <w:pPr>
        <w:spacing w:line="480" w:lineRule="auto"/>
        <w:rPr>
          <w:rFonts w:ascii="Times New Roman" w:hAnsi="Times New Roman" w:cs="Times New Roman"/>
          <w:color w:val="000000" w:themeColor="text1"/>
        </w:rPr>
      </w:pPr>
    </w:p>
    <w:p w14:paraId="2E29287B" w14:textId="786FE624"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multicenter study in China reported an annual incidence risk of 7,000 per 100,000 population, with age-specific annual incidence risks of 9,100 per 100,000 in children aged 6-8 years and 14,600 per 100,000 in people aged 12-20 years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Wang","given":"Chuan-Qing","non-dropping-particle":"","parse-names":false,"suffix":""},{"dropping-particle":"","family":"Zhu","given":"Qi-Rong","non-dropping-particle":"","parse-names":false,"suffix":""}],"container-title":"Pediatric Infectious Disease Journal","id":"ITEM-1","issue":"7","issued":{"date-parts":[["2011"]]},"page":"593-596","title":"Seroprevalence of Bordetella pertussis antibody in children and adolescents in China","type":"article-journal","volume":"30"},"uris":["http://www.mendeley.com/documents/?uuid=a894fa44-683b-4e7b-8275-3457cc202ac4","http://www.mendeley.com/documents/?uuid=b24b8821-b5b9-4a71-ae06-64f24c4413e3","http://www.mendeley.com/documents/?uuid=bbad2c55-e826-432b-bd28-170149021666"]}],"mendeley":{"formattedCitation":"(Wang &amp; Zhu, 2011)","plainTextFormattedCitation":"(Wang &amp; Zhu, 2011)","previouslyFormattedCitation":"(Wang &amp; Zhu, 2011)"},"properties":{"noteIndex":0},"schema":"https://github.com/citation-style-language/schema/raw/master/csl-citation.json"}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(Wang &amp; Zhu, 2011)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shift in risks to older age groups is consistent with trends identified globally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{"citationItems":[{"id":"ITEM-1","itemData":{"DOI":"10.3201/eid1508.081511","author":[{"dropping-particle":"","family":"Mooi","given":"Frits R","non-dropping-particle":"","parse-names":false,"suffix":""},{"dropping-particle":"Van","family":"Loo","given":"Inge H M","non-dropping-particle":"","parse-names":false,"suffix":""},{"dropping-particle":"Van","family":"Gent","given":"Marjolein","non-dropping-particle":"","parse-names":false,"suffix":""},{"dropping-particle":"","family":"He","given":"Qiushui","non-dropping-particle":"","parse-names":false,"suffix":""},{"dropping-particle":"","family":"Bart","given":"Marieke J","non-dropping-particle":"","parse-names":false,"suffix":""},{"dropping-particle":"","family":"Heuvelman","given":"Kees J","non-dropping-particle":"","parse-names":false,"suffix":""},{"dropping-particle":"De","family":"Greeff","given":"Sabine C","non-dropping-particle":"","parse-names":false,"suffix":""},{"dropping-particle":"","family":"Diavatopoulos","given":"Dimitri","non-dropping-particle":"","parse-names":false,"suffix":""},{"dropping-particle":"","family":"Teunis","given":"Peter","non-dropping-particle":"","parse-names":false,"suffix":""},{"dropping-particle":"","family":"Nagelkerke","given":"Nico","non-dropping-particle":"","parse-names":false,"suffix":""},{"dropping-particle":"","family":"Mertsola","given":"Jussi","non-dropping-particle":"","parse-names":false,"suffix":""}],"container-title":"Emerging Infectious Diseases","id":"ITEM-1","issue":"8","issued":{"date-parts":[["2009"]]},"page":"1-8","title":"Bordetella pertussis Strains with Increased Toxin Production Associated with Pertussis Resurgence","type":"article-journal","volume":"15"},"uris":["http://www.mendeley.com/documents/?uuid=754ce286-0fe9-4581-8594-db1c2409b773","http://www.mendeley.com/documents/?uuid=da99af4c-e6ff-4c16-b27d-5b2822d32a1d","http://www.mendeley.com/documents/?uuid=1490f184-42a2-4914-a6ee-8667439ddb3f"]},{"id":"ITEM-2","itemData":{"author":[{"dropping-particle":"","family":"Syed","given":"Muhammad A","non-dropping-particle":"","parse-names":false,"suffix":""},{"dropping-particle":"","family":"Bana","given":"Noureen F","non-dropping-particle":"","parse-names":false,"suffix":""}],"container-title":"Saudi Med J","id":"ITEM-2","issue":"10","issued":{"date-parts":[["2014"]]},"page":"1181-1187","title":"Pertussis: A reemerging and an underreported infectious disease","type":"article-journal","volume":"35"},"uris":["http://www.mendeley.com/documents/?uuid=122f6266-b9ef-48f8-9825-9377463c3896","http://www.mendeley.com/documents/?uuid=5eb959a8-571f-44a8-92ad-f016f00bcf53","http://www.mendeley.com/documents/?uuid=83e12b4a-fc27-4dc5-9c26-fb0995ba6875"]}],"mendeley":{"formattedCitation":"(Mooi et al., 2009; Syed &amp; Bana, 2014)","plainTextFormattedCitation":"(Mooi et al., 2009; Syed &amp; Bana, 2014)","previouslyFormattedCitation":"(Mooi et al., 2009; Syed &amp; Bana,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(Mooi et al., 2009; Syed &amp; Bana,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review of the epidemiology of pertussis in Italy between 1996 and 2009 also reported increases in incidence risk in adolescents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{"citationItems":[{"id":"ITEM-1","itemData":{"DOI":"10.3390/ijerph9124626","abstract":"Pertussis continues to be a relevant public-health issue. The high coverage rates achieved have decreased the spread of the pathogen, but the waning of immunity implies a relevant role of adolescents and adults in the infective dynamics as they may represent a significant source of infection for unvaccinated or incompletely immunized newborns. The passive surveillance system is affected by many limitations. The underestimation of pertussis in adolescents, young adults and adults is mainly related to the atypical clinical characteristics of cases and the lack of lab confirmation. The real epidemiological impact of pertussis is not always perceived, anyway, the unavailability of comprehensive data should not hamper the adoption of active prophylactic interventions aimed at preventing the impact of waning immunity on pertussis. To avoid an increase of the mean age of acquisition of the infection, a booster dose of low-antigen content combined vaccine should be adopted in adolescents and adults. A decreased risk of infection in newborns can be achieved with the cocoon strategy, although the debate on this aspect is still open and enhanced surveillance and further studies are needed to fine-tune the pertussis prevention strategy.","author":[{"dropping-particle":"","family":"Gabutti","given":"Giovanni","non-dropping-particle":"","parse-names":false,"suffix":""},{"dropping-particle":"","family":"Rota","given":"Maria Cristina","non-dropping-particle":"","parse-names":false,"suffix":""}],"container-title":"Int J Environ Res Public Health","id":"ITEM-1","issued":{"date-parts":[["2012"]]},"page":"4626-4638","title":"Pertussis : A Review of Disease Epidemiology Worldwide and in Italy","type":"article-journal","volume":"9"},"uris":["http://www.mendeley.com/documents/?uuid=ae14af25-2f26-416c-bc76-0b13e78674e6","http://www.mendeley.com/documents/?uuid=197a76fc-4e45-4021-b6e9-ef012b1544d9","http://www.mendeley.com/documents/?uuid=30617c1e-5510-4d8b-9773-d55c830ccae9"]}],"mendeley":{"formattedCitation":"(Gabutti &amp; Rota, 2012)","plainTextFormattedCitation":"(Gabutti &amp; Rota, 2012)","previouslyFormattedCitation":"(Gabutti &amp; Rota,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(Gabutti &amp; Rota,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C02CEB9" w14:textId="77777777" w:rsidR="004B759B" w:rsidRPr="003D2D46" w:rsidRDefault="004B759B" w:rsidP="00580A15">
      <w:pPr>
        <w:spacing w:line="480" w:lineRule="auto"/>
        <w:rPr>
          <w:rFonts w:ascii="Times New Roman" w:hAnsi="Times New Roman" w:cs="Times New Roman"/>
          <w:color w:val="000000" w:themeColor="text1"/>
        </w:rPr>
      </w:pPr>
    </w:p>
    <w:p w14:paraId="12C17975" w14:textId="77777777" w:rsidR="004B759B" w:rsidRPr="003D2D46" w:rsidRDefault="00EA09C6">
      <w:pPr>
        <w:pStyle w:val="Heading41111"/>
        <w:spacing w:line="480" w:lineRule="auto"/>
        <w:rPr>
          <w:rFonts w:cs="Times New Roman"/>
          <w:color w:val="000000" w:themeColor="text1"/>
        </w:rPr>
      </w:pPr>
      <w:bookmarkStart w:id="37" w:name="_Toc81647069"/>
      <w:bookmarkStart w:id="38" w:name="_Toc82445508"/>
      <w:bookmarkStart w:id="39" w:name="_Toc87797069"/>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 xml:space="preserve">.2 </w:t>
      </w:r>
      <w:r w:rsidR="004B759B" w:rsidRPr="003D2D46">
        <w:rPr>
          <w:rFonts w:cs="Times New Roman"/>
          <w:color w:val="000000" w:themeColor="text1"/>
        </w:rPr>
        <w:t>Burden in North America</w:t>
      </w:r>
      <w:bookmarkEnd w:id="37"/>
      <w:bookmarkEnd w:id="38"/>
      <w:bookmarkEnd w:id="39"/>
      <w:r w:rsidR="004B759B" w:rsidRPr="003D2D46">
        <w:rPr>
          <w:rFonts w:cs="Times New Roman"/>
          <w:color w:val="000000" w:themeColor="text1"/>
        </w:rPr>
        <w:t xml:space="preserve"> </w:t>
      </w:r>
    </w:p>
    <w:p w14:paraId="235D46DC" w14:textId="126F94B6"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incidence risk in Canada as of 2012 was reported as 13.9 per 100,000 </w:t>
      </w:r>
      <w:r w:rsidRPr="003D2D46">
        <w:rPr>
          <w:rFonts w:ascii="Times New Roman" w:hAnsi="Times New Roman" w:cs="Times New Roman"/>
          <w:color w:val="000000" w:themeColor="text1"/>
        </w:rPr>
        <w:fldChar w:fldCharType="begin" w:fldLock="1"/>
      </w:r>
      <w:r w:rsidR="00201EA9" w:rsidRPr="003D2D46">
        <w:rPr>
          <w:rFonts w:ascii="Times New Roman" w:hAnsi="Times New Roman" w:cs="Times New Roman"/>
          <w:color w:val="000000" w:themeColor="text1"/>
        </w:rPr>
        <w:instrText>ADDIN CSL_CITATION {"citationItems":[{"id":"ITEM-1","itemData":{"URL":"https://www.canada.ca/en/public-health/services/immunization/vaccine-preventable-diseases/pertussis-whooping-cough.html","accessed":{"date-parts":[["2021","11","14"]]},"author":[{"dropping-particle":"","family":"Public Health Agency of Canada","given":"","non-dropping-particle":"","parse-names":false,"suffix":""}],"id":"ITEM-1","issued":{"date-parts":[["2020"]]},"title":"Pertussis (Whooping Cough)","type":"webpage"},"uris":["http://www.mendeley.com/documents/?uuid=29f87dea-0a91-4f50-a5fa-c3d919b672ab","http://www.mendeley.com/documents/?uuid=19ef8fc0-59cf-43a0-94b7-e2cff6408faa","http://www.mendeley.com/documents/?uuid=bcd3a7c9-5bbc-4372-b83f-905032b29a7d"]},{"id":"ITEM-2","itemData":{"DOI":"10.14745/ccdr.v40i03a01","ISSN":"1188-4169","PMID":"29769879","abstract":"Objective The purpose of this report is to provide a summary of the pertussis activity in Canada. Methods A descriptive analysis of pertussis incidence by year, age group, gender and province/territory was conducted using national surveillance data, clinical administrative data and vital statistics data. Results Pertussis is an endemic cyclical disease in Canada with peaks in activity occurring every 2 to 5 years. Canada has experienced a decline in pertussis activity following the introduction of routine pertussis immunization programs. The incidence of pertussis is highest in infants and children. Hospitalization and mortality are more common among infants, particularly those less than three months of age. Trends in pertussis vary by province and territory. Canada experienced a notable increase in incidence in 2012. Reasons for this increase are unknown. Conclusion Our understanding of the epidemiology of pertussis in Canada could be enhanced by improved approaches for monitoring the disease. Although the peak in activity observed in 2012 could be an isolated event, further work to support outbreak response in provinces and territories, including rapid research tools and resources, should be considered.","author":[{"dropping-particle":"","family":"Smith","given":"T","non-dropping-particle":"","parse-names":false,"suffix":""},{"dropping-particle":"","family":"Rotondo","given":"J","non-dropping-particle":"","parse-names":false,"suffix":""},{"dropping-particle":"","family":"Desai","given":"S","non-dropping-particle":"","parse-names":false,"suffix":""},{"dropping-particle":"","family":"Deehan","given":"H","non-dropping-particle":"","parse-names":false,"suffix":""}],"container-title":"Canada Communicable Disease Report","id":"ITEM-2","issue":"3","issued":{"date-parts":[["2014"]]},"page":"21-30","title":"Pertussis Surveillance in Canada: Trends to 2012","type":"article-journal","volume":"40"},"uris":["http://www.mendeley.com/documents/?uuid=3374b0ff-cba8-469e-b1d0-975e2eaf7e44","http://www.mendeley.com/documents/?uuid=c9c9908a-3bd8-44e7-b97b-8f804b9e4264","http://www.mendeley.com/documents/?uuid=9acad632-36ca-465e-95f2-857aaf2d9afa"]}],"mendeley":{"formattedCitation":"(Smith et al., 2014; Public Health Agency of Canada, 2020)","plainTextFormattedCitation":"(Smith et al., 2014; Public Health Agency of Canada, 2020)","previouslyFormattedCitation":"(Smith et al., 2014; Public Health Agency of Canada,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(Smith et al., 2014; Public Health Agency of Canada,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trend of increasing </w:t>
      </w:r>
      <w:r w:rsidR="00BF0D4A" w:rsidRPr="003D2D46">
        <w:rPr>
          <w:rFonts w:ascii="Times New Roman" w:hAnsi="Times New Roman" w:cs="Times New Roman"/>
          <w:color w:val="000000" w:themeColor="text1"/>
        </w:rPr>
        <w:t xml:space="preserve">incidence risk </w:t>
      </w:r>
      <w:r w:rsidRPr="003D2D46">
        <w:rPr>
          <w:rFonts w:ascii="Times New Roman" w:hAnsi="Times New Roman" w:cs="Times New Roman"/>
          <w:color w:val="000000" w:themeColor="text1"/>
        </w:rPr>
        <w:t xml:space="preserve">in </w:t>
      </w:r>
      <w:r w:rsidRPr="003D2D46">
        <w:rPr>
          <w:rFonts w:ascii="Times New Roman" w:hAnsi="Times New Roman" w:cs="Times New Roman"/>
          <w:color w:val="000000" w:themeColor="text1"/>
        </w:rPr>
        <w:lastRenderedPageBreak/>
        <w:t xml:space="preserve">older children and adolescent populations has been reported in Canada as well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Thommes","given":"Edward","non-dropping-particle":"","parse-names":false,"suffix":""},{"dropping-particle":"","family":"Wu","given":"Jianhong","non-dropping-particle":"","parse-names":false,"suffix":""},{"dropping-particle":"","family":"Xiao","given":"Yanyu","non-dropping-particle":"","parse-names":false,"suffix":""},{"dropping-particle":"","family":"Tomovici","given":"Antigona","non-dropping-particle":"","parse-names":false,"suffix":""},{"dropping-particle":"","family":"Lee","given":"Jason","non-dropping-particle":"","parse-names":false,"suffix":""},{"dropping-particle":"","family":"Chit","given":"Ayman","non-dropping-particle":"","parse-names":false,"suffix":""}],"container-title":"BMC Public Health","id":"ITEM-1","issued":{"date-parts":[["2020"]]},"page":"1749","publisher":"BMC Public Health","title":"Revisiting the epidemiology of pertussis in Canada , 1924 – 2015 : a literature review, evidence synthesis, and modeling study","type":"article-journal","volume":"20"},"uris":["http://www.mendeley.com/documents/?uuid=a45d93ed-7000-4a65-9fa6-8e5c6901bc55","http://www.mendeley.com/documents/?uuid=211f1cf2-7a91-4dc2-9657-0bc44a455854","http://www.mendeley.com/documents/?uuid=470ef956-fcd4-48e6-8465-7e00f4fba935"]},{"id":"ITEM-2","itemData":{"DOI":"10.14745/ccdr.v40i03a01","ISSN":"1188-4169","PMID":"29769879","abstract":"Objective The purpose of this report is to provide a summary of the pertussis activity in Canada. Methods A descriptive analysis of pertussis incidence by year, age group, gender and province/territory was conducted using national surveillance data, clinical administrative data and vital statistics data. Results Pertussis is an endemic cyclical disease in Canada with peaks in activity occurring every 2 to 5 years. Canada has experienced a decline in pertussis activity following the introduction of routine pertussis immunization programs. The incidence of pertussis is highest in infants and children. Hospitalization and mortality are more common among infants, particularly those less than three months of age. Trends in pertussis vary by province and territory. Canada experienced a notable increase in incidence in 2012. Reasons for this increase are unknown. Conclusion Our understanding of the epidemiology of pertussis in Canada could be enhanced by improved approaches for monitoring the disease. Although the peak in activity observed in 2012 could be an isolated event, further work to support outbreak response in provinces and territories, including rapid research tools and resources, should be considered.","author":[{"dropping-particle":"","family":"Smith","given":"T","non-dropping-particle":"","parse-names":false,"suffix":""},{"dropping-particle":"","family":"Rotondo","given":"J","non-dropping-particle":"","parse-names":false,"suffix":""},{"dropping-particle":"","family":"Desai","given":"S","non-dropping-particle":"","parse-names":false,"suffix":""},{"dropping-particle":"","family":"Deehan","given":"H","non-dropping-particle":"","parse-names":false,"suffix":""}],"container-title":"Canada Communicable Disease Report","id":"ITEM-2","issue":"3","issued":{"date-parts":[["2014"]]},"page":"21-30","title":"Pertussis Surveillance in Canada: Trends to 2012","type":"article-journal","volume":"40"},"uris":["http://www.mendeley.com/documents/?uuid=9acad632-36ca-465e-95f2-857aaf2d9afa","http://www.mendeley.com/documents/?uuid=c9c9908a-3bd8-44e7-b97b-8f804b9e4264","http://www.mendeley.com/documents/?uuid=3374b0ff-cba8-469e-b1d0-975e2eaf7e44"]}],"mendeley":{"formattedCitation":"(Smith et al., 2014; Thommes et al., 2020)","plainTextFormattedCitation":"(Smith et al., 2014; Thommes et al., 2020)","previouslyFormattedCitation":"(Smith et al., 2014; Thommes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(Smith et al., 2014; Thommes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Pertussis incidence risk varies by province, with the highest risk in 2000 being in British Columbia and Yukon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{"citationItems":[{"id":"ITEM-1","itemData":{"DOI":"10.14745/ccdr.v40i03a01","ISSN":"1188-4169","PMID":"29769879","abstract":"Objective The purpose of this report is to provide a summary of the pertussis activity in Canada. Methods A descriptive analysis of pertussis incidence by year, age group, gender and province/territory was conducted using national surveillance data, clinical administrative data and vital statistics data. Results Pertussis is an endemic cyclical disease in Canada with peaks in activity occurring every 2 to 5 years. Canada has experienced a decline in pertussis activity following the introduction of routine pertussis immunization programs. The incidence of pertussis is highest in infants and children. Hospitalization and mortality are more common among infants, particularly those less than three months of age. Trends in pertussis vary by province and territory. Canada experienced a notable increase in incidence in 2012. Reasons for this increase are unknown. Conclusion Our understanding of the epidemiology of pertussis in Canada could be enhanced by improved approaches for monitoring the disease. Although the peak in activity observed in 2012 could be an isolated event, further work to support outbreak response in provinces and territories, including rapid research tools and resources, should be considered.","author":[{"dropping-particle":"","family":"Smith","given":"T","non-dropping-particle":"","parse-names":false,"suffix":""},{"dropping-particle":"","family":"Rotondo","given":"J","non-dropping-particle":"","parse-names":false,"suffix":""},{"dropping-particle":"","family":"Desai","given":"S","non-dropping-particle":"","parse-names":false,"suffix":""},{"dropping-particle":"","family":"Deehan","given":"H","non-dropping-particle":"","parse-names":false,"suffix":""}],"container-title":"Canada Communicable Disease Report","id":"ITEM-1","issue":"3","issued":{"date-parts":[["2014"]]},"page":"21-30","title":"Pertussis Surveillance in Canada: Trends to 2012","type":"article-journal","volume":"40"},"uris":["http://www.mendeley.com/documents/?uuid=9acad632-36ca-465e-95f2-857aaf2d9afa","http://www.mendeley.com/documents/?uuid=c9c9908a-3bd8-44e7-b97b-8f804b9e4264","http://www.mendeley.com/documents/?uuid=3374b0ff-cba8-469e-b1d0-975e2eaf7e44"]}],"mendeley":{"formattedCitation":"(Smith et al., 2014)","plainTextFormattedCitation":"(Smith et al., 2014)","previouslyFormattedCitation":"(Smith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(Smith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4C743918" w14:textId="77777777" w:rsidR="00340169" w:rsidRPr="003D2D46" w:rsidRDefault="00340169" w:rsidP="00340169">
      <w:pPr>
        <w:spacing w:line="480" w:lineRule="auto"/>
        <w:rPr>
          <w:rFonts w:ascii="Times New Roman" w:hAnsi="Times New Roman" w:cs="Times New Roman"/>
          <w:color w:val="000000" w:themeColor="text1"/>
        </w:rPr>
      </w:pPr>
    </w:p>
    <w:p w14:paraId="21BF1906" w14:textId="2123BE00"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recent time trend analysis reported that the incidence risk of pertussis in infants less than one year old in Mexico was approximately 12 per 100,000 infants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2021.02.038","ISSN":"0264-410X","author":[{"dropping-particle":"","family":"Guzman-holst","given":"Adriana","non-dropping-particle":"","parse-names":false,"suffix":""},{"dropping-particle":"","family":"Luna-casas","given":"Gerardo","non-dropping-particle":"","parse-names":false,"suffix":""},{"dropping-particle":"","family":"Cervantes-Apolinar","given":"Maria Y","non-dropping-particle":"","parse-names":false,"suffix":""},{"dropping-particle":"","family":"Huerta-Garcia","given":"Gloria C","non-dropping-particle":"","parse-names":false,"suffix":""},{"dropping-particle":"","family":"Juliao","given":"Patricia","non-dropping-particle":"","parse-names":false,"suffix":""},{"dropping-particle":"","family":"Sánchez-gonzález","given":"Gilberto","non-dropping-particle":"","parse-names":false,"suffix":""}],"container-title":"Vaccine","id":"ITEM-1","issue":"16","issued":{"date-parts":[["2021"]]},"page":"2311-2318","publisher":"Christine Vanderlinden, Director, Head Publications, GlaxoSmithKline Biologicals S.A.","title":"Pertussis infant morbidity and mortality trends after universal maternal immunisation in Mexico : An ecological database study with time-series analysis","type":"article-journal","volume":"39"},"uris":["http://www.mendeley.com/documents/?uuid=66743904-36e5-4e78-835b-ed023827ecc7","http://www.mendeley.com/documents/?uuid=7745024a-8fcd-4873-a711-687cd305074d","http://www.mendeley.com/documents/?uuid=4c371770-07ba-4f02-a1a2-5ccb90086768"]}],"mendeley":{"formattedCitation":"(Guzman-holst et al., 2021)","plainTextFormattedCitation":"(Guzman-holst et al., 2021)","previouslyFormattedCitation":"(Guzman-holst et al.,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(Guzman-holst et al.,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seroprevalence study conducted in Mexico in 2010 reported that 47.4% of subjects were seropositive for </w:t>
      </w:r>
      <w:r w:rsidR="006B4FDA" w:rsidRPr="003D2D46">
        <w:rPr>
          <w:rFonts w:ascii="Times New Roman" w:hAnsi="Times New Roman" w:cs="Times New Roman"/>
          <w:color w:val="000000" w:themeColor="text1"/>
        </w:rPr>
        <w:t>anti-pertussis toxin (</w:t>
      </w:r>
      <w:r w:rsidRPr="003D2D46">
        <w:rPr>
          <w:rFonts w:ascii="Times New Roman" w:hAnsi="Times New Roman" w:cs="Times New Roman"/>
          <w:color w:val="000000" w:themeColor="text1"/>
        </w:rPr>
        <w:t>anti-PT</w:t>
      </w:r>
      <w:r w:rsidR="006B4FDA"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antibodies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0950268813001313","author":[{"dropping-particle":"","family":"Conde-Glez","given":"C","non-dropping-particle":"","parse-names":false,"suffix":""},{"dropping-particle":"","family":"Lazcano-Ponce","given":"E","non-dropping-particle":"","parse-names":false,"suffix":""},{"dropping-particle":"","family":"Rojas","given":"R","non-dropping-particle":"","parse-names":false,"suffix":""},{"dropping-particle":"","family":"DeAntonio","given":"R","non-dropping-particle":"","parse-names":false,"suffix":""},{"dropping-particle":"","family":"Romano-Mazzotti","given":"L","non-dropping-particle":"","parse-names":false,"suffix":""},{"dropping-particle":"","family":"Cervantes","given":"Y","non-dropping-particle":"","parse-names":false,"suffix":""},{"dropping-particle":"","family":"Ortega-Barria","given":"E","non-dropping-particle":"","parse-names":false,"suffix":""}],"container-title":"Epidemiology and Infection","id":"ITEM-1","issue":"4","issued":{"date-parts":[["2013"]]},"page":"706-713","title":"Seroprevalence of Bordetella pertussis in the Mexican population : a cross-sectional study","type":"article-journal","volume":"142"},"uris":["http://www.mendeley.com/documents/?uuid=603713bb-c65d-4a31-8a78-d38c5d36b3be","http://www.mendeley.com/documents/?uuid=ad3703c1-9bc6-4e6c-83bf-6bfc34b85a60","http://www.mendeley.com/documents/?uuid=d09e2846-a861-4590-b8fa-3f5d8ddb7042"]}],"mendeley":{"formattedCitation":"(Conde-Glez et al., 2013)","plainTextFormattedCitation":"(Conde-Glez et al., 2013)","previouslyFormattedCitation":"(Conde-Glez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(Conde-Glez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The same study reported that males and children</w:t>
      </w:r>
      <w:r w:rsidR="00B70D6E" w:rsidRPr="003D2D46">
        <w:rPr>
          <w:rFonts w:ascii="Times New Roman" w:hAnsi="Times New Roman" w:cs="Times New Roman"/>
          <w:color w:val="000000" w:themeColor="text1"/>
        </w:rPr>
        <w:t xml:space="preserve"> aged one to nine years old</w:t>
      </w:r>
      <w:r w:rsidRPr="003D2D46">
        <w:rPr>
          <w:rFonts w:ascii="Times New Roman" w:hAnsi="Times New Roman" w:cs="Times New Roman"/>
          <w:color w:val="000000" w:themeColor="text1"/>
        </w:rPr>
        <w:t xml:space="preserve"> had the highest seroprevalence, </w:t>
      </w:r>
      <w:r w:rsidR="006B4FDA" w:rsidRPr="003D2D46">
        <w:rPr>
          <w:rFonts w:ascii="Times New Roman" w:hAnsi="Times New Roman" w:cs="Times New Roman"/>
          <w:color w:val="000000" w:themeColor="text1"/>
        </w:rPr>
        <w:t xml:space="preserve">at </w:t>
      </w:r>
      <w:r w:rsidRPr="003D2D46">
        <w:rPr>
          <w:rFonts w:ascii="Times New Roman" w:hAnsi="Times New Roman" w:cs="Times New Roman"/>
          <w:color w:val="000000" w:themeColor="text1"/>
        </w:rPr>
        <w:t xml:space="preserve">53.4% and 59.3%, respectively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0950268813001313","author":[{"dropping-particle":"","family":"Conde-Glez","given":"C","non-dropping-particle":"","parse-names":false,"suffix":""},{"dropping-particle":"","family":"Lazcano-Ponce","given":"E","non-dropping-particle":"","parse-names":false,"suffix":""},{"dropping-particle":"","family":"Rojas","given":"R","non-dropping-particle":"","parse-names":false,"suffix":""},{"dropping-particle":"","family":"DeAntonio","given":"R","non-dropping-particle":"","parse-names":false,"suffix":""},{"dropping-particle":"","family":"Romano-Mazzotti","given":"L","non-dropping-particle":"","parse-names":false,"suffix":""},{"dropping-particle":"","family":"Cervantes","given":"Y","non-dropping-particle":"","parse-names":false,"suffix":""},{"dropping-particle":"","family":"Ortega-Barria","given":"E","non-dropping-particle":"","parse-names":false,"suffix":""}],"container-title":"Epidemiology and Infection","id":"ITEM-1","issue":"4","issued":{"date-parts":[["2013"]]},"page":"706-713","title":"Seroprevalence of Bordetella pertussis in the Mexican population : a cross-sectional study","type":"article-journal","volume":"142"},"uris":["http://www.mendeley.com/documents/?uuid=d09e2846-a861-4590-b8fa-3f5d8ddb7042","http://www.mendeley.com/documents/?uuid=ad3703c1-9bc6-4e6c-83bf-6bfc34b85a60","http://www.mendeley.com/documents/?uuid=603713bb-c65d-4a31-8a78-d38c5d36b3be"]}],"mendeley":{"formattedCitation":"(Conde-Glez et al., 2013)","plainTextFormattedCitation":"(Conde-Glez et al., 2013)","previouslyFormattedCitation":"(Conde-Glez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(Conde-Glez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Another seroprevalence study of pertussis in adolescents in Mexico City reported the incidence risk to be 5 per 1,000 students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{"citationItems":[{"id":"ITEM-1","itemData":{"author":[{"dropping-particle":"","family":"Sandoval","given":"PT","non-dropping-particle":"","parse-names":false,"suffix":""},{"dropping-particle":"","family":"Arreola Ldel","given":"P","non-dropping-particle":"","parse-names":false,"suffix":""},{"dropping-particle":"","family":"Quechol","given":"GR","non-dropping-particle":"","parse-names":false,"suffix":""},{"dropping-particle":"","family":"Gallardo","given":"HG","non-dropping-particle":"","parse-names":false,"suffix":""}],"container-title":"Revista de Saude Publica","id":"ITEM-1","issue":"4","issued":{"date-parts":[["2008"]]},"page":"679-683","title":"Bordetella pertussis in adolescent students in Mexico City","type":"article-journal","volume":"42"},"uris":["http://www.mendeley.com/documents/?uuid=dd6706ee-51f1-42ce-be8f-aba21e2e48e6","http://www.mendeley.com/documents/?uuid=582cc242-e1b7-44d6-8b02-5827608ea06c","http://www.mendeley.com/documents/?uuid=99e5b1cc-4a01-4a4d-99de-f9fdd0a58565"]}],"mendeley":{"formattedCitation":"(Sandoval et al., 2008)","plainTextFormattedCitation":"(Sandoval et al., 2008)","previouslyFormattedCitation":"(Sandoval et al., 2008)"},"properties":{"noteIndex":0},"schema":"https://github.com/citation-style-language/schema/raw/master/csl-citation.json"}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(Sandoval et al., 2008)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3B2FC3B6" w14:textId="35AF8D18" w:rsidR="004B759B" w:rsidRPr="003D2D46" w:rsidRDefault="004B759B" w:rsidP="00580A15">
      <w:pPr>
        <w:spacing w:line="480" w:lineRule="auto"/>
        <w:rPr>
          <w:rFonts w:ascii="Times New Roman" w:hAnsi="Times New Roman" w:cs="Times New Roman"/>
          <w:color w:val="000000" w:themeColor="text1"/>
        </w:rPr>
      </w:pPr>
    </w:p>
    <w:p w14:paraId="3273F05D" w14:textId="77777777" w:rsidR="004B759B" w:rsidRPr="003D2D46" w:rsidRDefault="00EA09C6">
      <w:pPr>
        <w:pStyle w:val="Heading511111"/>
        <w:spacing w:line="480" w:lineRule="auto"/>
        <w:rPr>
          <w:rFonts w:cs="Times New Roman"/>
          <w:color w:val="000000" w:themeColor="text1"/>
        </w:rPr>
      </w:pPr>
      <w:bookmarkStart w:id="40" w:name="_Toc81647070"/>
      <w:bookmarkStart w:id="41" w:name="_Toc82445509"/>
      <w:bookmarkStart w:id="42" w:name="_Toc87797070"/>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.2.1</w:t>
      </w:r>
      <w:r w:rsidR="004B759B" w:rsidRPr="003D2D46">
        <w:rPr>
          <w:rFonts w:cs="Times New Roman"/>
          <w:color w:val="000000" w:themeColor="text1"/>
        </w:rPr>
        <w:t xml:space="preserve"> United States</w:t>
      </w:r>
      <w:bookmarkEnd w:id="40"/>
      <w:bookmarkEnd w:id="41"/>
      <w:bookmarkEnd w:id="42"/>
    </w:p>
    <w:p w14:paraId="24D8F20F" w14:textId="5B35B968"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incidence of pertussis and number of pertussis epidemics have been increasing in the United States for the past thirty years. The cause of the changing epidemiology of pertussis in the US remains unclear, however, it is likely the result of multiple factors, including rising vaccine hesitancy, the change from a whole-cell vaccine to the currently used combination </w:t>
      </w:r>
      <w:r w:rsidRPr="003D2D46">
        <w:rPr>
          <w:rFonts w:ascii="Times New Roman" w:hAnsi="Times New Roman" w:cs="Times New Roman"/>
          <w:b/>
          <w:color w:val="000000" w:themeColor="text1"/>
        </w:rPr>
        <w:t>D</w:t>
      </w:r>
      <w:r w:rsidRPr="003D2D46">
        <w:rPr>
          <w:rFonts w:ascii="Times New Roman" w:hAnsi="Times New Roman" w:cs="Times New Roman"/>
          <w:color w:val="000000" w:themeColor="text1"/>
        </w:rPr>
        <w:t xml:space="preserve">iphtheria and </w:t>
      </w:r>
      <w:r w:rsidRPr="003D2D46">
        <w:rPr>
          <w:rFonts w:ascii="Times New Roman" w:hAnsi="Times New Roman" w:cs="Times New Roman"/>
          <w:b/>
          <w:color w:val="000000" w:themeColor="text1"/>
        </w:rPr>
        <w:t>T</w:t>
      </w:r>
      <w:r w:rsidRPr="003D2D46">
        <w:rPr>
          <w:rFonts w:ascii="Times New Roman" w:hAnsi="Times New Roman" w:cs="Times New Roman"/>
          <w:color w:val="000000" w:themeColor="text1"/>
        </w:rPr>
        <w:t xml:space="preserve">etanus toxoids and </w:t>
      </w:r>
      <w:r w:rsidRPr="003D2D46">
        <w:rPr>
          <w:rFonts w:ascii="Times New Roman" w:hAnsi="Times New Roman" w:cs="Times New Roman"/>
          <w:b/>
          <w:color w:val="000000" w:themeColor="text1"/>
        </w:rPr>
        <w:t>a</w:t>
      </w:r>
      <w:r w:rsidRPr="003D2D46">
        <w:rPr>
          <w:rFonts w:ascii="Times New Roman" w:hAnsi="Times New Roman" w:cs="Times New Roman"/>
          <w:color w:val="000000" w:themeColor="text1"/>
        </w:rPr>
        <w:t xml:space="preserve">cellular </w:t>
      </w:r>
      <w:r w:rsidRPr="003D2D46">
        <w:rPr>
          <w:rFonts w:ascii="Times New Roman" w:hAnsi="Times New Roman" w:cs="Times New Roman"/>
          <w:b/>
          <w:color w:val="000000" w:themeColor="text1"/>
        </w:rPr>
        <w:t>P</w:t>
      </w:r>
      <w:r w:rsidRPr="003D2D46">
        <w:rPr>
          <w:rFonts w:ascii="Times New Roman" w:hAnsi="Times New Roman" w:cs="Times New Roman"/>
          <w:color w:val="000000" w:themeColor="text1"/>
        </w:rPr>
        <w:t xml:space="preserve">ertussis (DTaP) vaccine as well as non-medical or philosophical vaccination exemptions from vaccination requirements for school entry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again","type":"article-journal","volume":"209"},"uris":["http://www.mendeley.com/documents/?uuid=19ce94ac-c12c-4c5d-b888-a4f1335a5235"]}],"mendeley":{"formattedCitation":"(Clark, 2014)","plainTextFormattedCitation":"(Clark, 2014)","previouslyFormattedCitation":"(Clark,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(Clark,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1CAEDDC" w14:textId="77777777" w:rsidR="00340169" w:rsidRPr="003D2D46" w:rsidRDefault="00340169" w:rsidP="00340169">
      <w:pPr>
        <w:spacing w:line="480" w:lineRule="auto"/>
        <w:rPr>
          <w:rFonts w:ascii="Times New Roman" w:hAnsi="Times New Roman" w:cs="Times New Roman"/>
          <w:color w:val="000000" w:themeColor="text1"/>
        </w:rPr>
      </w:pPr>
    </w:p>
    <w:p w14:paraId="5113E48B" w14:textId="72EE9F3F" w:rsidR="00340169" w:rsidRPr="003D2D46" w:rsidRDefault="00340169" w:rsidP="000F5D7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Infants less than one year old have the highest rates of pertussis in the United States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{"citationItems":[{"id":"ITEM-1","itemData":{"author":[{"dropping-particle":"","family":"Wirsing von Konig","given":"CH","non-dropping-particle":"","parse-names":false,"suffix":""},{"dropping-particle":"","family":"Halperin","given":"S","non-dropping-particle":"","parse-names":false,"suffix":""},{"dropping-particle":"","family":"Riffelmann","given":"M","non-dropping-particle":"","parse-names":false,"suffix":""},{"dropping-particle":"","family":"Guiso","given":"N","non-dropping-particle":"","parse-names":false,"suffix":""}],"container-title":"Lancet Infectious Diseases","id":"ITEM-1","issued":{"date-parts":[["2002"]]},"page":"744-750","title":"Review Pertussis of adults and infants","type":"article-journal","volume":"2"},"uris":["http://www.mendeley.com/documents/?uuid=d36d5a71-378a-42d8-beec-b2af38535bff","http://www.mendeley.com/documents/?uuid=173bb49f-ce18-4d22-8e4c-071cbba48500","http://www.mendeley.com/documents/?uuid=b54df673-050a-414d-a4bc-40806d90cf35"]}],"mendeley":{"formattedCitation":"(Wirsing von Konig et al., 2002)","plainTextFormattedCitation":"(Wirsing von Konig et al., 2002)","previouslyFormattedCitation":"(Wirsing von Konig et al., 2002)"},"properties":{"noteIndex":0},"schema":"https://github.com/citation-style-language/schema/raw/master/csl-citation.json"}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(Wirsing von Konig et al., 2002)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Between 2000 and 2006, infants less than one year old accounted for 93% of the pertussis-related</w:t>
      </w:r>
      <w:r w:rsidR="00A602C2" w:rsidRPr="003D2D46">
        <w:rPr>
          <w:rFonts w:ascii="Times New Roman" w:hAnsi="Times New Roman" w:cs="Times New Roman"/>
          <w:color w:val="000000" w:themeColor="text1"/>
        </w:rPr>
        <w:t xml:space="preserve"> mortality and had the highest burden of disease in the country</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{"citationItems":[{"id":"ITEM-1","itemData":{"DOI":"10.1001/jama.290.22.2968","ISSN":"00987484","abstract":"Context: Reported cases of pertussis among adolescents and adults have increased since the 1980s, despite increasingly high rates of vaccination among infants and children. However, severe pertussis morbidity and mortality occur primarily among infants. Objective: To describe the trends and characteristics of reported cases of pertussis among infants younger than 12 months in the United States from 1980 to 1999. Design, Setting, and Participants: Cases of pertussis in infants younger than 12 months in the United States reported to the National Notifiable Disease Surveillance System of the Centers for Disease Control and Prevention between 1980 and 1999, and detailed case data from the Supplementary Pertussis Surveillance System. Main Outcome Measures: Incidence and demographic and clinical characteristics of cases. Results: The incidence of reported cases of pertussis among infants increased 49% in the 1990s compared with the incidence in the 1980s (19798 vs 12550 cases reported; 51.1 cases vs 34.2 cases per 100000 infant population, respectively). Increases in the incidence of cases and the number of deaths among infants during the 1990s primarily were among those aged 4 months or younger, contrasting with a stable incidence of cases among infants aged 5 months or older. The proportion of cases confirmed by bacterial culture was higher in the 1990s than in the 1980s (50% and 33%, respectively); the proportion of hospitalized cases was unchanged (67% vs 68%, respectively). Receipt of fewer doses of vaccine was associated with hospitalization, when cases were stratified by age in months. Conclusions: The incidence of reported cases of pertussis among infants increased in the 1990s compared with the 1980s. The limited age group affected, the increased rate of bacteriologic confirmation, and the unchanged severity of illness suggest that an increase in infant pertussis has occurred apart from any change in reporting. Strategies are needed to prevent the morbidity and mortality from pertussis among infants too young to be fully vaccinated, according to the current recommended schedules of vaccination in the United States.","author":[{"dropping-particle":"","family":"Tanaka","given":"Masahiro","non-dropping-particle":"","parse-names":false,"suffix":""},{"dropping-particle":"","family":"Vitek","given":"Charles R.","non-dropping-particle":"","parse-names":false,"suffix":""},{"dropping-particle":"","family":"Pascual","given":"F. Brian","non-dropping-particle":"","parse-names":false,"suffix":""},{"dropping-particle":"","family":"Bisgard","given":"Kristine M.","non-dropping-particle":"","parse-names":false,"suffix":""},{"dropping-particle":"","family":"Tate","given":"Jacqueline E.","non-dropping-particle":"","parse-names":false,"suffix":""},{"dropping-particle":"V.","family":"Murphy","given":"Trudy","non-dropping-particle":"","parse-names":false,"suffix":""}],"container-title":"Journal of the American Medical Association","id":"ITEM-1","issue":"22","issued":{"date-parts":[["2003"]]},"page":"2968-2975","title":"Trends in Pertussis among Infants in the United States, 1980-1999","type":"article-journal","volume":"290"},"uris":["http://www.mendeley.com/documents/?uuid=9e383b58-f385-4922-ad9c-ac2dd42ac52d","http://www.mendeley.com/documents/?uuid=77654a52-180c-4326-8039-71acc12f5a71","http://www.mendeley.com/documents/?uuid=a2cce6f6-f5a1-44a4-ab83-bcacaba81017"]},{"id":"ITEM-2","itemData":{"author":[{"dropping-particle":"","family":"Vitek","given":"Charles R.","non-dropping-particle":"","parse-names":false,"suffix":""},{"dropping-particle":"","family":"Pascual","given":"F. Brian","non-dropping-particle":"","parse-names":false,"suffix":""},{"dropping-particle":"","family":"Baughman","given":"Andrew L","non-dropping-particle":"","parse-names":false,"suffix":""},{"dropping-particle":"V.","family":"Murphy","given":"Trudy","non-dropping-particle":"","parse-names":false,"suffix":""}],"container-title":"Pediatr Infect Dis J","id":"ITEM-2","issue":"7","issued":{"date-parts":[["2003"]]},"page":"628-634","title":"Increase in deaths from pertussis among young infants in the United States in the 1990s","type":"article-journal","volume":"22"},"uris":["http://www.mendeley.com/documents/?uuid=bcb179b8-10cb-4ced-a7ac-2177a15c8a65","http://www.mendeley.com/documents/?uuid=699453ad-dc3c-4a96-a957-eead4dc13f47","http://www.mendeley.com/documents/?uuid=b68cc241-0b14-4a38-806d-37332c859071"]},{"id":"ITEM-3","itemData":{"author":[{"dropping-particle":"","family":"Liang","given":"Jennifer L.","non-dropping-particle":"","parse-names":false,"suffix":""},{"dropping-particle":"","family":"Tiwari","given":"Tejpratap","non-dropping-particle":"","parse-names":false,"suffix":""},{"dropping-particle":"","family":"Moro","given":"Pedro","non-dropping-particle":"","parse-names":false,"suffix":""},{"dropping-particle":"","family":"Messonnier","given":"Nancy E","non-dropping-particle":"","parse-names":false,"suffix":""},{"dropping-particle":"","family":"Reingold","given":"Arthur","non-dropping-particle":"","parse-names":false,"suffix":""},{"dropping-particle":"","family":"Sawyer","given":"Mark","non-dropping-particle":"","parse-names":false,"suffix":""},{"dropping-particle":"","family":"Clark","given":"Thomas A.","non-dropping-particle":"","parse-names":false,"suffix":""}],"container-title":"Morbidity and Mortality Weekly Report","id":"ITEM-3","issue":"2","issued":{"date-parts":[["2018"]]},"page":"1-44","title":"Prevention of Pertussis, Tetanus, and Diphtheria with Vaccines in the United States: Recommendations of the Advisory Committee on Immunization Practices (ACIP)","type":"article-journal","volume":"67"},"uris":["http://www.mendeley.com/documents/?uuid=df90acf4-64f4-41cb-9851-7c94c93a96c6","http://www.mendeley.com/documents/?uuid=97b9c7a2-c295-4537-8b06-4e15279b5bb0","http://www.mendeley.com/documents/?uuid=c4939955-58d2-4bdc-97d0-29fa1d87a93f"]},{"id":"ITEM-4","itemData":{"author":[{"dropping-particle":"V","family":"Murphy","given":"Trudy","non-dropping-particle":"","parse-names":false,"suffix":""},{"dropping-particle":"","family":"Slade","given":"Barbara A","non-dropping-particle":"","parse-names":false,"suffix":""},{"dropping-particle":"","family":"Broder","given":"Karen R","non-dropping-particle":"","parse-names":false,"suffix":""},{"dropping-particle":"","family":"Kretsinger","given":"Katrina","non-dropping-particle":"","parse-names":false,"suffix":""},{"dropping-particle":"","family":"Tiwari","given":"Tejpratap","non-dropping-particle":"","parse-names":false,"suffix":""},{"dropping-particle":"","family":"Joyce","given":"Patricia M","non-dropping-particle":"","parse-names":false,"suffix":""},{"dropping-particle":"","family":"Iskander","given":"John K.","non-dropping-particle":"","parse-names":false,"suffix":""},{"dropping-particle":"","family":"Brown","given":"Kristin","non-dropping-particle":"","parse-names":false,"suffix":""},{"dropping-particle":"","family":"Moran","given":"John S.","non-dropping-particle":"","parse-names":false,"suffix":""}],"container-title":"Morbidity and Mortality Weekly Report","id":"ITEM-4","issue":"57","issued":{"date-parts":[["2008"]]},"page":"1-51","title":"Prevention of pertussis, tetanus, and diphtheria among pregnant and postpartum women and their infants recommendations of the Advisory Committee on Immunization Practices (ACIP)","type":"article-journal","volume":"30"},"uris":["http://www.mendeley.com/documents/?uuid=43a3e170-613e-4830-b5a4-f97d9ff142df","http://www.mendeley.com/documents/?uuid=85d08562-ce8f-492b-9a39-6ec9f0019a43","http://www.mendeley.com/documents/?uuid=09a62fa6-9179-48e3-a767-edc6a02b492d"]}],"mendeley":{"formattedCitation":"(Tanaka et al., 2003; Vitek et al., 2003; Murphy et al., 2008; Liang et al., 2018)","plainTextFormattedCitation":"(Tanaka et al., 2003; Vitek et al., 2003; Murphy et al., 2008; Liang et al., 2018)","previouslyFormattedCitation":"(Tanaka et al., 2003; Vitek et al., 2003; Murphy et al., 2008; Liang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(Tanaka et al., 2003; Vitek et al., 2003; Murphy et al., 2008; Liang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2019, the incidence risk of the disease among infants less than 6 months old in the United States was 72.3 per 100,000 and 1.4 per 100,000 in adults over 20 years old </w:t>
      </w:r>
      <w:r w:rsidRPr="003D2D46">
        <w:rPr>
          <w:rFonts w:ascii="Times New Roman" w:hAnsi="Times New Roman" w:cs="Times New Roman"/>
          <w:color w:val="000000" w:themeColor="text1"/>
        </w:rPr>
        <w:fldChar w:fldCharType="begin" w:fldLock="1"/>
      </w:r>
      <w:r w:rsidR="00A1003E" w:rsidRPr="003D2D46">
        <w:rPr>
          <w:rFonts w:ascii="Times New Roman" w:hAnsi="Times New Roman" w:cs="Times New Roman"/>
          <w:color w:val="000000" w:themeColor="text1"/>
        </w:rPr>
        <w:instrText>ADDIN CSL_CITATION {"citationItems":[{"id":"ITEM-1","itemData":{"URL":"https://www.cdc.gov/pertussis/downloads/pertuss-surv-report-2019-508.pdf","accessed":{"date-parts":[["2021","11","14"]]},"author":[{"dropping-particle":"","family":"Centers for Disease Control and Prevention (CDC)","given":"","non-dropping-particle":"","parse-names":false,"suffix":""}],"id":"ITEM-1","issued":{"date-parts":[["2019"]]},"title":"2019 Final Pertussis Surveillance Report","type":"webpage"},"uris":["http://www.mendeley.com/documents/?uuid=847dba1d-6993-42de-8648-5b4d1ca8c4fd","http://www.mendeley.com/documents/?uuid=686e9435-e065-4fad-835f-3c266fa6fbbe","http://www.mendeley.com/documents/?uuid=e79c94ab-09f2-44d7-948d-9a9e2ee31438"]}],"mendeley":{"formattedCitation":"(Centers for Disease Control and Prevention (CDC), 2019b)","plainTextFormattedCitation":"(Centers for Disease Control and Prevention (CDC), 2019b)","previouslyFormattedCitation":"(Centers for Disease Control and Prevention (CDC), 2019b)"},"properties":{"noteIndex":0},"schema":"https://github.com/citation-style-language/schema/raw/master/csl-citation.json"}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A1003E" w:rsidRPr="003D2D46">
        <w:rPr>
          <w:rFonts w:ascii="Times New Roman" w:hAnsi="Times New Roman" w:cs="Times New Roman"/>
          <w:noProof/>
          <w:color w:val="000000" w:themeColor="text1"/>
        </w:rPr>
        <w:t>(Centers for Disease Control and Prevention (CDC), 2019b)</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Adolescents accounted for over 30% of cases in epidemics in 2004 and 2005 in the United States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again","type":"article-journal","volume":"209"},"uris":["http://www.mendeley.com/documents/?uuid=19ce94ac-c12c-4c5d-b888-a4f1335a5235"]}],"mendeley":{"formattedCitation":"(Clark, 2014)","plainTextFormattedCitation":"(Clark, 2014)","previouslyFormattedCitation":"(Clark,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(Clark,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A review of pertussis in the United States between 2000 and</w:t>
      </w:r>
      <w:r w:rsidR="001C1DBA" w:rsidRPr="003D2D46">
        <w:rPr>
          <w:rFonts w:ascii="Times New Roman" w:hAnsi="Times New Roman" w:cs="Times New Roman"/>
          <w:color w:val="000000" w:themeColor="text1"/>
        </w:rPr>
        <w:t xml:space="preserve"> 2016</w:t>
      </w:r>
      <w:r w:rsidRPr="003D2D46">
        <w:rPr>
          <w:rFonts w:ascii="Times New Roman" w:hAnsi="Times New Roman" w:cs="Times New Roman"/>
          <w:color w:val="000000" w:themeColor="text1"/>
        </w:rPr>
        <w:t xml:space="preserve"> </w:t>
      </w:r>
      <w:r w:rsidR="001C1DBA" w:rsidRPr="003D2D46">
        <w:rPr>
          <w:rFonts w:ascii="Times New Roman" w:hAnsi="Times New Roman" w:cs="Times New Roman"/>
          <w:color w:val="000000" w:themeColor="text1"/>
        </w:rPr>
        <w:t xml:space="preserve">reported that cases of pertussis occurred predominantly in white people (88.2%). </w:t>
      </w:r>
      <w:r w:rsidR="00A602C2" w:rsidRPr="003D2D46">
        <w:rPr>
          <w:rFonts w:ascii="Times New Roman" w:hAnsi="Times New Roman" w:cs="Times New Roman"/>
          <w:color w:val="000000" w:themeColor="text1"/>
        </w:rPr>
        <w:t xml:space="preserve">Ten </w:t>
      </w:r>
      <w:r w:rsidR="001C1DBA" w:rsidRPr="003D2D46">
        <w:rPr>
          <w:rFonts w:ascii="Times New Roman" w:hAnsi="Times New Roman" w:cs="Times New Roman"/>
          <w:color w:val="000000" w:themeColor="text1"/>
        </w:rPr>
        <w:t xml:space="preserve">percent of total cases were hospitalized and 0.1% of total cases lead to death. </w:t>
      </w:r>
      <w:r w:rsidRPr="003D2D46">
        <w:rPr>
          <w:rFonts w:ascii="Times New Roman" w:hAnsi="Times New Roman" w:cs="Times New Roman"/>
          <w:color w:val="000000" w:themeColor="text1"/>
        </w:rPr>
        <w:t xml:space="preserve">Infants had the highest incidence (75.3 per 100,000) and accounted for 88.8% of deaths. During the study period, significant increases in </w:t>
      </w:r>
      <w:r w:rsidR="00360371" w:rsidRPr="003D2D46">
        <w:rPr>
          <w:rFonts w:ascii="Times New Roman" w:hAnsi="Times New Roman" w:cs="Times New Roman"/>
          <w:color w:val="000000" w:themeColor="text1"/>
        </w:rPr>
        <w:t xml:space="preserve">risks </w:t>
      </w:r>
      <w:r w:rsidRPr="003D2D46">
        <w:rPr>
          <w:rFonts w:ascii="Times New Roman" w:hAnsi="Times New Roman" w:cs="Times New Roman"/>
          <w:color w:val="000000" w:themeColor="text1"/>
        </w:rPr>
        <w:t xml:space="preserve">were reported for all age groups except infants less than one year old and 19-64 years old, consistent with global trends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03337740" w14:textId="77777777" w:rsidR="004B759B" w:rsidRPr="003D2D46" w:rsidRDefault="004B759B" w:rsidP="008C0934">
      <w:pPr>
        <w:spacing w:line="480" w:lineRule="auto"/>
        <w:rPr>
          <w:rFonts w:ascii="Times New Roman" w:hAnsi="Times New Roman" w:cs="Times New Roman"/>
          <w:color w:val="000000" w:themeColor="text1"/>
        </w:rPr>
      </w:pPr>
    </w:p>
    <w:p w14:paraId="6872820D" w14:textId="77777777" w:rsidR="004B759B" w:rsidRPr="003D2D46" w:rsidRDefault="00EA09C6">
      <w:pPr>
        <w:pStyle w:val="Heading511111"/>
        <w:spacing w:before="0" w:line="480" w:lineRule="auto"/>
        <w:rPr>
          <w:rFonts w:cs="Times New Roman"/>
          <w:color w:val="000000" w:themeColor="text1"/>
        </w:rPr>
      </w:pPr>
      <w:bookmarkStart w:id="43" w:name="_Toc81647071"/>
      <w:bookmarkStart w:id="44" w:name="_Toc82445510"/>
      <w:bookmarkStart w:id="45" w:name="_Toc87797071"/>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 xml:space="preserve">.2.2 </w:t>
      </w:r>
      <w:r w:rsidR="004B759B" w:rsidRPr="003D2D46">
        <w:rPr>
          <w:rFonts w:cs="Times New Roman"/>
          <w:color w:val="000000" w:themeColor="text1"/>
        </w:rPr>
        <w:t>Florida</w:t>
      </w:r>
      <w:bookmarkEnd w:id="43"/>
      <w:bookmarkEnd w:id="44"/>
      <w:bookmarkEnd w:id="45"/>
    </w:p>
    <w:p w14:paraId="0BF42896" w14:textId="18DBE595"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review of pertussis epidemiology in Florida between 2000 and 2006 reported an increase in incidence risk during the study period from 0.44 to 1.28 per 100,000 population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Increases in incidence risk has clearly continued as evidenced by the risk reported in 2019, when the annual incidence risk in children less than one year old was 38.1 per 100,000 and 3.4 per 100,000 in adolescents aged 12-18 </w:t>
      </w:r>
      <w:r w:rsidRPr="003D2D46">
        <w:rPr>
          <w:rFonts w:ascii="Times New Roman" w:hAnsi="Times New Roman" w:cs="Times New Roman"/>
          <w:color w:val="000000" w:themeColor="text1"/>
        </w:rPr>
        <w:lastRenderedPageBreak/>
        <w:t xml:space="preserve">years. Higher incidence risk of pertussis was reported in central Florida and in the panhandle. Forty nine percent of cases in 2019 were not fully vaccinated, with 28% never vaccinated, 14% under vaccinated, and 7% too young to be vaccinated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{"citationItems":[{"id":"ITEM-1","itemData":{"author":[{"dropping-particle":"","family":"Florida Department of Health","given":"","non-dropping-particle":"","parse-names":false,"suffix":""}],"id":"ITEM-1","issued":{"date-parts":[["2019"]]},"title":"Pertussis Surveillance 2019 Yearly Summary","type":"webpage"},"uris":["http://www.mendeley.com/documents/?uuid=0818db2c-4b4e-4a1c-bf68-25c79a21405c","http://www.mendeley.com/documents/?uuid=60a466af-30cf-4f8d-a3af-f14d557fc10c","http://www.mendeley.com/documents/?uuid=9e27f52d-a9f3-4d6e-bc67-5e42176ba66f"]}],"mendeley":{"formattedCitation":"(Florida Department of Health, 2019)","plainTextFormattedCitation":"(Florida Department of Health, 2019)","previouslyFormattedCitation":"(Florida Department of Health,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(Florida Department of Health,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trend of increasing incidence risk among adolescent populations was reported during this time as well. Prior to 2001, the most frequently reported cases were in infants less than one year old, but after 2001, adolescents and adults were more frequently affected. The proportion of cases in adolescents and adults increased from 12% to 21% between 2000 and 2006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30C5B046" w14:textId="77777777" w:rsidR="004B759B" w:rsidRPr="003D2D46" w:rsidRDefault="004B759B" w:rsidP="00580A15">
      <w:pPr>
        <w:spacing w:line="480" w:lineRule="auto"/>
        <w:rPr>
          <w:rFonts w:ascii="Times New Roman" w:hAnsi="Times New Roman" w:cs="Times New Roman"/>
          <w:color w:val="000000" w:themeColor="text1"/>
        </w:rPr>
      </w:pPr>
    </w:p>
    <w:p w14:paraId="2B084699" w14:textId="77777777" w:rsidR="004B759B" w:rsidRPr="003D2D46" w:rsidRDefault="00EA09C6">
      <w:pPr>
        <w:pStyle w:val="Heading41111"/>
        <w:spacing w:line="480" w:lineRule="auto"/>
        <w:rPr>
          <w:rFonts w:cs="Times New Roman"/>
          <w:color w:val="000000" w:themeColor="text1"/>
        </w:rPr>
      </w:pPr>
      <w:bookmarkStart w:id="46" w:name="_Toc81647072"/>
      <w:bookmarkStart w:id="47" w:name="_Toc82445511"/>
      <w:bookmarkStart w:id="48" w:name="_Toc87797072"/>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.3</w:t>
      </w:r>
      <w:r w:rsidR="004B759B" w:rsidRPr="003D2D46">
        <w:rPr>
          <w:rFonts w:cs="Times New Roman"/>
          <w:color w:val="000000" w:themeColor="text1"/>
        </w:rPr>
        <w:t xml:space="preserve"> Geographic Distribution</w:t>
      </w:r>
      <w:bookmarkEnd w:id="46"/>
      <w:bookmarkEnd w:id="47"/>
      <w:bookmarkEnd w:id="48"/>
      <w:r w:rsidR="004B759B" w:rsidRPr="003D2D46">
        <w:rPr>
          <w:rFonts w:cs="Times New Roman"/>
          <w:color w:val="000000" w:themeColor="text1"/>
        </w:rPr>
        <w:t xml:space="preserve"> </w:t>
      </w:r>
    </w:p>
    <w:p w14:paraId="168A54D0" w14:textId="74BAA360" w:rsidR="00AD5D8D"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occurs in all six WHO regions: Africa, the Americas, the Eastern Mediterranean, Europe, Southeast Asia, and the Western Pacific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Journal","id":"ITEM-1","issue":"9","issued":{"date-parts":[["2015"]]},"page":"222-232","title":"Recent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mendeley":{"formattedCitation":"(Tan et al., 2015)","plainTextFormattedCitation":"(Tan et al., 2015)","previouslyFormattedCitation":"(Tan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Between 2003 and 2007, the European Centre for Disease Prevention and Control (ECDC) reported an overall annual incidence risk of 4.1 per 100,000 population, with the highest incidence risks being reported in Norway, Sweden, and Finland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{"citationItems":[{"id":"ITEM-1","itemData":{"DOI":"10.1017/S0950268812003093","ISSN":"14694409","abstract":"Recent much-publicized increases in pertussis case reports in some countries with high vaccine coverage have raised concerns about its current and future control. The ubiquity of this trend, however, remains unexamined. In an attempt to paint a global picture, we used case counts to determine which countries experienced statistically significant trends in incidence over the past two decades and to map changes in incidence during this period. These data reveal that pertussis resurgence is not a universal phenomenon. The heterogeneity in incidence trends, even in countries with superficially similar demography, socioeconomic conditions and vaccination programmes, is striking and requires explanation. In this opinion piece, we review and assess the multifaceted proposed explanations incorporating evolution, population dynamics, and the details of immunization programmes. While we do not solve the riddle that is pertussis epidemiology, we highlight critical aspects that are likely to hold the key to understanding its worldwide epidemiology. © 2013 Cambridge University Press.","author":[{"dropping-particle":"","family":"Jackson","given":"D. W.","non-dropping-particle":"","parse-names":false,"suffix":""},{"dropping-particle":"","family":"Rohani","given":"Pejman","non-dropping-particle":"","parse-names":false,"suffix":""}],"container-title":"Epidemiology and Infection","id":"ITEM-1","issue":"4","issued":{"date-parts":[["2014"]]},"page":"672-684","title":"Perplexities of pertussis: Recent global epidemiological trends and their potential causes","type":"article-journal","volume":"142"},"uris":["http://www.mendeley.com/documents/?uuid=b38a696c-141e-4d06-a8a6-f47727fd850f"]},{"id":"ITEM-2","itemData":{"DOI":"10.3390/ijerph9124626","abstract":"Pertussis continues to be a relevant public-health issue. The high coverage rates achieved have decreased the spread of the pathogen, but the waning of immunity implies a relevant role of adolescents and adults in the infective dynamics as they may represent a significant source of infection for unvaccinated or incompletely immunized newborns. The passive surveillance system is affected by many limitations. The underestimation of pertussis in adolescents, young adults and adults is mainly related to the atypical clinical characteristics of cases and the lack of lab confirmation. The real epidemiological impact of pertussis is not always perceived, anyway, the unavailability of comprehensive data should not hamper the adoption of active prophylactic interventions aimed at preventing the impact of waning immunity on pertussis. To avoid an increase of the mean age of acquisition of the infection, a booster dose of low-antigen content combined vaccine should be adopted in adolescents and adults. A decreased risk of infection in newborns can be achieved with the cocoon strategy, although the debate on this aspect is still open and enhanced surveillance and further studies are needed to fine-tune the pertussis prevention strategy.","author":[{"dropping-particle":"","family":"Gabutti","given":"Giovanni","non-dropping-particle":"","parse-names":false,"suffix":""},{"dropping-particle":"","family":"Rota","given":"Maria Cristina","non-dropping-particle":"","parse-names":false,"suffix":""}],"container-title":"Int J Environ Res Public Health","id":"ITEM-2","issued":{"date-parts":[["2012"]]},"page":"4626-4638","title":"Pertussis : A Review of Disease Epidemiology Worldwide and in Italy","type":"article-journal","volume":"9"},"uris":["http://www.mendeley.com/documents/?uuid=ae14af25-2f26-416c-bc76-0b13e78674e6","http://www.mendeley.com/documents/?uuid=197a76fc-4e45-4021-b6e9-ef012b1544d9","http://www.mendeley.com/documents/?uuid=30617c1e-5510-4d8b-9773-d55c830ccae9"]}],"mendeley":{"formattedCitation":"(Gabutti &amp; Rota, 2012; Jackson &amp; Rohani, 2014)","plainTextFormattedCitation":"(Gabutti &amp; Rota, 2012; Jackson &amp; Rohani, 2014)","previouslyFormattedCitation":"(Gabutti &amp; Rota, 2012; Jackson &amp; Rohani,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(Gabutti &amp; Rota, 2012; Jackson &amp; Rohani,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incidence risk of pertussis in central and eastern European nations between 1995 and 2005 was reported to be less than 3 per 100,000 population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{"citationItems":[{"id":"ITEM-1","itemData":{"DOI":"10.3390/ijerph9124626","abstract":"Pertussis continues to be a relevant public-health issue. The high coverage rates achieved have decreased the spread of the pathogen, but the waning of immunity implies a relevant role of adolescents and adults in the infective dynamics as they may represent a significant source of infection for unvaccinated or incompletely immunized newborns. The passive surveillance system is affected by many limitations. The underestimation of pertussis in adolescents, young adults and adults is mainly related to the atypical clinical characteristics of cases and the lack of lab confirmation. The real epidemiological impact of pertussis is not always perceived, anyway, the unavailability of comprehensive data should not hamper the adoption of active prophylactic interventions aimed at preventing the impact of waning immunity on pertussis. To avoid an increase of the mean age of acquisition of the infection, a booster dose of low-antigen content combined vaccine should be adopted in adolescents and adults. A decreased risk of infection in newborns can be achieved with the cocoon strategy, although the debate on this aspect is still open and enhanced surveillance and further studies are needed to fine-tune the pertussis prevention strategy.","author":[{"dropping-particle":"","family":"Gabutti","given":"Giovanni","non-dropping-particle":"","parse-names":false,"suffix":""},{"dropping-particle":"","family":"Rota","given":"Maria Cristina","non-dropping-particle":"","parse-names":false,"suffix":""}],"container-title":"Int J Environ Res Public Health","id":"ITEM-1","issued":{"date-parts":[["2012"]]},"page":"4626-4638","title":"Pertussis : A Review of Disease Epidemiology Worldwide and in Italy","type":"article-journal","volume":"9"},"uris":["http://www.mendeley.com/documents/?uuid=ae14af25-2f26-416c-bc76-0b13e78674e6","http://www.mendeley.com/documents/?uuid=197a76fc-4e45-4021-b6e9-ef012b1544d9","http://www.mendeley.com/documents/?uuid=30617c1e-5510-4d8b-9773-d55c830ccae9"]}],"mendeley":{"formattedCitation":"(Gabutti &amp; Rota, 2012)","plainTextFormattedCitation":"(Gabutti &amp; Rota, 2012)","previouslyFormattedCitation":"(Gabutti &amp; Rota,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(Gabutti &amp; Rota,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Another analysis of 54 countries between 1990 and 2010 reported significant geographic variability in incidence risk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{"citationItems":[{"id":"ITEM-1","itemData":{"DOI":"10.1017/S0950268812003093","ISSN":"14694409","abstract":"Recent much-publicized increases in pertussis case reports in some countries with high vaccine coverage have raised concerns about its current and future control. The ubiquity of this trend, however, remains unexamined. In an attempt to paint a global picture, we used case counts to determine which countries experienced statistically significant trends in incidence over the past two decades and to map changes in incidence during this period. These data reveal that pertussis resurgence is not a universal phenomenon. The heterogeneity in incidence trends, even in countries with superficially similar demography, socioeconomic conditions and vaccination programmes, is striking and requires explanation. In this opinion piece, we review and assess the multifaceted proposed explanations incorporating evolution, population dynamics, and the details of immunization programmes. While we do not solve the riddle that is pertussis epidemiology, we highlight critical aspects that are likely to hold the key to understanding its worldwide epidemiology. © 2013 Cambridge University Press.","author":[{"dropping-particle":"","family":"Jackson","given":"D. W.","non-dropping-particle":"","parse-names":false,"suffix":""},{"dropping-particle":"","family":"Rohani","given":"Pejman","non-dropping-particle":"","parse-names":false,"suffix":""}],"container-title":"Epidemiology and Infection","id":"ITEM-1","issue":"4","issued":{"date-parts":[["2014"]]},"page":"672-684","title":"Perplexities of pertussis: Recent global epidemiological trends and their potential causes","type":"article-journal","volume":"142"},"uris":["http://www.mendeley.com/documents/?uuid=b38a696c-141e-4d06-a8a6-f47727fd850f"]}],"mendeley":{"formattedCitation":"(Jackson &amp; Rohani, 2014)","plainTextFormattedCitation":"(Jackson &amp; Rohani, 2014)","previouslyFormattedCitation":"(Jackson &amp; Rohani,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(Jackson &amp; Rohani,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778914E6" w14:textId="733CDA11" w:rsidR="00340169" w:rsidRPr="003D2D46" w:rsidRDefault="00340169">
      <w:pPr>
        <w:spacing w:line="480" w:lineRule="auto"/>
        <w:rPr>
          <w:rFonts w:ascii="Times New Roman" w:hAnsi="Times New Roman" w:cs="Times New Roman"/>
          <w:color w:val="000000" w:themeColor="text1"/>
        </w:rPr>
      </w:pPr>
    </w:p>
    <w:p w14:paraId="60F3BA08" w14:textId="72923360"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Pertussis incidence risk varies greatly at the state or provincial geographic scale, as well. A recent study of the geographic variability within Iran analyzed data from 2009 to 2015 with the intention of modeling future risk. The authors reported significant increases in incidence risks that varied by province and identified several provinces with higher than average risks: Qom, Mazandaran, Tehran, Qazvin, and Zanjan provinces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Moradi","given":"Ghobad","non-dropping-particle":"","parse-names":false,"suffix":""},{"dropping-particle":"","family":"Azim","given":"Fatemeh","non-dropping-particle":"","parse-names":false,"suffix":""}],"container-title":"Medical Journal of the Islamic Republic of Iran","id":"ITEM-1","issued":{"date-parts":[["2021"]]},"page":"108","title":"Epidemiology incidence and a geoggraphical distribution of Pertussis using GIS and its incidence prediction in Iran in 2021","type":"article-journal","volume":"35"},"uris":["http://www.mendeley.com/documents/?uuid=b1a3a0e6-098c-4ece-aa95-e68d4a34802b","http://www.mendeley.com/documents/?uuid=889ed379-f25b-4eba-af96-6013d8339f41","http://www.mendeley.com/documents/?uuid=06406cbe-92f5-4045-beae-c0e131cc4f76"]}],"mendeley":{"formattedCitation":"(Moradi &amp; Azim, 2021)","plainTextFormattedCitation":"(Moradi &amp; Azim, 2021)","previouslyFormattedCitation":"(Moradi &amp; Azim,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(Moradi &amp; Azim,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Zanjan, Qazvin, and Qom provinces were also identified as provinces with significantly higher pertussis risks in a separate cross-sectional study investigating the spatial and temporal distribution of pertussis in Iran between 2012 and 2018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{"citationItems":[{"id":"ITEM-1","itemData":{"DOI":"10.34171/mjiri.34.22","ISSN":"22516840","abstract":"Background: In spite of existing vaccination programs in many countries, outbreaks of pertussis are still reported. In Iran, the suspected and confirmed cases of pertussis are reported annually. Due to the lack of similar studies, the purpose of the current study was to determine the Spatio-temporal distribution of Pertussis using Geographic Information System (GIS) to identify high-risk areas in Iran during 2012-2018. Methods: In the current cross-sectional study, registered data in the department of vaccine-preventable diseases in the Iranian ministry of health were used. To assess the temporal trend, the Cochran-Armitage test was used. To show the spatial distribution and to identify hotspot areas, Choropleth map and Getis-Ord Gi statistics were used. All analyses performed by Arc. map10.5, Stata 15 and Excel 2010. Results: The incidence of suspect pertussis cases had an increasing trend but did not have a linear trend (p=0.06). Most of the cases happened in under 1 year infants (62.66%). The incidence of reported cases in northern areas was higher than in the Southern areas. The Zanjan had the most reported cases during the understudied period with a median of 7.63 reported cases per 100,000. The clustering of infection and hotspots were identified in northern areas of Iran including Qazvin, Qom, Markazi, and Hamadan. Conclusion: Our results showed that the cumulative incidence of reported cases is increasing. The northern provinces had the highest incidence of Pertussis. Therefore, the causes of this spatio-temporal pattern of pertussis should be determined. Also, supervision on vaccination programs in high-risk areas is recommended.","author":[{"dropping-particle":"","family":"Alimohamadi","given":"Yousef","non-dropping-particle":"","parse-names":false,"suffix":""},{"dropping-particle":"","family":"Zahraei","given":"Seyed Mohsen","non-dropping-particle":"","parse-names":false,"suffix":""},{"dropping-particle":"","family":"Karami","given":"Manoochehr","non-dropping-particle":"","parse-names":false,"suffix":""},{"dropping-particle":"","family":"Yaseri","given":"Mehdi","non-dropping-particle":"","parse-names":false,"suffix":""},{"dropping-particle":"","family":"Lotfizad","given":"Mojtaba","non-dropping-particle":"","parse-names":false,"suffix":""},{"dropping-particle":"","family":"Holakouie-Naieni","given":"Kourosh","non-dropping-particle":"","parse-names":false,"suffix":""}],"container-title":"Medical Journal of the Islamic Republic of Iran","id":"ITEM-1","issue":"1","issued":{"date-parts":[["2020"]]},"title":"Spatio-temporal analysis of pertussis using geographic information system among iranian population during 2012-2018","type":"article-journal","volume":"34"},"uris":["http://www.mendeley.com/documents/?uuid=15f6e70c-7588-4285-a13b-452551e87787"]}],"mendeley":{"formattedCitation":"(Alimohamadi et al., 2020)","plainTextFormattedCitation":"(Alimohamadi et al., 2020)","previouslyFormattedCitation":"(Alimohamadi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(Alimohamadi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recent analysis of the epidemiology of reported pertussis cases in the United States between 2000 and 2016 reported that the West North Central (Iowa, Kansas, Minnesota, Missouri, Nebraska, North Dakota, and South Dakota) and Mountain (Arizona, Colorado, Idaho, Montana, Nevada, New Mexico, Utah, and Wyoming) regions have the highest annual incidence risks at 11.9 and 11.5 per 100,000, respectively. The regions with the lowest annual incidence risks included the South Atlantic (Delaware, Washington, D.C., Florida, Georgia, Maryland, North Carolina, South Carolina, Virginia, and West Virginia) and East South Central (Alabama, Kentucky, Mississippi, and Tennessee), reporting risks of 2.5 and 3.1 per 100,000, respectively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134B621" w14:textId="77777777" w:rsidR="00340169" w:rsidRPr="003D2D46" w:rsidRDefault="00340169" w:rsidP="00340169">
      <w:pPr>
        <w:spacing w:line="480" w:lineRule="auto"/>
        <w:rPr>
          <w:rFonts w:ascii="Times New Roman" w:hAnsi="Times New Roman" w:cs="Times New Roman"/>
          <w:color w:val="000000" w:themeColor="text1"/>
        </w:rPr>
      </w:pPr>
    </w:p>
    <w:p w14:paraId="5E3BAEB5" w14:textId="6E4E3A28"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Geographic variation at the county level was noted in a review of pertussis cases in Florida between 2000 and 2006, with three counties (Hillsborough, Pinellas, and Duval) around metropolitan areas (Tampa, St. Petersburg, and Jacksonville, respectively) </w:t>
      </w:r>
      <w:r w:rsidRPr="003D2D46">
        <w:rPr>
          <w:rFonts w:ascii="Times New Roman" w:hAnsi="Times New Roman" w:cs="Times New Roman"/>
          <w:color w:val="000000" w:themeColor="text1"/>
        </w:rPr>
        <w:lastRenderedPageBreak/>
        <w:t xml:space="preserve">reporting at least 10% of the total cases each. More than half of total cases were reported in females (53%) and the majority were white non-Hispanic (64%)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4A19F89B" w14:textId="77777777" w:rsidR="006A5E7A" w:rsidRPr="003D2D46" w:rsidRDefault="006A5E7A" w:rsidP="00340169">
      <w:pPr>
        <w:spacing w:line="480" w:lineRule="auto"/>
        <w:rPr>
          <w:rFonts w:ascii="Times New Roman" w:hAnsi="Times New Roman" w:cs="Times New Roman"/>
          <w:color w:val="000000" w:themeColor="text1"/>
        </w:rPr>
      </w:pPr>
    </w:p>
    <w:p w14:paraId="48A8580F" w14:textId="0086B6BD" w:rsidR="004B759B" w:rsidRPr="003D2D46" w:rsidRDefault="00EA09C6">
      <w:pPr>
        <w:pStyle w:val="Heading41111"/>
        <w:spacing w:line="480" w:lineRule="auto"/>
        <w:rPr>
          <w:rFonts w:cs="Times New Roman"/>
          <w:color w:val="000000" w:themeColor="text1"/>
        </w:rPr>
      </w:pPr>
      <w:bookmarkStart w:id="49" w:name="_Toc81647073"/>
      <w:bookmarkStart w:id="50" w:name="_Toc82445512"/>
      <w:bookmarkStart w:id="51" w:name="_Toc87797073"/>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.4</w:t>
      </w:r>
      <w:r w:rsidR="004B759B" w:rsidRPr="003D2D46">
        <w:rPr>
          <w:rFonts w:cs="Times New Roman"/>
          <w:color w:val="000000" w:themeColor="text1"/>
        </w:rPr>
        <w:t xml:space="preserve"> Temporal Patterns</w:t>
      </w:r>
      <w:bookmarkEnd w:id="49"/>
      <w:bookmarkEnd w:id="50"/>
      <w:bookmarkEnd w:id="51"/>
      <w:r w:rsidR="004B759B" w:rsidRPr="003D2D46">
        <w:rPr>
          <w:rFonts w:cs="Times New Roman"/>
          <w:color w:val="000000" w:themeColor="text1"/>
        </w:rPr>
        <w:t xml:space="preserve"> </w:t>
      </w:r>
    </w:p>
    <w:p w14:paraId="7D4708F8" w14:textId="6FAF3F2C"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Seasonal patterns of pertussis have been inconsistent. A review of worldwide pertussis epidemiology suggests that pertussis has a summer-fall seasonality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{"citationItems":[{"id":"ITEM-1","itemData":{"DOI":"10.3390/ijerph9124626","abstract":"Pertussis continues to be a relevant public-health issue. The high coverage rates achieved have decreased the spread of the pathogen, but the waning of immunity implies a relevant role of adolescents and adults in the infective dynamics as they may represent a significant source of infection for unvaccinated or incompletely immunized newborns. The passive surveillance system is affected by many limitations. The underestimation of pertussis in adolescents, young adults and adults is mainly related to the atypical clinical characteristics of cases and the lack of lab confirmation. The real epidemiological impact of pertussis is not always perceived, anyway, the unavailability of comprehensive data should not hamper the adoption of active prophylactic interventions aimed at preventing the impact of waning immunity on pertussis. To avoid an increase of the mean age of acquisition of the infection, a booster dose of low-antigen content combined vaccine should be adopted in adolescents and adults. A decreased risk of infection in newborns can be achieved with the cocoon strategy, although the debate on this aspect is still open and enhanced surveillance and further studies are needed to fine-tune the pertussis prevention strategy.","author":[{"dropping-particle":"","family":"Gabutti","given":"Giovanni","non-dropping-particle":"","parse-names":false,"suffix":""},{"dropping-particle":"","family":"Rota","given":"Maria Cristina","non-dropping-particle":"","parse-names":false,"suffix":""}],"container-title":"Int J Environ Res Public Health","id":"ITEM-1","issued":{"date-parts":[["2012"]]},"page":"4626-4638","title":"Pertussis : A Review of Disease Epidemiology Worldwide and in Italy","type":"article-journal","volume":"9"},"uris":["http://www.mendeley.com/documents/?uuid=ae14af25-2f26-416c-bc76-0b13e78674e6","http://www.mendeley.com/documents/?uuid=197a76fc-4e45-4021-b6e9-ef012b1544d9","http://www.mendeley.com/documents/?uuid=30617c1e-5510-4d8b-9773-d55c830ccae9"]}],"mendeley":{"formattedCitation":"(Gabutti &amp; Rota, 2012)","plainTextFormattedCitation":"(Gabutti &amp; Rota, 2012)","previouslyFormattedCitation":"(Gabutti &amp; Rota,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(Gabutti &amp; Rota,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hierarchical time-series analysis of pertussis seasonality and periodicity in the Netherlands between 1996 and 2006 showed peak incidence in August each year for all age groups except among adolescents, for whom peaks occurred in November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0950268809002489","author":[{"dropping-particle":"","family":"Greeff","given":"SC","non-dropping-particle":"de","parse-names":false,"suffix":""},{"dropping-particle":"","family":"Dekkers","given":"ALM","non-dropping-particle":"","parse-names":false,"suffix":""},{"dropping-particle":"","family":"Teunis","given":"Peter","non-dropping-particle":"","parse-names":false,"suffix":""},{"dropping-particle":"","family":"Rahamat-Langendoen","given":"JC","non-dropping-particle":"","parse-names":false,"suffix":""},{"dropping-particle":"","family":"Mooi","given":"FR","non-dropping-particle":"","parse-names":false,"suffix":""},{"dropping-particle":"","family":"Melker","given":"HE","non-dropping-particle":"de","parse-names":false,"suffix":""}],"container-title":"Epidemiol Infect","id":"ITEM-1","issued":{"date-parts":[["2009"]]},"page":"1388-1395","title":"Seasonal patterns in time series of pertussis","type":"article-journal","volume":"137"},"uris":["http://www.mendeley.com/documents/?uuid=de415022-5379-4ac3-8c85-9c91e228d750","http://www.mendeley.com/documents/?uuid=f1d0b33f-c6e2-427f-bf23-3ff72a059a11","http://www.mendeley.com/documents/?uuid=e493e5e5-3594-4a62-ba72-652ce1f7d5d5"]}],"mendeley":{"formattedCitation":"(de Greeff et al., 2009)","plainTextFormattedCitation":"(de Greeff et al., 2009)","previouslyFormattedCitation":"(de Greeff et al., 2009)"},"properties":{"noteIndex":0},"schema":"https://github.com/citation-style-language/schema/raw/master/csl-citation.json"}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(de Greeff et al., 2009)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Seasonality may vary geographically as the peak incidence has been reported to occur in February and September in England and Wales while in Germany the highest incidence was between June and September, similar to Australia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Fine","given":"PE","non-dropping-particle":"","parse-names":false,"suffix":""},{"dropping-particle":"","family":"Clarkson","given":"JA","non-dropping-particle":"","parse-names":false,"suffix":""}],"container-title":"Int J Epidemiol","id":"ITEM-1","issue":"2","issued":{"date-parts":[["1986"]]},"page":"237-47","title":"Seasonal influences on pertussis","type":"article-journal","volume":"15"},"uris":["http://www.mendeley.com/documents/?uuid=78f23723-6d36-417d-b961-a71ac665a3e3","http://www.mendeley.com/documents/?uuid=25349982-02fb-4241-9b35-295ab6c95413","http://www.mendeley.com/documents/?uuid=0352149c-595a-4517-8397-a5fe828b28b5"]},{"id":"ITEM-2","itemData":{"author":[{"dropping-particle":"","family":"Hitz","given":"Daniel Allermann","non-dropping-particle":"","parse-names":false,"suffix":""},{"dropping-particle":"","family":"Tewald","given":"Friedemann","non-dropping-particle":"","parse-names":false,"suffix":""},{"dropping-particle":"","family":"Eggers","given":"Maren","non-dropping-particle":"","parse-names":false,"suffix":""}],"container-title":"BMC Infectious Diseases","id":"ITEM-2","issued":{"date-parts":[["2020"]]},"page":"474","publisher":"BMC Infectious Diseases","title":"Seasonal Bordetella pertussis pattern in the period from 2008 to 2018 in Germany","type":"article-journal","volume":"20"},"uris":["http://www.mendeley.com/documents/?uuid=2f61ad65-6bb3-445e-909b-25804076ec59","http://www.mendeley.com/documents/?uuid=07e0f829-d8b6-43a0-8fcb-0ef01984a1af","http://www.mendeley.com/documents/?uuid=788b4c85-7b99-4e94-918d-61a1e0f63de9"]},{"id":"ITEM-3","itemData":{"DOI":"10.1017/S095026881200091X","author":[{"dropping-particle":"","family":"Clarke","given":"MF","non-dropping-particle":"","parse-names":false,"suffix":""},{"dropping-particle":"","family":"Rasiah","given":"K","non-dropping-particle":"","parse-names":false,"suffix":""},{"dropping-particle":"","family":"Copland","given":"J","non-dropping-particle":"","parse-names":false,"suffix":""},{"dropping-particle":"","family":"Watson","given":"M","non-dropping-particle":"","parse-names":false,"suffix":""},{"dropping-particle":"","family":"Koehler","given":"AP","non-dropping-particle":"","parse-names":false,"suffix":""},{"dropping-particle":"","family":"Dowling","given":"K","non-dropping-particle":"","parse-names":false,"suffix":""},{"dropping-particle":"","family":"Marshall","given":"HS","non-dropping-particle":"","parse-names":false,"suffix":""}],"container-title":"Epidemiol Infect","id":"ITEM-3","issued":{"date-parts":[["2013"]]},"page":"463-471","title":"The pertussis epidemic : informing strategies for prevention of severe disease","type":"article-journal","volume":"141"},"uris":["http://www.mendeley.com/documents/?uuid=fdf7c2c7-e365-4627-95cb-90c2c27e2a01","http://www.mendeley.com/documents/?uuid=3263b094-af46-4db3-bb68-ccf3ca6badd2","http://www.mendeley.com/documents/?uuid=1b5d60c3-01a2-4f92-814c-7ddd9dfee77e"]}],"mendeley":{"formattedCitation":"(Fine &amp; Clarkson, 1986; Clarke et al., 2013; Hitz, Tewald &amp; Eggers, 2020)","plainTextFormattedCitation":"(Fine &amp; Clarkson, 1986; Clarke et al., 2013; Hitz, Tewald &amp; Eggers, 2020)","previouslyFormattedCitation":"(Fine &amp; Clarkson, 1986; Clarke et al., 2013; Hitz, Tewald &amp; Eggers,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(Fine &amp; Clarkson, 1986; Clarke et al., 2013; Hitz, Tewald &amp; Eggers,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93003E9" w14:textId="77777777" w:rsidR="00340169" w:rsidRPr="003D2D46" w:rsidRDefault="00340169" w:rsidP="00340169">
      <w:pPr>
        <w:spacing w:line="480" w:lineRule="auto"/>
        <w:rPr>
          <w:rFonts w:ascii="Times New Roman" w:hAnsi="Times New Roman" w:cs="Times New Roman"/>
          <w:color w:val="000000" w:themeColor="text1"/>
        </w:rPr>
      </w:pPr>
    </w:p>
    <w:p w14:paraId="3212D830" w14:textId="737522FA"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incidence risk has been increasing in the United States, as well as globally, over the past three decades. An analysis of the reported cases of pertussis in the United States between 2000 and 2016 revealed a significant increase over time in all age groups except infants less than one year old and adults aged 19-34  years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increase in incidence risk over time occurred in adolescents aged 11-18, increasing from 6.1 to 26.1 per 100,000 between 2001 and 2004, and children aged 7-10, increasing from 8.5 to 58.5 per 100,000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7FC7B69" w14:textId="77777777" w:rsidR="00340169" w:rsidRPr="003D2D46" w:rsidRDefault="00340169" w:rsidP="00340169">
      <w:pPr>
        <w:spacing w:line="480" w:lineRule="auto"/>
        <w:rPr>
          <w:rFonts w:ascii="Times New Roman" w:hAnsi="Times New Roman" w:cs="Times New Roman"/>
          <w:color w:val="000000" w:themeColor="text1"/>
        </w:rPr>
      </w:pPr>
    </w:p>
    <w:p w14:paraId="4C173A0B" w14:textId="3D505188"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A comparative study of 64 countries reported that pertussis epidemics have a cyclic pattern every 2-4.6 years, where the magnitude of the cycles varies geographically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Sciences","id":"ITEM-1","issue":"1698","issued":{"date-parts":[["2010"]]},"page":"3239-3245","title":"Impact of vaccination and birth rate on the epidemiology of pertussis: A comparative study in 64 countries","type":"article-journal","volume":"277"},"uris":["http://www.mendeley.com/documents/?uuid=29635471-f1f9-4ba4-b2d8-cead1f36f59a"]}],"mendeley":{"formattedCitation":"(Broutin et al., 2010)","plainTextFormattedCitation":"(Broutin et al., 2010)","previouslyFormattedCitation":"(Broutin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(Broutin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pertussis transmission dynamics in the United States between 1938 and 2010 identified that pertussis peaks occur in four year cycles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{"citationItems":[{"id":"ITEM-1","itemData":{"DOI":"10.1093/aje/kwv024","ISSN":"14766256","PMID":"26022662","abstract":"Past patterns of infectious disease transmission set the stage on which modern epidemiologic dynamics are played out. Here, we present a comprehensive account of pertussis (whooping cough) transmission in the United States during the early vaccine era. We analyzed recently digitized weekly incidence records from Morbidity and Mortality Weekly Reports from 1938 to 1955, when the whole-cell pertussis vaccine was rolled out, and related them to contemporary patterns of transmission and resurgence documented in monthly incidence data from the National Notifiable Diseases Surveillance System. We found that, during the early vaccine era, pertussis epidemics in US states could be categorized as 1) annual, 2) initially annual and later multiennial, or 3) multiennial. States with predominantly annual cycles tended to have higher per capita birth rates, more household crowding, more children per family, and lower rates of school attendance than the states with multiennial cycles. Additionally, states that exhibited annual epidemics during 1938-1955 have had the highest recent (2001-2010) incidence, while those states that transitioned from annual cycles to multiennial cycles have had relatively low recent incidence. Our study provides an extensive picture of pertussis epidemiology in the United States dating back to the onset of vaccination, a back-story that could aid epidemiologists in understanding contemporary transmission patterns.","author":[{"dropping-particle":"","family":"Magpantay","given":"F. M.G.","non-dropping-particle":"","parse-names":false,"suffix":""},{"dropping-particle":"","family":"Rohani","given":"P.","non-dropping-particle":"","parse-names":false,"suffix":""}],"container-title":"American Journal of Epidemiology","id":"ITEM-1","issue":"12","issued":{"date-parts":[["2015"]]},"page":"921-931","title":"Dynamics of Pertussis Transmission in the United States","type":"article-journal","volume":"181"},"uris":["http://www.mendeley.com/documents/?uuid=1f25d08d-57f9-4703-bf1b-99869bd5e56b","http://www.mendeley.com/documents/?uuid=6a1e0aa9-6b3d-483c-9157-ab2b34a20cf4","http://www.mendeley.com/documents/?uuid=234899b8-de08-4931-8532-57fff532e1dc"]}],"mendeley":{"formattedCitation":"(Magpantay &amp; Rohani, 2015)","plainTextFormattedCitation":"(Magpantay &amp; Rohani, 2015)","previouslyFormattedCitation":"(Magpantay &amp; Rohani,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(Magpantay &amp; Rohani,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Cyclicity does seem to vary by geographic region. Skoff and colleagues reported that epidemic peak intervals ranged from 2 to 7 years depending on US region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the United States, the average national incidence risk in non-peak years from 2000 to 2008 was 3.4 per 100,000 and during peak years between 2009 and 2016 the national average incidence increased to 5.9 per 100,000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00F17B83" w:rsidRPr="003D2D46">
        <w:rPr>
          <w:rFonts w:ascii="Times New Roman" w:hAnsi="Times New Roman" w:cs="Times New Roman"/>
          <w:color w:val="000000" w:themeColor="text1"/>
        </w:rPr>
        <w:t xml:space="preserve">The overall percent of hospitalizations </w:t>
      </w:r>
      <w:r w:rsidRPr="003D2D46">
        <w:rPr>
          <w:rFonts w:ascii="Times New Roman" w:hAnsi="Times New Roman" w:cs="Times New Roman"/>
          <w:color w:val="000000" w:themeColor="text1"/>
        </w:rPr>
        <w:t xml:space="preserve">decreased significantly from 20.6% in 2000 to 6.7% in 2016. However, hospitalizations increased in patients 7-10 years old (6.7%), 30-64 (4.7%), </w:t>
      </w:r>
      <w:r w:rsidR="00477603" w:rsidRPr="003D2D46">
        <w:rPr>
          <w:rFonts w:ascii="Times New Roman" w:hAnsi="Times New Roman" w:cs="Times New Roman"/>
          <w:color w:val="000000" w:themeColor="text1"/>
        </w:rPr>
        <w:t xml:space="preserve">and </w:t>
      </w:r>
      <w:r w:rsidR="0060380D"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65 </w:t>
      </w:r>
      <w:r w:rsidR="0060380D" w:rsidRPr="003D2D46">
        <w:rPr>
          <w:rFonts w:ascii="Times New Roman" w:hAnsi="Times New Roman" w:cs="Times New Roman"/>
          <w:color w:val="000000" w:themeColor="text1"/>
        </w:rPr>
        <w:t xml:space="preserve">year </w:t>
      </w:r>
      <w:r w:rsidRPr="003D2D46">
        <w:rPr>
          <w:rFonts w:ascii="Times New Roman" w:hAnsi="Times New Roman" w:cs="Times New Roman"/>
          <w:color w:val="000000" w:themeColor="text1"/>
        </w:rPr>
        <w:t xml:space="preserve">old (2.8%) patients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21A9C1A" w14:textId="77777777" w:rsidR="004B759B" w:rsidRPr="003D2D46" w:rsidRDefault="004B759B" w:rsidP="00580A15">
      <w:pPr>
        <w:spacing w:line="480" w:lineRule="auto"/>
        <w:rPr>
          <w:rFonts w:ascii="Times New Roman" w:hAnsi="Times New Roman" w:cs="Times New Roman"/>
          <w:color w:val="000000" w:themeColor="text1"/>
        </w:rPr>
      </w:pPr>
    </w:p>
    <w:p w14:paraId="41E35EB2" w14:textId="77777777" w:rsidR="004B759B" w:rsidRPr="003D2D46" w:rsidRDefault="00EA09C6" w:rsidP="00580A15">
      <w:pPr>
        <w:pStyle w:val="Heading41111"/>
        <w:spacing w:line="480" w:lineRule="auto"/>
        <w:rPr>
          <w:rFonts w:cs="Times New Roman"/>
          <w:color w:val="000000" w:themeColor="text1"/>
        </w:rPr>
      </w:pPr>
      <w:bookmarkStart w:id="52" w:name="_Toc81647074"/>
      <w:bookmarkStart w:id="53" w:name="_Toc82445513"/>
      <w:bookmarkStart w:id="54" w:name="_Toc87797074"/>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w:t>
      </w:r>
      <w:r w:rsidR="005529ED" w:rsidRPr="003D2D46">
        <w:rPr>
          <w:rFonts w:cs="Times New Roman"/>
          <w:color w:val="000000" w:themeColor="text1"/>
        </w:rPr>
        <w:t>5</w:t>
      </w:r>
      <w:r w:rsidR="004B759B" w:rsidRPr="003D2D46">
        <w:rPr>
          <w:rFonts w:cs="Times New Roman"/>
          <w:color w:val="000000" w:themeColor="text1"/>
        </w:rPr>
        <w:t xml:space="preserve"> Risk </w:t>
      </w:r>
      <w:bookmarkEnd w:id="52"/>
      <w:r w:rsidR="00371213" w:rsidRPr="003D2D46">
        <w:rPr>
          <w:rFonts w:cs="Times New Roman"/>
          <w:color w:val="000000" w:themeColor="text1"/>
        </w:rPr>
        <w:t>Factors</w:t>
      </w:r>
      <w:bookmarkEnd w:id="53"/>
      <w:bookmarkEnd w:id="54"/>
    </w:p>
    <w:p w14:paraId="4AB4B6EB" w14:textId="3155673C"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Lack of vaccination or delayed vaccination is the primary risk factor for pertussis infection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{"citationItems":[{"id":"ITEM-1","itemData":{"DOI":"10.1016/j.meegid.2016.02.032","ISSN":"15677257","PMID":"26932577","abstract":"Whooping cough, or pertussis, is resurgent in many countries world-wide. This is linked to switching from the use of whole cell vaccines to acellular vaccines in developed countries. Current evidence suggests that this has resulted in the earlier waning of vaccine-induced immunity, an increase in asymptomatic infection with concomitant increases in transmission and increased selection pressure for Bordetella pertussis variants that are better able to evade vaccine-mediated immunity than older isolates. This review discusses recent findings in B. pertussis epidemiology and evolution in the light of pertussis resurgence, and highlights the important role for genomics-based studies in monitoring B. pertussis adaptation.","author":[{"dropping-particle":"","family":"Sealey","given":"Katie L.","non-dropping-particle":"","parse-names":false,"suffix":""},{"dropping-particle":"","family":"Belcher","given":"Thomas","non-dropping-particle":"","parse-names":false,"suffix":""},{"dropping-particle":"","family":"Preston","given":"Andrew","non-dropping-particle":"","parse-names":false,"suffix":""}],"container-title":"Infection, Genetics and Evolution","id":"ITEM-1","issued":{"date-parts":[["2016"]]},"page":"136-143","publisher":"Elsevier B.V.","title":"Bordetella pertussis epidemiology and evolution in the light of pertussis resurgence","type":"article-journal","volume":"40"},"uris":["http://www.mendeley.com/documents/?uuid=3f276d4c-e152-4568-ac93-04cd8f866dc4","http://www.mendeley.com/documents/?uuid=77a4b22e-e570-4052-8307-4e40394bada6","http://www.mendeley.com/documents/?uuid=be733d8e-ab98-4fd2-8952-fbebe583ea50"]}],"mendeley":{"formattedCitation":"(Sealey, Belcher &amp; Preston, 2016)","plainTextFormattedCitation":"(Sealey, Belcher &amp; Preston, 2016)","previouslyFormattedCitation":"(Sealey, Belcher &amp; Preston,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(Sealey, Belcher &amp; Preston,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Low birth weight, low gestational age of the infant, and lymphocytosis are risk factors of fatal disease in infants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{"citationItems":[{"id":"ITEM-1","itemData":{"author":[{"dropping-particle":"","family":"Wortis","given":"Naomi","non-dropping-particle":"","parse-names":false,"suffix":""},{"dropping-particle":"","family":"Strebel","given":"Peter M","non-dropping-particle":"","parse-names":false,"suffix":""},{"dropping-particle":"","family":"Wharton","given":"Melinda","non-dropping-particle":"","parse-names":false,"suffix":""},{"dropping-particle":"","family":"Bardenheier","given":"Barbara","non-dropping-particle":"","parse-names":false,"suffix":""},{"dropping-particle":"","family":"Harsy","given":"Iain RB","non-dropping-particle":"","parse-names":false,"suffix":""}],"container-title":"Pediatrics","id":"ITEM-1","issue":"5","issued":{"date-parts":[["1996"]]},"page":"607-612","title":"Pertussis Deaths: Report of 23 Cases in the United States, 1993 and 1993","type":"article-journal","volume":"97"},"uris":["http://www.mendeley.com/documents/?uuid=1c909682-42fc-4ea4-8b81-371e063c4ccc","http://www.mendeley.com/documents/?uuid=bd39580c-d097-436d-8145-52c55c585a03","http://www.mendeley.com/documents/?uuid=4c3c6fd3-5eda-453c-8620-b700ad6f582b","http://www.mendeley.com/documents/?uuid=1dc4778f-5daa-43e7-bb89-867d1b7e6f44"]},{"id":"ITEM-2","itemData":{"author":[{"dropping-particle":"","family":"Winter","given":"Kathleen","non-dropping-particle":"","parse-names":false,"suffix":""}],"id":"ITEM-2","issued":{"date-parts":[["2016"]]},"publisher":"UC Berkeley","title":"Pertussis among the youngest infants in California: Evaluating the effectiveness of prenatal Tdap vaccination and identifying infants at greatest risk of disease","type":"thesis"},"uris":["http://www.mendeley.com/documents/?uuid=7f2f299e-defd-4175-a613-0237c2acbe86","http://www.mendeley.com/documents/?uuid=9cd6747d-5fe0-4260-aa0e-231db725207c","http://www.mendeley.com/documents/?uuid=2c227393-6083-401f-aceb-63232e4069c5"]},{"id":"ITEM-3","itemData":{"DOI":"10.1093/jpids/pis105","ISSN":"20487207","abstract":"Background. Bordetella pertussis infection can cause severe illness and death among young infants. Methods. We collected demographic and clinical information from the medical records of infants who were ≤90 days of age and hospitalized for pertussis in 5 Southern California pediatric intensive care units (PICUs) from September 1, 2009 to June 30, 2011. Infants who died or were diagnosed with pulmonary hypertension were considered to have more severe pertussis. Results. Thirty-one infants were admitted to a participating PICU. Eight infants had more severe infections, 6 infants had pulmonary hypertension, and 4 infants died. The 8 infants with more severe infections had white blood cell counts that exceeded 30 000, heart rates that exceeded 170, and respiratory rates that exceeded 70 more rapidly after cough onset than the 23 infants with less severe illness. Conclusions. Identifying higher-risk infants earlier might allow for more rapid implementation of interventions.","author":[{"dropping-particle":"","family":"Murray","given":"Erin L.","non-dropping-particle":"","parse-names":false,"suffix":""},{"dropping-particle":"","family":"Nieves","given":"Delma","non-dropping-particle":"","parse-names":false,"suffix":""},{"dropping-particle":"","family":"Bradley","given":"John S.","non-dropping-particle":"","parse-names":false,"suffix":""},{"dropping-particle":"","family":"Gargas","given":"Jessie","non-dropping-particle":"","parse-names":false,"suffix":""},{"dropping-particle":"","family":"Mason","given":"Wilbert H.","non-dropping-particle":"","parse-names":false,"suffix":""},{"dropping-particle":"","family":"Lehman","given":"Deborah","non-dropping-particle":"","parse-names":false,"suffix":""},{"dropping-particle":"","family":"Harriman","given":"Kathleen","non-dropping-particle":"","parse-names":false,"suffix":""},{"dropping-particle":"","family":"Cherry","given":"James D.","non-dropping-particle":"","parse-names":false,"suffix":""}],"container-title":"Journal of the Pediatric Infectious Diseases Society","id":"ITEM-3","issue":"1","issued":{"date-parts":[["2013"]]},"page":"1-6","title":"Characteristics of severe Bordetella pertussis infection among infants ≤90 days of age admitted to pediatric intensive care units - Southern California, September 2009-June 2011","type":"article-journal","volume":"2"},"uris":["http://www.mendeley.com/documents/?uuid=c543de7d-c418-4bc9-81f6-0915b80d483b","http://www.mendeley.com/documents/?uuid=3ef2d327-8056-4a21-b71e-c6ea487f97c0","http://www.mendeley.com/documents/?uuid=516d9e4a-8ac6-4857-827b-66322d865011","http://www.mendeley.com/documents/?uuid=d5520643-229e-4313-a764-d714103d9d3e"]},{"id":"ITEM-4","itemData":{"DOI":"10.1093/cid/civ472","ISSN":"15376591","PMID":"26082502","abstract":"Background.In the current era, most pertussis deaths occur in infants &lt;3 months of age. Leukocytosis with lymphocytosis and pneumonia are commonly observed among cases of severe pertussis. Methods.Risk factors associated with fatal pertussis were identified by comparing fatal pertussis cases among patients &lt;120 days of age occurring from 1 January 1998 through 26 December 2014, matched by age (&lt;120 days), county of residence, and closest symptom onset date with 1-4 nonfatal hospitalized cases. California Department of Public Health surveillance data were reviewed to identify cases; demographics, clinical presentation, and course were abstracted from corresponding birth and medical records. Logistic regression and classification tree analyses were used to examine the risk of fatal pertussis with respect to identified factors. Results.Fifty-three fatal infant pertussis cases were identified and compared with 183 nonfatal hospitalized pertussis cases. Fatal cases had significantly lower birth weight, younger gestational age, younger age at time of cough onset, and higher peak white blood cell (WBC) and lymphocyte counts. Fatal cases were less likely to have received macrolide antibiotics and more likely to have received steroids or nitric oxide and to develop pulmonary hypertension, seizures, encephalitis, and pneumonia. Additionally, exchange transfusion, extracorporeal membrane oxygenation, and intubation occurred significantly more frequently among fatal cases. In multivariate analyses, peak WBC count, birth weight, intubation, and receipt of nitric oxide were predictors of death. Conclusions.Early recognition of pertussis in young infants and treatment with appropriate antibiotic therapy are important in preventing death. Several risk factors are strongly associated with fatal pertussis in infants.","author":[{"dropping-particle":"","family":"Winter","given":"Kathleen","non-dropping-particle":"","parse-names":false,"suffix":""},{"dropping-particle":"","family":"Zipprich","given":"Jennifer","non-dropping-particle":"","parse-names":false,"suffix":""},{"dropping-particle":"","family":"Harriman","given":"Kathleen","non-dropping-particle":"","parse-names":false,"suffix":""},{"dropping-particle":"","family":"Murray","given":"Erin L.","non-dropping-particle":"","parse-names":false,"suffix":""},{"dropping-particle":"","family":"Gornbein","given":"Jeffrey","non-dropping-particle":"","parse-names":false,"suffix":""},{"dropping-particle":"","family":"Hammer","given":"Sandra Jo","non-dropping-particle":"","parse-names":false,"suffix":""},{"dropping-particle":"","family":"Yeganeh","given":"Nava","non-dropping-particle":"","parse-names":false,"suffix":""},{"dropping-particle":"","family":"Adachi","given":"Kristina","non-dropping-particle":"","parse-names":false,"suffix":""},{"dropping-particle":"","family":"Cherry","given":"James D.","non-dropping-particle":"","parse-names":false,"suffix":""}],"container-title":"Clinical Infectious Diseases","id":"ITEM-4","issue":"7","issued":{"date-parts":[["2015"]]},"page":"1099-1106","title":"Risk Factors Associated with Infant Deaths from Pertussis: A Case-Control Study","type":"article-journal","volume":"61"},"uris":["http://www.mendeley.com/documents/?uuid=b8de3a11-dccf-441a-a67a-05ddf64df538","http://www.mendeley.com/documents/?uuid=21ed152b-8c2e-40a7-81b3-6b7ac6faa484","http://www.mendeley.com/documents/?uuid=7e433b17-d933-455d-a6bf-5dcee2f222e2","http://www.mendeley.com/documents/?uuid=c38aff6c-0ba8-414b-9521-a7c57a9f64b6"]}],"mendeley":{"formattedCitation":"(Wortis et al., 1996; Murray et al., 2013; Winter et al., 2015; Winter, 2016)","plainTextFormattedCitation":"(Wortis et al., 1996; Murray et al., 2013; Winter et al., 2015; Winter, 2016)","previouslyFormattedCitation":"(Wortis et al., 1996; Murray et al., 2013; Winter et al., 2015; Winter,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(Wortis et al., 1996; Murray et al., 2013; Winter et al., 2015; Winter,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the US Multiple Cause-of-Death and Linked Birth/Infant Death databases between 1999 and 2004 reported that birth weight of less than 2500g, female sex, an Apgar score &lt;8 (assessment of newborn health; score out of possible 10), a mother with &lt;12 years of education, and </w:t>
      </w:r>
      <w:r w:rsidRPr="003D2D46">
        <w:rPr>
          <w:rFonts w:ascii="Times New Roman" w:hAnsi="Times New Roman" w:cs="Times New Roman"/>
          <w:color w:val="000000" w:themeColor="text1"/>
        </w:rPr>
        <w:lastRenderedPageBreak/>
        <w:t xml:space="preserve">Hispanic ethnicity were associated with high risk of pertussis deaths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{"citationItems":[{"id":"ITEM-1","itemData":{"DOI":"10.1097/INF.0b013e31818c9032","author":[{"dropping-particle":"","family":"Haberling","given":"Dana","non-dropping-particle":"","parse-names":false,"suffix":""},{"dropping-particle":"","family":"Holman","given":"Robert C.","non-dropping-particle":"","parse-names":false,"suffix":""},{"dropping-particle":"","family":"Paddock","given":"Christopher D.","non-dropping-particle":"","parse-names":false,"suffix":""},{"dropping-particle":"V.","family":"Murphy","given":"Trudy","non-dropping-particle":"","parse-names":false,"suffix":""}],"container-title":"The Pediatric Infectious Disease Journal","id":"ITEM-1","issue":"3","issued":{"date-parts":[["2009"]]},"page":"194-198","title":"Infant and Maternal Risk Factors for Pertussis-Related Infant Mortality in the United States, 1999 to 2004","type":"article-journal","volume":"28"},"uris":["http://www.mendeley.com/documents/?uuid=1b93f551-8396-426d-93dc-e3be387d1728","http://www.mendeley.com/documents/?uuid=476f6d0e-2ac4-4e52-bcfd-893e66418d9a","http://www.mendeley.com/documents/?uuid=97147a0c-4bea-41d6-8d8b-64519a95f595","http://www.mendeley.com/documents/?uuid=d4edec9e-ff3c-46c0-99a8-2531cc5e1c44"]}],"mendeley":{"formattedCitation":"(Haberling et al., 2009)","plainTextFormattedCitation":"(Haberling et al., 2009)","previouslyFormattedCitation":"(Haberling et al., 2009)"},"properties":{"noteIndex":0},"schema":"https://github.com/citation-style-language/schema/raw/master/csl-citation.json"}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(Haberling et al., 2009)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Australian study reported that predictors of hospitalization with pertussis in infants less than two months old included indigenous ethnicity (RR=1.7, 95% CI=1.03-2.83), and receiving less than two doses of vaccine (RR=4.1, 95% CI=1.37-12.11)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{"citationItems":[{"id":"ITEM-1","itemData":{"DOI":"10.1016/j.vaccine.2006.08.022","ISSN":"0264410X","PMID":"16971026","abstract":"This ecological study aimed to identify possible reasons for higher pertussis hospitalization rates in indigenous Australian infants. Two national datasets were analysed: the Hospital Morbidity Database and the Australian Childhood Immunisation Register (ACIR). Most (52%) pertussis hospitalizations in indigenous infants occurred at 0-2 months of age, and rates in these indigenous infants were significantly higher in remote areas. Indigenous infants had higher hospitalization rates and more frequently delayed vaccination than non-indigenous infants of the same age. These data suggest that residence in a remote area, as a proxy for poorer living conditions for indigenous people, and delayed vaccination, both contribute to higher pertussis hospitalization rates in indigenous infants. © 2006 Elsevier Ltd. All rights reserved.","author":[{"dropping-particle":"","family":"Kolos","given":"Veronica","non-dropping-particle":"","parse-names":false,"suffix":""},{"dropping-particle":"","family":"Menzies","given":"Robert","non-dropping-particle":"","parse-names":false,"suffix":""},{"dropping-particle":"","family":"McIntyre","given":"Peter","non-dropping-particle":"","parse-names":false,"suffix":""}],"container-title":"Vaccine","id":"ITEM-1","issue":"4","issued":{"date-parts":[["2007"]]},"page":"588-590","title":"Higher pertussis hospitalization rates in indigenous Australian infants, and delayed vaccination","type":"article-journal","volume":"25"},"uris":["http://www.mendeley.com/documents/?uuid=cd194ec0-dc48-4741-87fc-48ac89e0ece9","http://www.mendeley.com/documents/?uuid=49e6f512-4405-4c4a-a529-2c0960877bf5","http://www.mendeley.com/documents/?uuid=c48fec1e-60f3-45c4-976e-6bf346efa1bd"]}],"mendeley":{"formattedCitation":"(Kolos, Menzies &amp; McIntyre, 2007)","plainTextFormattedCitation":"(Kolos, Menzies &amp; McIntyre, 2007)","previouslyFormattedCitation":"(Kolos, Menzies &amp; McIntyre,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(Kolos, Menzies &amp; McIntyre,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prospective study in Africa reported that HIV exposure or infection, poor nutrition, and maternal </w:t>
      </w:r>
      <w:r w:rsidRPr="003D2D46">
        <w:rPr>
          <w:rFonts w:ascii="Times New Roman" w:hAnsi="Times New Roman" w:cs="Times New Roman"/>
          <w:i/>
          <w:iCs/>
          <w:color w:val="000000" w:themeColor="text1"/>
        </w:rPr>
        <w:t>B. pertussis</w:t>
      </w:r>
      <w:r w:rsidRPr="003D2D46">
        <w:rPr>
          <w:rFonts w:ascii="Times New Roman" w:hAnsi="Times New Roman" w:cs="Times New Roman"/>
          <w:color w:val="000000" w:themeColor="text1"/>
        </w:rPr>
        <w:t xml:space="preserve"> infection were associated with high risk of pertussis in children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{"citationItems":[{"id":"ITEM-1","itemData":{"DOI":"10.1371/journal.pone.0240717","ISBN":"1111111111","ISSN":"19326203","PMID":"33057415","abstract":"Introduction Despite a resurgence of disease, risk factors for pertussis in children in low and middle-income countries are poorly understood. This study aimed to investigate risk factors for pertussis disease in African children hospitalized with severe LRTI. Methods A prospective study of children hospitalized with severe LRTI in Cape Town, South Africa was conducted over a one-year period. Nasopharyngeal and induced sputum samples from child and nasopharyngeal sample from caregiver were tested for Bordetella pertussis using PCR (IS481+/hIS1001). History and clinical details were documented. Results 460 children with a median age of 8 (IQR 4–18) months were enrolled. B. pertussis infection was confirmed in 32 (7.0%). The adjusted risk of confirmed pertussis was significantly increased if infants were younger than two months [aRR 2.37 (95% CI 1.03–5.42]), HIV exposed but uninfected (aRR 3.53 [95% CI 1.04–12.01]) or HIV infected (aRR 4.35 [95% CI 1.24–15.29]). Mild (aRR 2.27 [95% CI 1.01–5.09]) or moderate (aRR 2.70 [95% CI 1.13–6.45]) under-nutrition in the children were also associated with higher risk. The highest adjusted risk occurred in children whose caregivers had B. pertussis detected from nasopharyngeal swabs (aRR 13.82 [95% CI 7.76–24.62]). Completion of the primary vaccine schedule (three or more doses) was protective (aRR 0.28 [95% CI 0.10–0.75]). Conclusions HIV exposure or infection, undernutrition as well as detection of maternal nasal B. pertussis were associated with increased risk of pertussis in African children, especially in young infants. Completed primary vaccination was protective. There is an urgent need to improve primary pertussis vaccine coverage in low and middle-income countries. Pertussis vaccination of pregnant women, especially those with HIV infection should be prioritized.","author":[{"dropping-particle":"","family":"Muloiwa","given":"Rudzani","non-dropping-particle":"","parse-names":false,"suffix":""},{"dropping-particle":"","family":"Dube","given":"Felix S.","non-dropping-particle":"","parse-names":false,"suffix":""},{"dropping-particle":"","family":"Nicol","given":"Mark P.","non-dropping-particle":"","parse-names":false,"suffix":""},{"dropping-particle":"","family":"Hussey","given":"Gregory D.","non-dropping-particle":"","parse-names":false,"suffix":""},{"dropping-particle":"","family":"Zar","given":"Heather J.","non-dropping-particle":"","parse-names":false,"suffix":""}],"container-title":"PLoS ONE","id":"ITEM-1","issue":"10 October","issued":{"date-parts":[["2020"]]},"page":"1-13","title":"Risk factors for Bordetella pertussis disease in hospitalized children","type":"article-journal","volume":"15"},"uris":["http://www.mendeley.com/documents/?uuid=4929e464-02b1-4c3d-bfda-0a106c017825","http://www.mendeley.com/documents/?uuid=bd54b307-11dc-4904-acb4-d050aae3df59","http://www.mendeley.com/documents/?uuid=70eed04d-f97b-4486-ae33-1f78263e59ee","http://www.mendeley.com/documents/?uuid=d4069093-15e7-4395-84af-92d47b817ae6"]}],"mendeley":{"formattedCitation":"(Muloiwa et al., 2020)","plainTextFormattedCitation":"(Muloiwa et al., 2020)","previouslyFormattedCitation":"(Muloiwa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(Muloiwa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study also reported higher risk of pertussis among infants when they had a caregiver with pertussis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{"citationItems":[{"id":"ITEM-1","itemData":{"DOI":"10.1371/journal.pone.0240717","ISBN":"1111111111","ISSN":"19326203","PMID":"33057415","abstract":"Introduction Despite a resurgence of disease, risk factors for pertussis in children in low and middle-income countries are poorly understood. This study aimed to investigate risk factors for pertussis disease in African children hospitalized with severe LRTI. Methods A prospective study of children hospitalized with severe LRTI in Cape Town, South Africa was conducted over a one-year period. Nasopharyngeal and induced sputum samples from child and nasopharyngeal sample from caregiver were tested for Bordetella pertussis using PCR (IS481+/hIS1001). History and clinical details were documented. Results 460 children with a median age of 8 (IQR 4–18) months were enrolled. B. pertussis infection was confirmed in 32 (7.0%). The adjusted risk of confirmed pertussis was significantly increased if infants were younger than two months [aRR 2.37 (95% CI 1.03–5.42]), HIV exposed but uninfected (aRR 3.53 [95% CI 1.04–12.01]) or HIV infected (aRR 4.35 [95% CI 1.24–15.29]). Mild (aRR 2.27 [95% CI 1.01–5.09]) or moderate (aRR 2.70 [95% CI 1.13–6.45]) under-nutrition in the children were also associated with higher risk. The highest adjusted risk occurred in children whose caregivers had B. pertussis detected from nasopharyngeal swabs (aRR 13.82 [95% CI 7.76–24.62]). Completion of the primary vaccine schedule (three or more doses) was protective (aRR 0.28 [95% CI 0.10–0.75]). Conclusions HIV exposure or infection, undernutrition as well as detection of maternal nasal B. pertussis were associated with increased risk of pertussis in African children, especially in young infants. Completed primary vaccination was protective. There is an urgent need to improve primary pertussis vaccine coverage in low and middle-income countries. Pertussis vaccination of pregnant women, especially those with HIV infection should be prioritized.","author":[{"dropping-particle":"","family":"Muloiwa","given":"Rudzani","non-dropping-particle":"","parse-names":false,"suffix":""},{"dropping-particle":"","family":"Dube","given":"Felix S.","non-dropping-particle":"","parse-names":false,"suffix":""},{"dropping-particle":"","family":"Nicol","given":"Mark P.","non-dropping-particle":"","parse-names":false,"suffix":""},{"dropping-particle":"","family":"Hussey","given":"Gregory D.","non-dropping-particle":"","parse-names":false,"suffix":""},{"dropping-particle":"","family":"Zar","given":"Heather J.","non-dropping-particle":"","parse-names":false,"suffix":""}],"container-title":"PLoS ONE","id":"ITEM-1","issue":"10 October","issued":{"date-parts":[["2020"]]},"page":"1-13","title":"Risk factors for Bordetella pertussis disease in hospitalized children","type":"article-journal","volume":"15"},"uris":["http://www.mendeley.com/documents/?uuid=d4069093-15e7-4395-84af-92d47b817ae6","http://www.mendeley.com/documents/?uuid=70eed04d-f97b-4486-ae33-1f78263e59ee","http://www.mendeley.com/documents/?uuid=bd54b307-11dc-4904-acb4-d050aae3df59","http://www.mendeley.com/documents/?uuid=4929e464-02b1-4c3d-bfda-0a106c017825"]}],"mendeley":{"formattedCitation":"(Muloiwa et al., 2020)","plainTextFormattedCitation":"(Muloiwa et al., 2020)","previouslyFormattedCitation":"(Muloiwa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(Muloiwa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1DA3090" w14:textId="77777777" w:rsidR="00340169" w:rsidRPr="003D2D46" w:rsidRDefault="00340169" w:rsidP="00340169">
      <w:pPr>
        <w:spacing w:line="480" w:lineRule="auto"/>
        <w:rPr>
          <w:rFonts w:ascii="Times New Roman" w:hAnsi="Times New Roman" w:cs="Times New Roman"/>
          <w:color w:val="000000" w:themeColor="text1"/>
        </w:rPr>
      </w:pPr>
    </w:p>
    <w:p w14:paraId="7A85B9F5" w14:textId="0E5AF572"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Risk of fatal disease in infants is reduced through vaccination, early detection and early delivery of treatment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{"citationItems":[{"id":"ITEM-1","itemData":{"DOI":"10.1093/cid/civ472","ISSN":"15376591","PMID":"26082502","abstract":"Background.In the current era, most pertussis deaths occur in infants &lt;3 months of age. Leukocytosis with lymphocytosis and pneumonia are commonly observed among cases of severe pertussis. Methods.Risk factors associated with fatal pertussis were identified by comparing fatal pertussis cases among patients &lt;120 days of age occurring from 1 January 1998 through 26 December 2014, matched by age (&lt;120 days), county of residence, and closest symptom onset date with 1-4 nonfatal hospitalized cases. California Department of Public Health surveillance data were reviewed to identify cases; demographics, clinical presentation, and course were abstracted from corresponding birth and medical records. Logistic regression and classification tree analyses were used to examine the risk of fatal pertussis with respect to identified factors. Results.Fifty-three fatal infant pertussis cases were identified and compared with 183 nonfatal hospitalized pertussis cases. Fatal cases had significantly lower birth weight, younger gestational age, younger age at time of cough onset, and higher peak white blood cell (WBC) and lymphocyte counts. Fatal cases were less likely to have received macrolide antibiotics and more likely to have received steroids or nitric oxide and to develop pulmonary hypertension, seizures, encephalitis, and pneumonia. Additionally, exchange transfusion, extracorporeal membrane oxygenation, and intubation occurred significantly more frequently among fatal cases. In multivariate analyses, peak WBC count, birth weight, intubation, and receipt of nitric oxide were predictors of death. Conclusions.Early recognition of pertussis in young infants and treatment with appropriate antibiotic therapy are important in preventing death. Several risk factors are strongly associated with fatal pertussis in infants.","author":[{"dropping-particle":"","family":"Winter","given":"Kathleen","non-dropping-particle":"","parse-names":false,"suffix":""},{"dropping-particle":"","family":"Zipprich","given":"Jennifer","non-dropping-particle":"","parse-names":false,"suffix":""},{"dropping-particle":"","family":"Harriman","given":"Kathleen","non-dropping-particle":"","parse-names":false,"suffix":""},{"dropping-particle":"","family":"Murray","given":"Erin L.","non-dropping-particle":"","parse-names":false,"suffix":""},{"dropping-particle":"","family":"Gornbein","given":"Jeffrey","non-dropping-particle":"","parse-names":false,"suffix":""},{"dropping-particle":"","family":"Hammer","given":"Sandra Jo","non-dropping-particle":"","parse-names":false,"suffix":""},{"dropping-particle":"","family":"Yeganeh","given":"Nava","non-dropping-particle":"","parse-names":false,"suffix":""},{"dropping-particle":"","family":"Adachi","given":"Kristina","non-dropping-particle":"","parse-names":false,"suffix":""},{"dropping-particle":"","family":"Cherry","given":"James D.","non-dropping-particle":"","parse-names":false,"suffix":""}],"container-title":"Clinical Infectious Diseases","id":"ITEM-1","issue":"7","issued":{"date-parts":[["2015"]]},"page":"1099-1106","title":"Risk Factors Associated with Infant Deaths from Pertussis: A Case-Control Study","type":"article-journal","volume":"61"},"uris":["http://www.mendeley.com/documents/?uuid=c38aff6c-0ba8-414b-9521-a7c57a9f64b6","http://www.mendeley.com/documents/?uuid=7e433b17-d933-455d-a6bf-5dcee2f222e2","http://www.mendeley.com/documents/?uuid=21ed152b-8c2e-40a7-81b3-6b7ac6faa484","http://www.mendeley.com/documents/?uuid=b8de3a11-dccf-441a-a67a-05ddf64df538"]}],"mendeley":{"formattedCitation":"(Winter et al., 2015)","plainTextFormattedCitation":"(Winter et al., 2015)","previouslyFormattedCitation":"(Winter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(Winter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hospitalizations in France reported that having the first dose of vaccine and being seen by a doctor late in the course of the disease were associated with decreased risk of hospitalization in an intensive care unit, assisted ventilation, or death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{"citationItems":[{"id":"ITEM-1","itemData":{"DOI":"10.1016/j.vaccine.2007.07.020","ISSN":"0264410X","PMID":"17707962","abstract":"We used data collected through the French national hospital-based pertussis surveillance network to investigate the risk factors for severe childhood pertussis and more specifically the impact of the vaccination status. For infants, factors associated with a decreased risk of severe disease (defined as hospitalization in intensive care unit, assisted ventilation or death) were having received the first dose of vaccine, being seen late in the course of the disease and in a local hospital. Data also suggested that protection may increase with the number of doses administered. For older children, factors associated with a decreased risk of severity, measured by the hospitalization, were having received a recent booster injection and identification of the contaminator in the close environment. This study reinforces the need for an early start of the primary course in infants and the administration of booster injections in older children. © 2007 Elsevier Ltd. All rights reserved.","author":[{"dropping-particle":"","family":"Briand","given":"Valérie","non-dropping-particle":"","parse-names":false,"suffix":""},{"dropping-particle":"","family":"Bonmarin","given":"Isabelle","non-dropping-particle":"","parse-names":false,"suffix":""},{"dropping-particle":"","family":"Lévy-Bruhl","given":"Daniel","non-dropping-particle":"","parse-names":false,"suffix":""}],"container-title":"Vaccine","id":"ITEM-1","issue":"41","issued":{"date-parts":[["2007"]]},"page":"7224-7232","title":"Study of the risk factors for severe childhood pertussis based on hospital surveillance data","type":"article-journal","volume":"25"},"uris":["http://www.mendeley.com/documents/?uuid=0cf9f8f9-8bd5-4be7-828d-a37faa10489c","http://www.mendeley.com/documents/?uuid=60647b50-2d18-47b1-9a18-355701beb056","http://www.mendeley.com/documents/?uuid=3fd234c9-7f56-4f91-a62f-f34dc6416511","http://www.mendeley.com/documents/?uuid=b4b2786c-bbdc-40b4-b4eb-23688329fda8"]}],"mendeley":{"formattedCitation":"(Briand, Bonmarin &amp; Lévy-Bruhl, 2007)","plainTextFormattedCitation":"(Briand, Bonmarin &amp; Lévy-Bruhl, 2007)","previouslyFormattedCitation":"(Briand, Bonmarin &amp; Lévy-Bruhl,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(Briand, Bonmarin &amp; Lévy-Bruhl,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Other studies also report that being under</w:t>
      </w:r>
      <w:r w:rsidR="00044A8F"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vaccinated increased risk of hospitalization from pertussis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10.1017/S095026881200091X","author":[{"dropping-particle":"","family":"Clarke","given":"MF","non-dropping-particle":"","parse-names":false,"suffix":""},{"dropping-particle":"","family":"Rasiah","given":"K","non-dropping-particle":"","parse-names":false,"suffix":""},{"dropping-particle":"","family":"Copland","given":"J","non-dropping-particle":"","parse-names":false,"suffix":""},{"dropping-particle":"","family":"Watson","given":"M","non-dropping-particle":"","parse-names":false,"suffix":""},{"dropping-particle":"","family":"Koehler","given":"AP","non-dropping-particle":"","parse-names":false,"suffix":""},{"dropping-particle":"","family":"Dowling","given":"K","non-dropping-particle":"","parse-names":false,"suffix":""},{"dropping-particle":"","family":"Marshall","given":"HS","non-dropping-particle":"","parse-names":false,"suffix":""}],"container-title":"Epidemiol Infect","id":"ITEM-1","issued":{"date-parts":[["2013"]]},"page":"463-471","title":"The pertussis epidemic : informing strategies for prevention of severe disease","type":"article-journal","volume":"141"},"uris":["http://www.mendeley.com/documents/?uuid=1b5d60c3-01a2-4f92-814c-7ddd9dfee77e","http://www.mendeley.com/documents/?uuid=3263b094-af46-4db3-bb68-ccf3ca6badd2","http://www.mendeley.com/documents/?uuid=fdf7c2c7-e365-4627-95cb-90c2c27e2a01"]}],"mendeley":{"formattedCitation":"(Clarke et al., 2013)","plainTextFormattedCitation":"(Clarke et al., 2013)","previouslyFormattedCitation":"(Clarke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(Clarke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Risk factors for pertussis hospitalization among adults include high body mass index (30+ kg/m</w:t>
      </w:r>
      <w:r w:rsidRPr="003D2D46">
        <w:rPr>
          <w:rFonts w:ascii="Times New Roman" w:hAnsi="Times New Roman" w:cs="Times New Roman"/>
          <w:color w:val="000000" w:themeColor="text1"/>
          <w:vertAlign w:val="superscript"/>
        </w:rPr>
        <w:t>2</w:t>
      </w:r>
      <w:r w:rsidRPr="003D2D46">
        <w:rPr>
          <w:rFonts w:ascii="Times New Roman" w:hAnsi="Times New Roman" w:cs="Times New Roman"/>
          <w:color w:val="000000" w:themeColor="text1"/>
        </w:rPr>
        <w:t xml:space="preserve">) and asthma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{"citationItems":[{"id":"ITEM-1","itemData":{"DOI":"10.1093/cid/cis627","ISSN":"10584838","PMID":"22806592","abstract":"Background.There is limited information on the incidence, morbidity and risk factors for pertussis in adults, particularly those aged over 65 years.Methods.Population-based prospective cohort study of 263 094 adults aged over 45 years (mean 62.8 years) recruited in the Australian state of New South Wales (the 45 and Up Study) between 2006 and 2008, and followed by record-linkage to laboratory-confirmed pertussis notifications, hospitalizations, and death records. The incidence of pertussis notifications and hospitalizations and relative risk (RR) of pertussis according to various participant characteristics was estimated using proportional hazards models.Results.Over a total follow-up of 217 524 person-years, 205 adults had a pertussis notification and 12 were hospitalized; the incidence rate was 94 (95 confidence interval [CI], 82-108) and 5.5 (95 CI, 3.1-9.7) per 100 000 person-years, respectively. The incidence of a pertussis notification did not differ by age but hospitalization rates progressively increased (2.2, 8.5, and 13.5 per 100 000 person-years in age groups 45-64, 65-74, and 75+ years, respectively; Ptrend =. 01). After adjusting for age, sex, and other factors, adults with a high body mass index (BMI; RR = 1.52; 95 CI, 1.06-2.19 for BMI 30+ kg/m2 vs BMI &lt;25 kg/m2) and with preexisting asthma (RR = 1.64; 95 CI, 1.06-2.55 compared to those without asthma) were more likely to be notified.Conclusions.Adults older than 65 years are more likely to be hospitalized for pertussis than those aged 45-64 years. Obesity and preexisting asthma were associated with a higher likelihood of pertussis notification. These findings suggest that pertussis vaccination would be particularly important for adults with these characteristics. © 2012 The Author.","author":[{"dropping-particle":"","family":"Liu","given":"Bette C.","non-dropping-particle":"","parse-names":false,"suffix":""},{"dropping-particle":"","family":"McIntyre","given":"Peter","non-dropping-particle":"","parse-names":false,"suffix":""},{"dropping-particle":"","family":"Kaldor","given":"John M.","non-dropping-particle":"","parse-names":false,"suffix":""},{"dropping-particle":"","family":"Quinn","given":"Helen E.","non-dropping-particle":"","parse-names":false,"suffix":""},{"dropping-particle":"","family":"Ridda","given":"Iman","non-dropping-particle":"","parse-names":false,"suffix":""},{"dropping-particle":"","family":"Banks","given":"Emily","non-dropping-particle":"","parse-names":false,"suffix":""}],"container-title":"Clinical Infectious Diseases","id":"ITEM-1","issue":"11","issued":{"date-parts":[["2012"]]},"page":"1450-1456","title":"Pertussis in older adults: Prospective study of risk factors and morbidity","type":"article-journal","volume":"55"},"uris":["http://www.mendeley.com/documents/?uuid=ebf43c38-7fac-40fd-8eb1-39b05d0179d9","http://www.mendeley.com/documents/?uuid=b7f49517-a360-4f17-958b-fd3948305e05","http://www.mendeley.com/documents/?uuid=17c04a59-43c8-498d-9051-b6de6ec5c390","http://www.mendeley.com/documents/?uuid=f65a50b6-27ff-4538-b22b-dcfbdb28dd82"]}],"mendeley":{"formattedCitation":"(Liu et al., 2012)","plainTextFormattedCitation":"(Liu et al., 2012)","previouslyFormattedCitation":"(Liu et al.,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(Liu et al.,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73BEE4D" w14:textId="77777777" w:rsidR="00340169" w:rsidRPr="003D2D46" w:rsidRDefault="00340169" w:rsidP="00340169">
      <w:pPr>
        <w:spacing w:line="480" w:lineRule="auto"/>
        <w:rPr>
          <w:rFonts w:ascii="Times New Roman" w:hAnsi="Times New Roman" w:cs="Times New Roman"/>
          <w:color w:val="000000" w:themeColor="text1"/>
        </w:rPr>
      </w:pPr>
    </w:p>
    <w:p w14:paraId="5131FB61" w14:textId="3004E5CE"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Female sex has been reported as a risk factor for pertussis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In","id":"ITEM-1","issued":{"date-parts":[["2000"]]},"page":"174-9","title":"Morditity of Pertussis in Adolescents and Adults","type":"article-journal","volume":"182"},"uris":["http://www.mendeley.com/documents/?uuid=2aa63de9-5c6b-47db-b2bc-3f7e98ead561"]},{"id":"ITEM-2","itemData":{"author":[{"dropping-particle":"","family":"Paradowska-Stankiewicz","given":"I","non-dropping-particle":"","parse-names":false,"suffix":""},{"dropping-particle":"","family":"Rudowska","given":"J","non-dropping-particle":"","parse-names":false,"suffix":""}],"container-title":"Przegl Epidemiol","id":"ITEM-2","issue":"4","issued":{"date-parts":[["2015"]]},"page":"745-747","title":"Pertussis in Poland, 2013","type":"article-journal","volume":"69"},"uris":["http://www.mendeley.com/documents/?uuid=026acfd8-52f5-4730-a6c6-c8c57ae4cafe"]},{"id":"ITEM-3","itemData":{"author":[{"dropping-particle":"","family":"Jenkinson","given":"D","non-dropping-particle":"","parse-names":false,"suffix":""}],"container-title":"BMJ","id":"ITEM-3","issued":{"date-parts":[["1995"]]},"page":"299-302","title":"Natural course of 500 consecutive cases of whooping cough: a general practive population study","type":"article-journal","volume":"310"},"uris":["http://www.mendeley.com/documents/?uuid=f4403bdd-9655-4836-be1f-eb3e789992eb"]},{"id":"ITEM-4","itemData":{"DOI":"10.1093/jpids/piy128","ISSN":"20487207","PMID":"30535079","abstract":"BACKGROUND: Recent increases in pertussis morbidity and mortality rates among young infants have led to a recommendation in some countries for vaccination against pertussis during pregnancy. Having data on the burden of pediatric pertussis in a large population over time is important for establishing the true burden of disease in the acellular pertussis (aP) vaccine era. Here, we describe age-specific epidemiology and morbidity and mortality rates in children hospitalized with pertussis over 17 years across Canada in the aP vaccine era. METHODS: Patients aged ≤16 years who were admitted to 1 of 12 pediatric tertiary-care hospitals across Canada between 1999 and 2015 with confirmed (laboratory-confirmed or epidemiologically linked) or probable (clinically diagnosed) pertussis were included. RESULTS: Overall, 1402 patients with pertussis were included. Infants aged &lt;2 months had the highest mean annual incidences of pertussis hospitalization and intensive care unit (ICU) admission (116.40 [95% confidence interval (CI), 85.32-147.49] and 33.48 [95% CI, 26.35-40.62] per 100 000 population, respectively). The overall proportion of children who required ICU admission was 25.46%, and the proportion was highest in infants aged &lt;2 months (37.90%). Over the span of this study, 21 deaths occurred. Age of &lt;16 weeks, prematurity, encephalopathy, and a confirmed pertussis diagnosis were independent risk factors for ICU admission. Age of &lt;4 weeks, prematurity, and female sex were independent risk factors for death. CONCLUSIONS: In the aP vaccine era, endemic pertussis still contributes considerably to childhood morbidity and death, particularly in infants aged &lt;2 months. Vaccination against pertussis during pregnancy has the potential to reduce this disease burden.","author":[{"dropping-particle":"","family":"Abu-Raya","given":"Bahaa","non-dropping-particle":"","parse-names":false,"suffix":""},{"dropping-particle":"","family":"Bettinger","given":"Julie A.","non-dropping-particle":"","parse-names":false,"suffix":""},{"dropping-particle":"","family":"Vanderkooi","given":"Otto G.","non-dropping-particle":"","parse-names":false,"suffix":""},{"dropping-particle":"","family":"Vaudry","given":"Wendy","non-dropping-particle":"","parse-names":false,"suffix":""},{"dropping-particle":"","family":"Halperin","given":"Scott A.","non-dropping-particle":"","parse-names":false,"suffix":""},{"dropping-particle":"","family":"Sadarangani","given":"Manish","non-dropping-particle":"","parse-names":false,"suffix":""}],"container-title":"Journal of the Pediatric Infectious Diseases Society","id":"ITEM-4","issue":"2","issued":{"date-parts":[["2020"]]},"page":"118-127","title":"Burden of Children Hospitalized With Pertussis in Canada in the Acellular Pertussis Vaccine Era, 1999-2015","type":"article-journal","volume":"9"},"uris":["http://www.mendeley.com/documents/?uuid=19856655-1c40-41f1-8d6f-524f6fca3a9f"]},{"id":"ITEM-5","itemData":{"DOI":"10.1098/rspb.2004.2847","ISSN":"14712970","abstract":"Extended time-series analysis of infectious diseases raises two issues: the spread of disease, and its persistence in space and time. Most studies are based on both data and models, corresponding to conditions encountered in developed countries. The present work sought to determine the impact of local heterogeneity on these two issues, regarding pertussis in tropical conditions. First, we tested the 'cities and villages' model in a small community of 30 villages in rural Senegal. Second, we focused on the impact of population size and density, as well as geographic distance, on population dynamics of pertussis. Results showed that pertussis initially arrived in urban centres, and then spread to surrounding areas. Both population size and density are implicated in the persistence of pertussis within the study area, whereas geographical distance between villages is not. This is the first study on pertussis in a developing country carried out on a very fine spatial scale. Furthermore, it confirms previous results for measles in England and Wales. © 2004 The Royal Society.","author":[{"dropping-particle":"","family":"Broutin","given":"Hélène","non-dropping-particle":"","parse-names":false,"suffix":""},{"dropping-particle":"","family":"Elguero","given":"Eric","non-dropping-particle":"","parse-names":false,"suffix":""},{"dropping-particle":"","family":"Simondon","given":"François","non-dropping-particle":"","parse-names":false,"suffix":""},{"dropping-particle":"","family":"Guégan","given":"Jean François","non-dropping-particle":"","parse-names":false,"suffix":""}],"container-title":"Proceedings of the Royal Society B: Biological Sciences","id":"ITEM-5","issue":"1553","issued":{"date-parts":[["2004"]]},"page":"2091-2098","title":"Spatial dynamics of pertussis in a small region of Senegal","type":"article-journal","volume":"271"},"uris":["http://www.mendeley.com/documents/?uuid=5cea91f3-a68c-40d9-ab2a-ed2520bbb6da"]},{"id":"ITEM-6","itemData":{"DOI":"10.1017/S0950268816003289","ISSN":"14694409","PMID":"28091337","abstract":"Pertussis epidemics have displayed substantial spatial heterogeneity in countries with high socioeconomic conditions and high vaccine coverage. This study aims to investigate the relationship between pertussis risk and socio-environmental factors on the spatio-temporal variation underlying pertussis infection. We obtained daily case numbers of pertussis notifications from Queensland Health, Australia by postal area, for the period January 2006 to December 2012. A Bayesian spatio-temporal model was used to quantify the relationship between monthly pertussis incidence and socio-environmental factors. The socio-environmental factors included monthly mean minimum temperature (MIT), monthly mean vapour pressure (VAP), Queensland school calendar pattern (SCP), and socioeconomic index for area (SEIFA). An increase in pertussis incidence was observed from 2006 to 2010 and a slight decrease from 2011 to 2012. Spatial analyses showed pertussis incidence across Queensland postal area to be low and more spatially homogeneous during 2006-2008; incidence was higher and more spatially heterogeneous after 2009. The results also showed that the average decrease in monthly pertussis incidence was 3·1% [95% credible interval (CrI) 1·3-4·8] for each 1 °C increase in monthly MIT, while average increase in monthly pertussis incidences were 6·2% (95% CrI 0·4-12·4) and 2% (95% CrI 1-3) for SCP periods and for each 10-unit increase in SEIFA, respectively. This study demonstrated that pertussis transmission is significantly associated with MIT, SEIFA, and SCP. Mapping derived from this work highlights the potential for future investigation and areas for focusing future control strategies.","author":[{"dropping-particle":"","family":"Huang","given":"X.","non-dropping-particle":"","parse-names":false,"suffix":""},{"dropping-particle":"","family":"Lambert","given":"S.","non-dropping-particle":"","parse-names":false,"suffix":""},{"dropping-particle":"","family":"Lau","given":"C.","non-dropping-particle":"","parse-names":false,"suffix":""},{"dropping-particle":"","family":"Soares Magalhaes","given":"R. J.","non-dropping-particle":"","parse-names":false,"suffix":""},{"dropping-particle":"","family":"Marquess","given":"J.","non-dropping-particle":"","parse-names":false,"suffix":""},{"dropping-particle":"","family":"Rajmokan","given":"M.","non-dropping-particle":"","parse-names":false,"suffix":""},{"dropping-particle":"","family":"Milinovich","given":"G.","non-dropping-particle":"","parse-names":false,"suffix":""},{"dropping-particle":"","family":"Hu","given":"W.","non-dropping-particle":"","parse-names":false,"suffix":""}],"container-title":"Epidemiology and Infection","id":"ITEM-6","issue":"6","issued":{"date-parts":[["2017"]]},"page":"1221-1230","title":"Assessing the social and environmental determinants of pertussis epidemics in Queensland, Australia: A Bayesian spatio-temporal analysis","type":"article-journal","volume":"145"},"uris":["http://www.mendeley.com/documents/?uuid=2eaba8cf-9dc8-4629-9b54-0242d5cf2186"]},{"id":"ITEM-7","itemData":{"DOI":"10.34171/mjiri.34.22","ISSN":"22516840","abstract":"Background: In spite of existing vaccination programs in many countries, outbreaks of pertussis are still reported. In Iran, the suspected and confirmed cases of pertussis are reported annually. Due to the lack of similar studies, the purpose of the current study was to determine the Spatio-temporal distribution of Pertussis using Geographic Information System (GIS) to identify high-risk areas in Iran during 2012-2018. Methods: In the current cross-sectional study, registered data in the department of vaccine-preventable diseases in the Iranian ministry of health were used. To assess the temporal trend, the Cochran-Armitage test was used. To show the spatial distribution and to identify hotspot areas, Choropleth map and Getis-Ord Gi statistics were used. All analyses performed by Arc. map10.5, Stata 15 and Excel 2010. Results: The incidence of suspect pertussis cases had an increasing trend but did not have a linear trend (p=0.06). Most of the cases happened in under 1 year infants (62.66%). The incidence of reported cases in northern areas was higher than in the Southern areas. The Zanjan had the most reported cases during the understudied period with a median of 7.63 reported cases per 100,000. The clustering of infection and hotspots were identified in northern areas of Iran including Qazvin, Qom, Markazi, and Hamadan. Conclusion: Our results showed that the cumulative incidence of reported cases is increasing. The northern provinces had the highest incidence of Pertussis. Therefore, the causes of this spatio-temporal pattern of pertussis should be determined. Also, supervision on vaccination programs in high-risk areas is recommended.","author":[{"dropping-particle":"","family":"Alimohamadi","given":"Yousef","non-dropping-particle":"","parse-names":false,"suffix":""},{"dropping-particle":"","family":"Zahraei","given":"Seyed Mohsen","non-dropping-particle":"","parse-names":false,"suffix":""},{"dropping-particle":"","family":"Karami","given":"Manoochehr","non-dropping-particle":"","parse-names":false,"suffix":""},{"dropping-particle":"","family":"Yaseri","given":"Mehdi","non-dropping-particle":"","parse-names":false,"suffix":""},{"dropping-particle":"","family":"Lotfizad","given":"Mojtaba","non-dropping-particle":"","parse-names":false,"suffix":""},{"dropping-particle":"","family":"Holakouie-Naieni","given":"Kourosh","non-dropping-particle":"","parse-names":false,"suffix":""}],"container-title":"Medical Journal of the Islamic Republic of Iran","id":"ITEM-7","issue":"1","issued":{"date-parts":[["2020"]]},"title":"Spatio-temporal analysis of pertussis using geographic information system among iranian population during 2012-2018","type":"article-journal","volume":"34"},"uris":["http://www.mendeley.com/documents/?uuid=15f6e70c-7588-4285-a13b-452551e87787"]}],"mendeley":{"formattedCitation":"(Jenkinson, 1995; De Serres et al., 2000; Broutin et al., 2004; Paradowska-Stankiewicz &amp; Rudowska, 2015; Huang et al., 2017; Abu-Raya et al., 2020; Alimohamadi et al., 2020)","plainTextFormattedCitation":"(Jenkinson, 1995; De Serres et al., 2000; Broutin et al., 2004; Paradowska-Stankiewicz &amp; Rudowska, 2015; Huang et al., 2017; Abu-Raya et al., 2020; Alimohamadi et al., 2020)","previouslyFormattedCitation":"(Jenkinson, 1995; De Serres et al., 2000; Broutin et al., 2004; Paradowska-Stankiewicz &amp; Rudowska, 2015; Huang et al., 2017; Abu-Raya et al., 2020; Alimohamadi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(Jenkinson, 1995; De Serres et al., 2000; Broutin et al., 2004; Paradowska-Stankiewicz &amp; Rudowska, 2015; Huang et al., 2017; Abu-Raya et al., 2020; Alimohamadi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an outbreak of </w:t>
      </w:r>
      <w:r w:rsidRPr="003D2D46">
        <w:rPr>
          <w:rFonts w:ascii="Times New Roman" w:hAnsi="Times New Roman" w:cs="Times New Roman"/>
          <w:color w:val="000000" w:themeColor="text1"/>
        </w:rPr>
        <w:lastRenderedPageBreak/>
        <w:t xml:space="preserve">pertussis in Quebec, Canada, reported that the main risk factors for pertussis were being female and working in an educational or healthcare setting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In","id":"ITEM-1","issued":{"date-parts":[["2000"]]},"page":"174-9","title":"Morditity of Pertussis in Adolescents and Adults","type":"article-journal","volume":"182"},"uris":["http://www.mendeley.com/documents/?uuid=2aa63de9-5c6b-47db-b2bc-3f7e98ead561"]}],"mendeley":{"formattedCitation":"(De Serres et al., 2000)","plainTextFormattedCitation":"(De Serres et al., 2000)","previouslyFormattedCitation":"(De Serres et al., 2000)"},"properties":{"noteIndex":0},"schema":"https://github.com/citation-style-language/schema/raw/master/csl-citation.json"}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(De Serres et al., 2000)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authors proposed that the higher risk may be the result of higher awareness of pertussis among females as well as healthcare workers, which could lead them to seek medical care more readily than men </w:t>
      </w:r>
      <w:r w:rsidRPr="003D2D46">
        <w:rPr>
          <w:rFonts w:ascii="Times New Roman" w:hAnsi="Times New Roman" w:cs="Times New Roman"/>
          <w:color w:val="000000" w:themeColor="text1"/>
        </w:rPr>
        <w:fldChar w:fldCharType="begin" w:fldLock="1"/>
      </w:r>
      <w:r w:rsidR="00C736C1" w:rsidRPr="003D2D46">
        <w:rPr>
          <w:rFonts w:ascii="Times New Roman" w:hAnsi="Times New Roman" w:cs="Times New Roman"/>
          <w:color w:val="000000" w:themeColor="text1"/>
        </w:rPr>
        <w:instrText>ADDIN CSL_CITATION {"citationItems":[{"id":"ITEM-1","itemData":{"DOI":"10.1086/425006","ISSN":"10584838","PMID":"15578353","abstract":"The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In","id":"ITEM-1","issued":{"date-parts":[["2000"]]},"page":"174-9","title":"Morditity of Pertussis in Adolescents and Adults","type":"article-journal","volume":"182"},"uris":["http://www.mendeley.com/documents/?uuid=da56572b-c07a-4d08-915b-2ef49dfa3f26","http://www.mendeley.com/documents/?uuid=2aa63de9-5c6b-47db-b2bc-3f7e98ead561","http://www.mendeley.com/documents/?uuid=055f654b-7dbf-4727-af79-dddb32cda3d5"]}],"mendeley":{"formattedCitation":"(De Serres et al., 2000)","plainTextFormattedCitation":"(De Serres et al., 2000)","previouslyFormattedCitation":"(De Serres et al., 2000)"},"properties":{"noteIndex":0},"schema":"https://github.com/citation-style-language/schema/raw/master/csl-citation.json"}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(De Serres et al., 2000)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Higher pertussis risk and pertussis complications among females have also been reported in the United Kingdom and Canada </w:t>
      </w:r>
      <w:r w:rsidRPr="003D2D46">
        <w:rPr>
          <w:rFonts w:ascii="Times New Roman" w:hAnsi="Times New Roman" w:cs="Times New Roman"/>
          <w:color w:val="000000" w:themeColor="text1"/>
        </w:rPr>
        <w:fldChar w:fldCharType="begin" w:fldLock="1"/>
      </w:r>
      <w:r w:rsidR="00C736C1" w:rsidRPr="003D2D46">
        <w:rPr>
          <w:rFonts w:ascii="Times New Roman" w:hAnsi="Times New Roman" w:cs="Times New Roman"/>
          <w:color w:val="000000" w:themeColor="text1"/>
        </w:rPr>
        <w:instrText>ADDIN CSL_CITATION {"citationItems":[{"id":"ITEM-1","itemData":{"author":[{"dropping-particle":"","family":"Jenkinson","given":"D","non-dropping-particle":"","parse-names":false,"suffix":""}],"container-title":"BMJ","id":"ITEM-1","issued":{"date-parts":[["1995"]]},"page":"299-302","title":"Natural course of 500 consecutive cases of whooping cough: a general practive population study","type":"article-journal","volume":"310"},"uris":["http://www.mendeley.com/documents/?uuid=48f7f31d-4f07-4736-bdbe-2cc7dc3b61fa","http://www.mendeley.com/documents/?uuid=f4403bdd-9655-4836-be1f-eb3e789992eb","http://www.mendeley.com/documents/?uuid=05e72edb-503e-4598-8b6c-47cab1ebb81d"]},{"id":"ITEM-2","itemData":{"DOI":"10.1093/jpids/piy128","ISSN":"20487207","PMID":"30535079","abstract":"BACKGROUND: Recent increases in pertussis morbidity and mortality rates among young infants have led to a recommendation in some countries for vaccination against pertussis during pregnancy. Having data on the burden of pediatric pertussis in a large population over time is important for establishing the true burden of disease in the acellular pertussis (aP) vaccine era. Here, we describe age-specific epidemiology and morbidity and mortality rates in children hospitalized with pertussis over 17 years across Canada in the aP vaccine era. METHODS: Patients aged ≤16 years who were admitted to 1 of 12 pediatric tertiary-care hospitals across Canada between 1999 and 2015 with confirmed (laboratory-confirmed or epidemiologically linked) or probable (clinically diagnosed) pertussis were included. RESULTS: Overall, 1402 patients with pertussis were included. Infants aged &lt;2 months had the highest mean annual incidences of pertussis hospitalization and intensive care unit (ICU) admission (116.40 [95% confidence interval (CI), 85.32-147.49] and 33.48 [95% CI, 26.35-40.62] per 100 000 population, respectively). The overall proportion of children who required ICU admission was 25.46%, and the proportion was highest in infants aged &lt;2 months (37.90%). Over the span of this study, 21 deaths occurred. Age of &lt;16 weeks, prematurity, encephalopathy, and a confirmed pertussis diagnosis were independent risk factors for ICU admission. Age of &lt;4 weeks, prematurity, and female sex were independent risk factors for death. CONCLUSIONS: In the aP vaccine era, endemic pertussis still contributes considerably to childhood morbidity and death, particularly in infants aged &lt;2 months. Vaccination against pertussis during pregnancy has the potential to reduce this disease burden.","author":[{"dropping-particle":"","family":"Abu-Raya","given":"Bahaa","non-dropping-particle":"","parse-names":false,"suffix":""},{"dropping-particle":"","family":"Bettinger","given":"Julie A.","non-dropping-particle":"","parse-names":false,"suffix":""},{"dropping-particle":"","family":"Vanderkooi","given":"Otto G.","non-dropping-particle":"","parse-names":false,"suffix":""},{"dropping-particle":"","family":"Vaudry","given":"Wendy","non-dropping-particle":"","parse-names":false,"suffix":""},{"dropping-particle":"","family":"Halperin","given":"Scott A.","non-dropping-particle":"","parse-names":false,"suffix":""},{"dropping-particle":"","family":"Sadarangani","given":"Manish","non-dropping-particle":"","parse-names":false,"suffix":""}],"container-title":"Journal of the Pediatric Infectious Diseases Society","id":"ITEM-2","issue":"2","issued":{"date-parts":[["2020"]]},"page":"118-127","title":"Burden of Children Hospitalized With Pertussis in Canada in the Acellular Pertussis Vaccine Era, 1999-2015","type":"article-journal","volume":"9"},"uris":["http://www.mendeley.com/documents/?uuid=faef4d31-3221-4d41-b141-1c1f7234f1e6","http://www.mendeley.com/documents/?uuid=80b9d0a0-a369-49e5-b56c-6f815388bbe2","http://www.mendeley.com/documents/?uuid=19856655-1c40-41f1-8d6f-524f6fca3a9f"]}],"mendeley":{"formattedCitation":"(Jenkinson, 1995; Abu-Raya et al., 2020)","plainTextFormattedCitation":"(Jenkinson, 1995; Abu-Raya et al., 2020)","previouslyFormattedCitation":"(Jenkinson, 1995; Abu-Raya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(Jenkinson, 1995; Abu-Raya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Lower socio-economic status, particularly living below poverty line, poor access to medical care, no vaccination or under-vaccination, and female sex have been identified as sociodemographic predictors of high pertussis risk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{"citationItems":[{"id":"ITEM-1","itemData":{"author":[{"dropping-particle":"","family":"Klevens MR","given":"Luman ET","non-dropping-particle":"","parse-names":false,"suffix":""}],"container-title":"Am J Prev Med","id":"ITEM-1","issue":"01","issued":{"date-parts":[["2001"]]},"page":"41-46","title":"U.S. Children Living in and Near Poverty","type":"article-journal","volume":"20"},"uris":["http://www.mendeley.com/documents/?uuid=bdf4c787-051f-4f77-91c2-037807d28dff","http://www.mendeley.com/documents/?uuid=64dd688a-5ade-431e-a6c1-f7345cb3b8ec","http://www.mendeley.com/documents/?uuid=59e1257d-f626-4b17-a202-136ea40662b4"]},{"id":"ITEM-2","itemData":{"author":[{"dropping-particle":"","family":"Paradowska-Stankiewicz","given":"I","non-dropping-particle":"","parse-names":false,"suffix":""},{"dropping-particle":"","family":"Rudowska","given":"J","non-dropping-particle":"","parse-names":false,"suffix":""}],"container-title":"Przegl Epidemiol","id":"ITEM-2","issue":"4","issued":{"date-parts":[["2015"]]},"page":"745-747","title":"Pertussis in Poland, 2013","type":"article-journal","volume":"69"},"uris":["http://www.mendeley.com/documents/?uuid=026acfd8-52f5-4730-a6c6-c8c57ae4cafe"]},{"id":"ITEM-3","itemData":{"DOI":"10.1086/425006","ISSN":"10584838","PMID":"15578353","abstract":"The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In","id":"ITEM-3","issued":{"date-parts":[["2000"]]},"page":"174-9","title":"Morditity of Pertussis in Adolescents and Adults","type":"article-journal","volume":"182"},"uris":["http://www.mendeley.com/documents/?uuid=2aa63de9-5c6b-47db-b2bc-3f7e98ead561"]},{"id":"ITEM-4","itemData":{"DOI":"10.1086/589753","ISSN":"10584838","PMID":"18558873","abstract":"Background. Each year, Bordetella pertussis infection causes an estimated 294,000 deaths worldwide, primarily among young, nonvaccinated children. Approximately 90% of all deaths due to pertussis in the Unites States occur in young infants. These children often develop intractable pulmonary hypertension; however, the pathophysiologic mechanism responsible for this complication has not been well characterized, and there have been no detailed descriptions of the pathology of this disease since the 1940s. Methods. Respiratory tissue samples obtained at autopsy from 15 infants aged ≤4 months who had polymerase chain reaction- or culture-confirmed B. pertussis pneumonia were evaluated by multiple histochemical stains, immunohistochemical evaluation, and electron microscopic examination. Results. The pulmonary histopathologic examination of the samples revealed a descending infection dominated by necrotizing bronchiolitis, intra-alveolar hemorrhage, and fibrinous edema. All samples had marked leukocytosis, and most showed luminal aggregates of abundant leukocytes in small pulmonary arteries, veins, and lymphatics. A novel immunohistochemical stain for B. pertussis revealed abundant extracellular bordetellae in cilia of the trachea, bronchi, and bronchioles, as well as intracellular bacteria and antigens in alveolar macrophages and ciliated epithelium. Conclusions. Pertussis should be suspected in any infant death associated with marked leukocytosis, bronchopneumonia, or refractory pulmonary hypertension, particularly in children aged ≤4 months. The pathologic findings identified in the respiratory tracts of these children, in addition to recognized physiologic responses of the infant lung to hypoxia, suggest that B. pertussis pneumonia triggers a cascade of events that includes acute pulmonary vasoconstriction and pertussis toxin-mediated increases in circulating leukocyte mass. These responses ultimately compromise pulmonary blood flow, exacerbate hypoxemia, and create a vicious cycle of refractory pulmonary hypertension.","author":[{"dropping-particle":"","family":"Paddock","given":"Christopher D.","non-dropping-particle":"","parse-names":false,"suffix":""},{"dropping-particle":"","family":"Sanden","given":"Gary N.","non-dropping-particle":"","parse-names":false,"suffix":""},{"dropping-particle":"","family":"Cherry","given":"James D.","non-dropping-particle":"","parse-names":false,"suffix":""},{"dropping-particle":"","family":"Gal","given":"Anthony A.","non-dropping-particle":"","parse-names":false,"suffix":""},{"dropping-particle":"","family":"Langston","given":"Claire","non-dropping-particle":"","parse-names":false,"suffix":""},{"dropping-particle":"","family":"Tatti","given":"Kathleen M.","non-dropping-particle":"","parse-names":false,"suffix":""},{"dropping-particle":"","family":"Wu","given":"Kai Hui","non-dropping-particle":"","parse-names":false,"suffix":""},{"dropping-particle":"","family":"Goldsmith","given":"Cynthia S.","non-dropping-particle":"","parse-names":false,"suffix":""},{"dropping-particle":"","family":"Greer","given":"Patricia W.","non-dropping-particle":"","parse-names":false,"suffix":""},{"dropping-particle":"","family":"Montague","given":"Jeltley L.","non-dropping-particle":"","parse-names":false,"suffix":""},{"dropping-particle":"","family":"Eliason","given":"Mark T.","non-dropping-particle":"","parse-names":false,"suffix":""},{"dropping-particle":"","family":"Holman","given":"Robert C.","non-dropping-particle":"","parse-names":false,"suffix":""},{"dropping-particle":"","family":"Guarner","given":"Jeannette","non-dropping-particle":"","parse-names":false,"suffix":""},{"dropping-particle":"","family":"Shieh","given":"Wun Ju","non-dropping-particle":"","parse-names":false,"suffix":""},{"dropping-particle":"","family":"Zaki","given":"Sherif R.","non-dropping-particle":"","parse-names":false,"suffix":""}],"container-title":"Clinical Infectious Diseases","id":"ITEM-4","issue":"3","issued":{"date-parts":[["2008"]]},"page":"328-338","title":"Pathology and pathogenesis of fatal Bordetella pertussis infection in infants","type":"article-journal","volume":"47"},"uris":["http://www.mendeley.com/documents/?uuid=399cdfd2-a5c4-4850-8e9b-177c7865d3b4","http://www.mendeley.com/documents/?uuid=f5f55d6a-3784-4f93-95b5-000dcfbf1cd5","http://www.mendeley.com/documents/?uuid=bad7712a-0095-4dab-b1db-61fdd6a57e42","http://www.mendeley.com/documents/?uuid=c347f16e-f216-450e-ac2d-98aa2fbadc42"]}],"mendeley":{"formattedCitation":"(De Serres et al., 2000; Klevens MR, 2001; Paddock et al., 2008; Paradowska-Stankiewicz &amp; Rudowska, 2015)","plainTextFormattedCitation":"(De Serres et al., 2000; Klevens MR, 2001; Paddock et al., 2008; Paradowska-Stankiewicz &amp; Rudowska, 2015)","previouslyFormattedCitation":"(De Serres et al., 2000; Klevens MR, 2001; Paddock et al., 2008; Paradowska-Stankiewicz &amp; Rudowska,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(De Serres et al., 2000; Klevens MR, 2001; Paddock et al., 2008; Paradowska-Stankiewicz &amp; Rudowska,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Additionally, higher rates of pertussis cases, hospitalization, and deaths have been reported among infants of Hispanic ethnicity compared to other racial and ethnic groups since 1990 in California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Winter","given":"Kathleen","non-dropping-particle":"","parse-names":false,"suffix":""},{"dropping-particle":"","family":"Harriman","given":"Kathleen","non-dropping-particle":"","parse-names":false,"suffix":""},{"dropping-particle":"","family":"Zipprich","given":"Jennifer","non-dropping-particle":"","parse-names":false,"suffix":""},{"dropping-particle":"","family":"Schechter","given":"Robert","non-dropping-particle":"","parse-names":false,"suffix":""},{"dropping-particle":"","family":"Talarico","given":"John","non-dropping-particle":"","parse-names":false,"suffix":""},{"dropping-particle":"","family":"Watt","given":"James","non-dropping-particle":"","parse-names":false,"suffix":""},{"dropping-particle":"","family":"Chavez","given":"Gilberto","non-dropping-particle":"","parse-names":false,"suffix":""}],"container-title":"The Journal of Pediatrics","id":"ITEM-1","issued":{"date-parts":[["2012"]]},"page":"1091-1096","title":"California Pertussis Epidemic, 2010","type":"article-journal","volume":"161"},"uris":["http://www.mendeley.com/documents/?uuid=247b7092-6823-45e9-b891-143bd5503467","http://www.mendeley.com/documents/?uuid=00946405-0daa-4965-abc0-cfbb01c885ee","http://www.mendeley.com/documents/?uuid=a85e15f3-bc38-46e7-9968-6ea1a79986c0"]},{"id":"ITEM-2","itemData":{"DOI":"10.1001/jama.290.22.2968","ISSN":"00987484","abstract":"Context: Reported cases of pertussis among adolescents and adults have increased since the 1980s, despite increasingly high rates of vaccination among infants and children. However, severe pertussis morbidity and mortality occur primarily among infants. Objective: To describe the trends and characteristics of reported cases of pertussis among infants younger than 12 months in the United States from 1980 to 1999. Design, Setting, and Participants: Cases of pertussis in infants younger than 12 months in the United States reported to the National Notifiable Disease Surveillance System of the Centers for Disease Control and Prevention between 1980 and 1999, and detailed case data from the Supplementary Pertussis Surveillance System. Main Outcome Measures: Incidence and demographic and clinical characteristics of cases. Results: The incidence of reported cases of pertussis among infants increased 49% in the 1990s compared with the incidence in the 1980s (19798 vs 12550 cases reported; 51.1 cases vs 34.2 cases per 100000 infant population, respectively). Increases in the incidence of cases and the number of deaths among infants during the 1990s primarily were among those aged 4 months or younger, contrasting with a stable incidence of cases among infants aged 5 months or older. The proportion of cases confirmed by bacterial culture was higher in the 1990s than in the 1980s (50% and 33%, respectively); the proportion of hospitalized cases was unchanged (67% vs 68%, respectively). Receipt of fewer doses of vaccine was associated with hospitalization, when cases were stratified by age in months. Conclusions: The incidence of reported cases of pertussis among infants increased in the 1990s compared with the 1980s. The limited age group affected, the increased rate of bacteriologic confirmation, and the unchanged severity of illness suggest that an increase in infant pertussis has occurred apart from any change in reporting. Strategies are needed to prevent the morbidity and mortality from pertussis among infants too young to be fully vaccinated, according to the current recommended schedules of vaccination in the United States.","author":[{"dropping-particle":"","family":"Tanaka","given":"Masahiro","non-dropping-particle":"","parse-names":false,"suffix":""},{"dropping-particle":"","family":"Vitek","given":"Charles R.","non-dropping-particle":"","parse-names":false,"suffix":""},{"dropping-particle":"","family":"Pascual","given":"F. Brian","non-dropping-particle":"","parse-names":false,"suffix":""},{"dropping-particle":"","family":"Bisgard","given":"Kristine M.","non-dropping-particle":"","parse-names":false,"suffix":""},{"dropping-particle":"","family":"Tate","given":"Jacqueline E.","non-dropping-particle":"","parse-names":false,"suffix":""},{"dropping-particle":"V.","family":"Murphy","given":"Trudy","non-dropping-particle":"","parse-names":false,"suffix":""}],"container-title":"Journal of the American Medical Association","id":"ITEM-2","issue":"22","issued":{"date-parts":[["2003"]]},"page":"2968-2975","title":"Trends in Pertussis among Infants in the United States, 1980-1999","type":"article-journal","volume":"290"},"uris":["http://www.mendeley.com/documents/?uuid=a2cce6f6-f5a1-44a4-ab83-bcacaba81017","http://www.mendeley.com/documents/?uuid=77654a52-180c-4326-8039-71acc12f5a71","http://www.mendeley.com/documents/?uuid=9e383b58-f385-4922-ad9c-ac2dd42ac52d"]},{"id":"ITEM-3","itemData":{"author":[{"dropping-particle":"","family":"Winter","given":"Kathleen","non-dropping-particle":"","parse-names":false,"suffix":""}],"id":"ITEM-3","issued":{"date-parts":[["2016"]]},"publisher":"UC Berkeley","title":"Pertussis among the youngest infants in California: Evaluating the effectiveness of prenatal Tdap vaccination and identifying infants at greatest risk of disease","type":"thesis"},"uris":["http://www.mendeley.com/documents/?uuid=2c227393-6083-401f-aceb-63232e4069c5","http://www.mendeley.com/documents/?uuid=9cd6747d-5fe0-4260-aa0e-231db725207c","http://www.mendeley.com/documents/?uuid=7f2f299e-defd-4175-a613-0237c2acbe86","http://www.mendeley.com/documents/?uuid=0061d9c0-0032-4142-90bb-e819be414388","http://www.mendeley.com/documents/?uuid=c3db7c25-7bd9-4f0f-a22f-0db75dc1033f"]}],"mendeley":{"formattedCitation":"(Tanaka et al., 2003; Winter et al., 2012; Winter, 2016)","plainTextFormattedCitation":"(Tanaka et al., 2003; Winter et al., 2012; Winter, 2016)","previouslyFormattedCitation":"(Tanaka et al., 2003; Winter et al., 2012; Winter,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(Tanaka et al., 2003; Winter et al., 2012; Winter,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5859860" w14:textId="77777777" w:rsidR="004B759B" w:rsidRPr="003D2D46" w:rsidRDefault="004B759B" w:rsidP="00580A15">
      <w:pPr>
        <w:spacing w:line="480" w:lineRule="auto"/>
        <w:rPr>
          <w:rFonts w:ascii="Times New Roman" w:hAnsi="Times New Roman" w:cs="Times New Roman"/>
          <w:color w:val="000000" w:themeColor="text1"/>
        </w:rPr>
      </w:pPr>
    </w:p>
    <w:p w14:paraId="71335012" w14:textId="77777777" w:rsidR="004B759B" w:rsidRPr="003D2D46" w:rsidRDefault="00EA09C6" w:rsidP="00580A15">
      <w:pPr>
        <w:pStyle w:val="Heading41111"/>
        <w:spacing w:line="480" w:lineRule="auto"/>
        <w:rPr>
          <w:rFonts w:cs="Times New Roman"/>
          <w:color w:val="000000" w:themeColor="text1"/>
        </w:rPr>
      </w:pPr>
      <w:bookmarkStart w:id="55" w:name="_Toc79657930"/>
      <w:bookmarkStart w:id="56" w:name="_Toc81647075"/>
      <w:bookmarkStart w:id="57" w:name="_Toc82445514"/>
      <w:bookmarkStart w:id="58" w:name="_Toc87797075"/>
      <w:r w:rsidRPr="003D2D46">
        <w:rPr>
          <w:rFonts w:cs="Times New Roman"/>
          <w:color w:val="000000" w:themeColor="text1"/>
        </w:rPr>
        <w:t>2.</w:t>
      </w:r>
      <w:r w:rsidR="00BC2A42" w:rsidRPr="003D2D46">
        <w:rPr>
          <w:rFonts w:cs="Times New Roman"/>
          <w:color w:val="000000" w:themeColor="text1"/>
        </w:rPr>
        <w:t>6</w:t>
      </w:r>
      <w:r w:rsidRPr="003D2D46">
        <w:rPr>
          <w:rFonts w:cs="Times New Roman"/>
          <w:color w:val="000000" w:themeColor="text1"/>
        </w:rPr>
        <w:t>.</w:t>
      </w:r>
      <w:r w:rsidR="005529ED" w:rsidRPr="003D2D46">
        <w:rPr>
          <w:rFonts w:cs="Times New Roman"/>
          <w:color w:val="000000" w:themeColor="text1"/>
        </w:rPr>
        <w:t>6</w:t>
      </w:r>
      <w:r w:rsidR="004B759B" w:rsidRPr="003D2D46">
        <w:rPr>
          <w:rFonts w:cs="Times New Roman"/>
          <w:color w:val="000000" w:themeColor="text1"/>
        </w:rPr>
        <w:t xml:space="preserve"> Reporting</w:t>
      </w:r>
      <w:bookmarkEnd w:id="55"/>
      <w:bookmarkEnd w:id="56"/>
      <w:bookmarkEnd w:id="57"/>
      <w:bookmarkEnd w:id="58"/>
    </w:p>
    <w:p w14:paraId="5893C164" w14:textId="0A83C890" w:rsidR="00340169" w:rsidRPr="003D2D46" w:rsidRDefault="00340169" w:rsidP="00340169">
      <w:pPr>
        <w:spacing w:line="480" w:lineRule="auto"/>
        <w:rPr>
          <w:rFonts w:ascii="Times New Roman" w:hAnsi="Times New Roman" w:cs="Times New Roman"/>
          <w:color w:val="000000" w:themeColor="text1"/>
        </w:rPr>
      </w:pPr>
      <w:bookmarkStart w:id="59" w:name="_Toc81647076"/>
      <w:bookmarkStart w:id="60" w:name="_Toc82445515"/>
      <w:r w:rsidRPr="003D2D46">
        <w:rPr>
          <w:rFonts w:ascii="Times New Roman" w:hAnsi="Times New Roman" w:cs="Times New Roman"/>
          <w:color w:val="000000" w:themeColor="text1"/>
        </w:rPr>
        <w:t xml:space="preserve">Although pertussis is a reportable disease, it remains markedly under-reported and so the true burden of morbidity and mortality from pertussis is higher than what is reported to public health agencies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Journal","id":"ITEM-1","issue":"9","issued":{"date-parts":[["2015"]]},"page":"222-232","title":"Recent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mendeley":{"formattedCitation":"(Tan et al., 2015)","plainTextFormattedCitation":"(Tan et al., 2015)","previouslyFormattedCitation":"(Tan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Most studies of pertussis incidence and reemergence are from developed or Western nations and it has been proposed that records from some countries including China, India, Pakistan, Nigeria, South Africa, and Indonesia have greatly under-reported pertussis cases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{"citationItems":[{"id":"ITEM-1","itemData":{"author":[{"dropping-particle":"","family":"Syed","given":"Muhammad A","non-dropping-particle":"","parse-names":false,"suffix":""},{"dropping-particle":"","family":"Bana","given":"Noureen F","non-dropping-particle":"","parse-names":false,"suffix":""}],"container-title":"Saudi Med J","id":"ITEM-1","issue":"10","issued":{"date-parts":[["2014"]]},"page":"1181-1187","title":"Pertussis: A reemerging and an underreported infectious disease","type":"article-journal","volume":"35"},"uris":["http://www.mendeley.com/documents/?uuid=122f6266-b9ef-48f8-9825-9377463c3896","http://www.mendeley.com/documents/?uuid=5eb959a8-571f-44a8-92ad-f016f00bcf53","http://www.mendeley.com/documents/?uuid=83e12b4a-fc27-4dc5-9c26-fb0995ba6875"]},{"id":"ITEM-2","itemData":{"DOI":"10.3201/eid1508.081511","author":[{"dropping-particle":"","family":"Mooi","given":"Frits R","non-dropping-particle":"","parse-names":false,"suffix":""},{"dropping-particle":"Van","family":"Loo","given":"Inge H M","non-dropping-particle":"","parse-names":false,"suffix":""},{"dropping-particle":"Van","family":"Gent","given":"Marjolein","non-dropping-particle":"","parse-names":false,"suffix":""},{"dropping-particle":"","family":"He","given":"Qiushui","non-dropping-particle":"","parse-names":false,"suffix":""},{"dropping-particle":"","family":"Bart","given":"Marieke J","non-dropping-particle":"","parse-names":false,"suffix":""},{"dropping-particle":"","family":"Heuvelman","given":"Kees J","non-dropping-particle":"","parse-names":false,"suffix":""},{"dropping-particle":"De","family":"Greeff","given":"Sabine C","non-dropping-particle":"","parse-names":false,"suffix":""},{"dropping-particle":"","family":"Diavatopoulos","given":"Dimitri","non-dropping-particle":"","parse-names":false,"suffix":""},{"dropping-particle":"","family":"Teunis","given":"Peter","non-dropping-particle":"","parse-names":false,"suffix":""},{"dropping-particle":"","family":"Nagelkerke","given":"Nico","non-dropping-particle":"","parse-names":false,"suffix":""},{"dropping-particle":"","family":"Mertsola","given":"Jussi","non-dropping-particle":"","parse-names":false,"suffix":""}],"container-title":"Emerging Infectious Diseases","id":"ITEM-2","issue":"8","issued":{"date-parts":[["2009"]]},"page":"1-8","title":"Bordetella pertussis Strains with Increased Toxin Production Associated with Pertussis Resurgence","type":"article-journal","volume":"15"},"uris":["http://www.mendeley.com/documents/?uuid=1490f184-42a2-4914-a6ee-8667439ddb3f","http://www.mendeley.com/documents/?uuid=da99af4c-e6ff-4c16-b27d-5b2822d32a1d","http://www.mendeley.com/documents/?uuid=754ce286-0fe9-4581-8594-db1c2409b773","http://www.mendeley.com/documents/?uuid=2c6e76aa-40c3-4d70-9d17-42ecc24ab0e9","http://www.mendeley.com/documents/?uuid=4e776bbd-52c1-438a-b695-cb51697c9a76"]},{"id":"ITEM-3","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Journal","id":"ITEM-3","issue":"9","issued":{"date-parts":[["2015"]]},"page":"222-232","title":"Recent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http://www.mendeley.com/documents/?uuid=6f9baa6e-10cc-4225-bad8-2cbe78debb6e","http://www.mendeley.com/documents/?uuid=4c331589-5c0d-47ea-96ba-d1b101ebf876"]}],"mendeley":{"formattedCitation":"(Mooi et al., 2009; Syed &amp; Bana, 2014; Tan et al., 2015)","plainTextFormattedCitation":"(Mooi et al., 2009; Syed &amp; Bana, 2014; Tan et al., 2015)","previouslyFormattedCitation":"(Mooi et al., 2009; Syed &amp; Bana, 2014; 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 xml:space="preserve">(Mooi et al., 2009; Syed &amp; Bana, </w:t>
      </w:r>
      <w:r w:rsidR="00C736C1" w:rsidRPr="003D2D46">
        <w:rPr>
          <w:rFonts w:ascii="Times New Roman" w:hAnsi="Times New Roman" w:cs="Times New Roman"/>
          <w:noProof/>
          <w:color w:val="000000" w:themeColor="text1"/>
        </w:rPr>
        <w:lastRenderedPageBreak/>
        <w:t>2014; 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Differences in health care access, infrastructure, diagnostic tools, case definitions, and clinical training all contribute to under-reporting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Journal","id":"ITEM-1","issue":"9","issued":{"date-parts":[["2015"]]},"page":"222-232","title":"Recent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mendeley":{"formattedCitation":"(Tan et al., 2015)","plainTextFormattedCitation":"(Tan et al., 2015)","previouslyFormattedCitation":"(Tan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76F0719" w14:textId="77777777" w:rsidR="00340169" w:rsidRPr="003D2D46" w:rsidRDefault="00340169" w:rsidP="00340169">
      <w:pPr>
        <w:spacing w:line="480" w:lineRule="auto"/>
        <w:rPr>
          <w:rFonts w:ascii="Times New Roman" w:hAnsi="Times New Roman" w:cs="Times New Roman"/>
          <w:color w:val="000000" w:themeColor="text1"/>
        </w:rPr>
      </w:pPr>
    </w:p>
    <w:p w14:paraId="397027E5" w14:textId="4D5490DE"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One source of under-reporting includes clinicians failing to suspect pertussis when presented with non-classical presentation or in age groups where infection is not as severe. For example, a study of under-reporting in the Netherlands reported that 19% of cases are missed if physicians rely on clinical suspicion alone and recommended that routine diagnostics should be considered to address this gap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{"citationItems":[{"id":"ITEM-1","itemData":{"author":[{"dropping-particle":"","family":"ven den Brink","given":"Gertrude","non-dropping-particle":"","parse-names":false,"suffix":""},{"dropping-particle":"","family":"Wishaupt","given":"Jérôme O","non-dropping-particle":"","parse-names":false,"suffix":""},{"dropping-particle":"","family":"Douma","given":"Jacob C","non-dropping-particle":"","parse-names":false,"suffix":""},{"dropping-particle":"","family":"Hartwig","given":"Nico G","non-dropping-particle":"","parse-names":false,"suffix":""},{"dropping-particle":"","family":"Versteegh","given":"Florens G A","non-dropping-particle":"","parse-names":false,"suffix":""}],"container-title":"BMC Infectious Diseases","id":"ITEM-1","issued":{"date-parts":[["2014"]]},"page":"526","title":"Bordetella pertussis: an underreported pathogen in pediatric respiratory infections, a prospective cohort study","type":"article-journal","volume":"14"},"uris":["http://www.mendeley.com/documents/?uuid=b1563cf1-ee74-4bf8-a0af-a6862d50ccd3","http://www.mendeley.com/documents/?uuid=11a98e93-dbfe-4275-92f2-dd79fd82d836","http://www.mendeley.com/documents/?uuid=0038d6ea-e703-4776-bdeb-af019ea0a236"]}],"mendeley":{"formattedCitation":"(ven den Brink et al., 2014)","plainTextFormattedCitation":"(ven den Brink et al., 2014)","previouslyFormattedCitation":"(ven den Brink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(ven den Brink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Cases in adolescent and adult patients may go undetected and unreported as these patients often have milder symptoms. Their diagnosis is often delayed or missed because of low clinical suspicion as well as the lower effectiveness of diagnostic tests in later stages of illness. Culture and PCR tests have lower sensitivity (culture: 9.7%; PCR:21.4%) later in the course of the illness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id":"ITEM-2","itemData":{"author":[{"dropping-particle":"","family":"Syed","given":"Muhammad A","non-dropping-particle":"","parse-names":false,"suffix":""},{"dropping-particle":"","family":"Bana","given":"Noureen F","non-dropping-particle":"","parse-names":false,"suffix":""}],"container-title":"Saudi Med J","id":"ITEM-2","issue":"10","issued":{"date-parts":[["2014"]]},"page":"1181-1187","title":"Pertussis: A reemerging and an underreported infectious disease","type":"article-journal","volume":"35"},"uris":["http://www.mendeley.com/documents/?uuid=122f6266-b9ef-48f8-9825-9377463c3896","http://www.mendeley.com/documents/?uuid=5eb959a8-571f-44a8-92ad-f016f00bcf53","http://www.mendeley.com/documents/?uuid=83e12b4a-fc27-4dc5-9c26-fb0995ba6875","http://www.mendeley.com/documents/?uuid=6c594d93-db76-435f-a33c-94dbf964b431","http://www.mendeley.com/documents/?uuid=33b62124-8c4d-4791-b2f0-cad80fef7bb0"]}],"mendeley":{"formattedCitation":"(Syed &amp; Bana, 2014; Centers for Disease Control and Prevention, 2015a)","plainTextFormattedCitation":"(Syed &amp; Bana, 2014; Centers for Disease Control and Prevention, 2015a)","previouslyFormattedCitation":"(Syed &amp; Bana, 2014; 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(Syed &amp; Bana, 2014; 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Non-classical clinical presentation as well as asymptomatic infections have been proposed as sources of under-reporting. It has been </w:t>
      </w:r>
      <w:r w:rsidR="00044A8F" w:rsidRPr="003D2D46">
        <w:rPr>
          <w:rFonts w:ascii="Times New Roman" w:hAnsi="Times New Roman" w:cs="Times New Roman"/>
          <w:color w:val="000000" w:themeColor="text1"/>
        </w:rPr>
        <w:t xml:space="preserve">suggested </w:t>
      </w:r>
      <w:r w:rsidRPr="003D2D46">
        <w:rPr>
          <w:rFonts w:ascii="Times New Roman" w:hAnsi="Times New Roman" w:cs="Times New Roman"/>
          <w:color w:val="000000" w:themeColor="text1"/>
        </w:rPr>
        <w:t xml:space="preserve">that asymptomatic infection is approximately five times more common than reported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 xml:space="preserve">ADDIN CSL_CITATION {"citationItems":[{"id":"ITEM-1","itemData":{"DOI":"10.1086/504803","ISSN":"10584838","PMID":"16779740","abstract":"Background. Acellular pertussis (aP) booster immunizations have been recommended for adolescents and older persons to enhance long-term protection and to possibly reduce community transmission of infections. Methods. This was a multicenter, randomized, double-blind vaccine trial in which one-half of the subjects received aP vaccine and one-half received hepatitis A vaccine (control subjects). All subjects were observed for almost 2 years for cough illnesses, and all underwent microbiologic and serologic studies for detection of pertussis infection. Immunoglobulin G (IgG) and immunoglobulin A (IgA) antibodies to pertussis toxin, filamentous hemagglutinin, pertactin, and fimbriae 2/3 were measured by enzyme-linked immunosorbent assay in serum samples obtained 1 and 12 months after immunization. Infection rates were determined with a variety of serologic criteria for control and vaccinated subjects. The incidence of prolonged cough illness was ascertained for subjects with and subjects without serologic evidence of infection. Results. Infection rates among control subjects are particularly representative of those in nonimmunized adults. Among control subjects, 0.4%-2.7% had increases in pertussis antibody of various types and degrees over 1 year, and 20%-46% had prolonged cough illnesses during this interval. Pertussis toxin antibody had the greatest specificity for detecting increases in antibody levels. Asymptomatic infections were </w:instrText>
      </w:r>
      <w:r w:rsidR="00476116" w:rsidRPr="003D2D46">
        <w:rPr>
          <w:rFonts w:ascii="Cambria Math" w:hAnsi="Cambria Math" w:cs="Cambria Math"/>
          <w:color w:val="000000" w:themeColor="text1"/>
        </w:rPr>
        <w:instrText>∼</w:instrText>
      </w:r>
      <w:r w:rsidR="00476116" w:rsidRPr="003D2D46">
        <w:rPr>
          <w:rFonts w:ascii="Times New Roman" w:hAnsi="Times New Roman" w:cs="Times New Roman"/>
          <w:color w:val="000000" w:themeColor="text1"/>
        </w:rPr>
        <w:instrText>5 times more common than clinical illnesses that met a strict clinical and microbiologic case definition. Relative to control subjects, aP-immunized subjects may have fewer increases in the antibody level (i.e., infections), especially for antibodies to fimbriae 2/3 (an antigen not in the vaccine). Conclusions. Pertussis infections in older persons are largely asymptomatic. aP boosters confer protection for adolescents and adults against symptomatic pertussis and likely confer protection against mild and asymptomatic infections, and use of boosters may reduce transmission to others, especially infants. © 2006 by the infectious Diseases Society of America. All rights reserved.","author":[{"dropping-particle":"","family":"Ward","given":"Joel I.","non-dropping-particle":"","parse-names":false,"suffix":""},{"dropping-particle":"","family":"Cherry","given":"James D.","non-dropping-particle":"","parse-names":false,"suffix":""},{"dropping-particle":"","family":"Chang","given":"Swei Ju","non-dropping-particle":"","parse-names":false,"suffix":""},{"dropping-particle":"","family":"Partridge","given":"Susan","non-dropping-particle":"","parse-names":false,"suffix":""},{"dropping-particle":"","family":"Keitel","given":"Wendy","non-dropping-particle":"","parse-names":false,"suffix":""},{"dropping-particle":"","family":"Edwards","given":"Kathryn","non-dropping-particle":"","parse-names":false,"suffix":""},{"dropping-particle":"","family":"Lee","given":"Martin","non-dropping-particle":"","parse-names":false,"suffix":""},{"dropping-particle":"","family":"Treanor","given":"John","non-dropping-particle":"","parse-names":false,"suffix":""},{"dropping-particle":"","family":"Greenberg","given":"David P.","non-dropping-particle":"","parse-names":false,"suffix":""},{"dropping-particle":"","family":"Barenkamp","given":"Stephen","non-dropping-particle":"","parse-names":false,"suffix":""},{"dropping-particle":"","family":"Bernstein","given":"David I.","non-dropping-particle":"","parse-names":false,"suffix":""},{"dropping-particle":"","family":"Edelman","given":"Robert","non-dropping-particle":"","parse-names":false,"suffix":""}],"container-title":"Clinical Infectious Diseases","id":"ITEM-1","issue":"2","issued":{"date-parts":[["2006"]]},"page":"151-157","title":"Bordetella Pertussis infections in vaccinated and unvaccinated adolescents and adults, as assessed in a national prospective randomized acellular pertussis vaccine trial (APERT)","type":"article-journal","volume":"43"},"uris":["http://www.mendeley.com/documents/?uuid=0e22a3f7-b83c-478b-9a4b-1b58a0083258","http://www.mendeley.com/documents/?uuid=c060c5b5-afd8-4561-9048-4d96fa621854","http://www.mendeley.com/documents/?uuid=e68439b0-db1c-4a96-9f6b-32c7bd0d60b4"]},{"id":"ITEM-2","itemData":{"DOI":"10.1016/j.meegid.2016.02.032","ISSN":"15677257","PMID":"26932577","abstract":"Whooping cough, or pertussis, is resurgent in many countries world-wide. This is linked to switching from the use of whole cell vaccines to acellular vaccines in developed countries. Current evidence suggests that this has resulted in the earlier waning of vaccine-induced immunity, an increase in asymptomatic infection with concomitant increases in transmission and increased selection pressure for Bordetella pertussis variants that are better able to evade vaccine-mediated immunity than older isolates. This review discusses recent findings in B. pertussis epidemiology and evolution in the light of pertussis resurgence, and highlights the important role for genomics-based studies in monitoring B. pertussis adaptation.","author":[{"dropping-particle":"","family":"Sealey","given":"Katie L.","non-dropping-particle":"","parse-names":false,"suffix":""},{"dropping-particle":"","family":"Belcher","given":"Thomas","non-dropping-particle":"","parse-names":false,"suffix":""},{"dropping-particle":"","family":"Preston","given":"Andrew","non-dropping-particle":"","parse-names":false,"suffix":""}],"container-title":"Infection, Genetics and Evolution","id":"ITEM-2","issued":{"date-parts":[["2016"]]},"page":"136-143","publisher":"Elsevier B.V.","title":"Bordetella pertussis epidemiology and evolution in the light of pertussis resurgence","type":"article-journal","volume":"40"},"uris":["http://www.mendeley.com/documents/?uuid=be733d8e-ab98-4fd2-8952-fbebe583ea50","http://www.mendeley.com/documents/?uuid=77a4b22e-e570-4052-8307-4e40394bada6","http://www.mendeley.com/documents/?uuid=3f276d4c-e152-4568-ac93-04cd8f866dc4","http://www.mendeley.com/documents/?uuid=123ca8b7-8217-4b53-b46f-604fc93fe300"]}],"mendeley":{"formattedCitation":"(Ward et al., 2006; Sealey, Belcher &amp; Preston, 2016)","plainTextFormattedCitation":"(Ward et al., 2006; Sealey, Belcher &amp; Preston, 2016)","previouslyFormattedCitation":"(Ward et al., 2006; Sealey, Belcher &amp; Preston,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(Ward et al., 2006; Sealey, Belcher &amp; Preston,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EB73F8E" w14:textId="77777777" w:rsidR="00340169" w:rsidRPr="003D2D46" w:rsidRDefault="00340169" w:rsidP="00340169">
      <w:pPr>
        <w:spacing w:line="480" w:lineRule="auto"/>
        <w:rPr>
          <w:rFonts w:ascii="Times New Roman" w:hAnsi="Times New Roman" w:cs="Times New Roman"/>
          <w:color w:val="000000" w:themeColor="text1"/>
        </w:rPr>
      </w:pPr>
    </w:p>
    <w:p w14:paraId="770DE95F" w14:textId="3D7A7085"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Another source of under-reporting is poor surveillance</w:t>
      </w:r>
      <w:r w:rsidR="002656CD"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although recent collaborations have worked to improve this. The Integrated Disease Surveillance and Response system was created and provided to WHO member states in order to improve surveillance but this point data remains limited in many nations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heapol/czs022","author":[{"dropping-particle":"","family":"Lukwago","given":"Luswa","non-dropping-particle":"","parse-names":false,"suffix":""},{"dropping-particle":"","family":"Nanyunja","given":"Miriam","non-dropping-particle":"","parse-names":false,"suffix":""},{"dropping-particle":"","family":"Ndayimirije","given":"Nestor","non-dropping-particle":"","parse-names":false,"suffix":""},{"dropping-particle":"","family":"Wamala","given":"Joseph","non-dropping-particle":"","parse-names":false,"suffix":""},{"dropping-particle":"","family":"Malimbo","given":"Mugaga","non-dropping-particle":"","parse-names":false,"suffix":""},{"dropping-particle":"","family":"Mbabazi","given":"William","non-dropping-particle":"","parse-names":false,"suffix":""},{"dropping-particle":"","family":"Gasasira","given":"Anne","non-dropping-particle":"","parse-names":false,"suffix":""},{"dropping-particle":"","family":"Nabukenya","given":"Immaculate N","non-dropping-particle":"","parse-names":false,"suffix":""},{"dropping-particle":"","family":"Musenero","given":"Monica","non-dropping-particle":"","parse-names":false,"suffix":""},{"dropping-particle":"","family":"Alemu","given":"Wondimagegnehu","non-dropping-particle":"","parse-names":false,"suffix":""},{"dropping-particle":"","family":"Perry","given":"Helen","non-dropping-particle":"","parse-names":false,"suffix":""},{"dropping-particle":"","family":"Nsubuga","given":"Peter","non-dropping-particle":"","parse-names":false,"suffix":""},{"dropping-particle":"","family":"Talisuna","given":"Ambrose","non-dropping-particle":"","parse-names":false,"suffix":""}],"container-title":"Health Policy and Planning","id":"ITEM-1","issued":{"date-parts":[["2013"]]},"page":"30-40","title":"The implementation of Integrated Disease Surveillance and Response in Uganda : a review of progress and challenges between 2001 and 2007","type":"article-journal","volume":"28"},"uris":["http://www.mendeley.com/documents/?uuid=41d7c547-2455-4393-8ddf-e653980da3ee","http://www.mendeley.com/documents/?uuid=0bb73428-2801-426c-8973-7b4cff6c853f","http://www.mendeley.com/documents/?uuid=87875bc1-5aea-48db-935e-5dfb793e2adc"]},{"id":"ITEM-2","itemData":{"DOI":"10.1097/INF.0000000000000795","ISBN":"0000000000000","author":[{"dropping-particle":"","family":"Tan","given":"Tina","non-dropping-particle":"","parse-names":false,"suffix":""},{"dropping-particle":"","family":"Dalby","given":"Tine","non-dropping-particle":"","parse-names":false,"suffix":""},{"dropping-particle":"","family":"Heininger","given":"Ulrich","non-dropping-particle":"","parse-names":false,"suffix":""},{"dropping-particle":"","family":"Hozbor","given":"Daniela","non-dropping-particle":"","parse-names":false,"suffix":""},{"dropping-particle":"","family":"Plotkin","given":"Stanley","non-dropping-particle":"","parse-names":false,"suffix":""},{"dropping-particle":"","family":"Ulloa-gutierrez","given":"Rolando","non-dropping-particle":"","parse-names":false,"suffix":""}],"container-title":"The Pediatric Infectious Disease Journal","id":"ITEM-2","issue":"9","issued":{"date-parts":[["2015"]]},"page":"222-232","title":"Recent Epidemiologic Trends From 2000 to 2013","type":"article-journal","volume":"34"},"uris":["http://www.mendeley.com/documents/?uuid=81af9c4e-996c-4189-86f0-7db4be153881","http://www.mendeley.com/documents/?uuid=66f947e5-29aa-46e9-a1e2-48e7ced106eb","http://www.mendeley.com/documents/?uuid=f63596c5-b83c-46a0-b85b-a85647885047"]}],"mendeley":{"formattedCitation":"(Lukwago et al., 2013; Tan et al., 2015)","plainTextFormattedCitation":"(Lukwago et al., 2013; Tan et al., 2015)","previouslyFormattedCitation":"(Lukwago et al., 2013; Tan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(Lukwago et al., 2013; Tan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lastRenderedPageBreak/>
        <w:t>The Latin American Pertussis Project is a collaborative effort between the Sabin Vaccine Institute, the Pan American Health Organization (PAHO), the CDC, and the Latin American Ministries of Health. It has worked to establish access to RT-PCR for case confirmation to improve diagnostic capabilities so that more robust surveillance systems may be developed.</w:t>
      </w:r>
    </w:p>
    <w:p w14:paraId="6BBEE9F4" w14:textId="77777777" w:rsidR="00340169" w:rsidRPr="003D2D46" w:rsidRDefault="00340169" w:rsidP="00340169">
      <w:pPr>
        <w:spacing w:line="480" w:lineRule="auto"/>
        <w:rPr>
          <w:rFonts w:ascii="Times New Roman" w:hAnsi="Times New Roman" w:cs="Times New Roman"/>
          <w:color w:val="000000" w:themeColor="text1"/>
        </w:rPr>
      </w:pPr>
    </w:p>
    <w:p w14:paraId="16222D01" w14:textId="686E20A5" w:rsidR="004B759B" w:rsidRPr="003D2D46" w:rsidRDefault="00EA09C6" w:rsidP="00154BE9">
      <w:pPr>
        <w:pStyle w:val="Heading3"/>
        <w:spacing w:line="480" w:lineRule="auto"/>
        <w:rPr>
          <w:rFonts w:ascii="Times New Roman" w:hAnsi="Times New Roman" w:cs="Times New Roman"/>
          <w:szCs w:val="24"/>
        </w:rPr>
      </w:pPr>
      <w:bookmarkStart w:id="61" w:name="_Toc87797076"/>
      <w:r w:rsidRPr="003D2D46">
        <w:rPr>
          <w:rFonts w:ascii="Times New Roman" w:hAnsi="Times New Roman" w:cs="Times New Roman"/>
          <w:szCs w:val="24"/>
        </w:rPr>
        <w:t>2.</w:t>
      </w:r>
      <w:r w:rsidR="005529ED" w:rsidRPr="003D2D46">
        <w:rPr>
          <w:rFonts w:ascii="Times New Roman" w:hAnsi="Times New Roman" w:cs="Times New Roman"/>
          <w:szCs w:val="24"/>
        </w:rPr>
        <w:t>7</w:t>
      </w:r>
      <w:r w:rsidR="004B759B" w:rsidRPr="003D2D46">
        <w:rPr>
          <w:rFonts w:ascii="Times New Roman" w:hAnsi="Times New Roman" w:cs="Times New Roman"/>
          <w:szCs w:val="24"/>
        </w:rPr>
        <w:t xml:space="preserve"> Control and Prevention</w:t>
      </w:r>
      <w:bookmarkEnd w:id="59"/>
      <w:bookmarkEnd w:id="60"/>
      <w:bookmarkEnd w:id="61"/>
    </w:p>
    <w:p w14:paraId="3825407A" w14:textId="017E73CB" w:rsidR="00340169" w:rsidRPr="003D2D46" w:rsidRDefault="00340169" w:rsidP="00154BE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most critical aspect of control and prevention of pertussis is vaccination. The WHO estimates that approximately 294,000 preventable deaths in children under five occur worldwide as a result of incomplete vaccination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{"citationItems":[{"id":"ITEM-1","itemData":{"DOI":"10.1016/j.vaccine.2006.12.017","ISSN":"0264410X","PMID":"17280745","abstract":"The Global Pertussis Initiative (GPI) was established in 2001 to assess the global extent of the ongoing problem of pertussis and to evaluate and prioritize pertussis control strategies. Exchange of data, knowledge, and experience, facilitated by discussion and debate, resulted in the formulation, in 2002, of the following recommendation: all countries should consider expanding existing vaccination strategies to include adding pertussis booster doses to pre-school children (4-6 years old), to adolescents, and to those specific adults that have the highest risk of transmitting Bordetella pertussis infection to vulnerable infants. The GPI met again in 2005, where it reinforced its previous recommendation for universal adolescent immunization. Additionally, the GPI recommended implementation of the cocoon strategy (immunization of family members and close contacts of the newborn) in countries where it is economically feasible, and encouraged efforts toward global standardization of pertussis disease clinical definitions and diagnostics. Universal adult vaccination is a logical goal for the ultimate elimination of pertussis disease, but feasibility issues remain obstacles to implementation. © 2006 Elsevier Ltd. All rights reserved.","author":[{"dropping-particle":"","family":"Forsyth","given":"Kevin D.","non-dropping-particle":"","parse-names":false,"suffix":""},{"dropping-particle":"","family":"Wirsing von Konig","given":"Carl Heinz","non-dropping-particle":"","parse-names":false,"suffix":""},{"dropping-particle":"","family":"Tan","given":"Tina","non-dropping-particle":"","parse-names":false,"suffix":""},{"dropping-particle":"","family":"Caro","given":"Jaime","non-dropping-particle":"","parse-names":false,"suffix":""},{"dropping-particle":"","family":"Plotkin","given":"Stanley","non-dropping-particle":"","parse-names":false,"suffix":""}],"container-title":"Vaccine","id":"ITEM-1","issue":"14","issued":{"date-parts":[["2007"]]},"page":"2634-2642","title":"Prevention of pertussis: Recommendations derived from the second Global Pertussis Initiative roundtable meeting","type":"article-journal","volume":"25"},"uris":["http://www.mendeley.com/documents/?uuid=d104c404-ac1a-4bbf-ba5e-deb081ad2dfc","http://www.mendeley.com/documents/?uuid=3f490a1d-d009-4a7b-9c3c-e5748860542e","http://www.mendeley.com/documents/?uuid=6ddde53a-dc23-4b27-8cc9-6113c36cff72","http://www.mendeley.com/documents/?uuid=f2074578-9131-4c87-a3d9-8a2fce0ddedb"]}],"mendeley":{"formattedCitation":"(Forsyth et al., 2007)","plainTextFormattedCitation":"(Forsyth et al., 2007)","previouslyFormattedCitation":"(Forsyth et al.,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(Forsyth et al.,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To address global vaccination goals, the Global Vaccine Action Plan (GVAP) set goals for pertussis vaccination coverage during an initiative called “The Decade of Vaccines”. Their goal of 95% global pediatric vaccine series coverage by 2015 was not met and coverage plateaued at 86% globally as of 2018. Interestingly, the global trends in other critical childhood vaccinations increased between 2010 and 2018, with pertussis vaccination being the only one to plateau below the target. The WHO estimates that approximately 20 million infants are not fully immunized. This documented low coverage is worsening in nations impacted by conflict and socioeconomic crises </w:t>
      </w:r>
      <w:r w:rsidRPr="003D2D46">
        <w:rPr>
          <w:rFonts w:ascii="Times New Roman" w:hAnsi="Times New Roman" w:cs="Times New Roman"/>
          <w:color w:val="000000" w:themeColor="text1"/>
        </w:rPr>
        <w:fldChar w:fldCharType="begin" w:fldLock="1"/>
      </w:r>
      <w:r w:rsidR="004773FF" w:rsidRPr="003D2D46">
        <w:rPr>
          <w:rFonts w:ascii="Times New Roman" w:hAnsi="Times New Roman" w:cs="Times New Roman"/>
          <w:color w:val="000000" w:themeColor="text1"/>
        </w:rPr>
        <w:instrText>ADDIN CSL_CITATION {"citationItems":[{"id":"ITEM-1","itemData":{"URL":"https://www.who.int/publications/i/item/global-vaccine-action-plan-and-decade-of-vaccines-review-and-lessons-learned-reports","accessed":{"date-parts":[["2021","11","14"]]},"author":[{"dropping-particle":"","family":"World Health Organization (WHO)","given":"","non-dropping-particle":"","parse-names":false,"suffix":""}],"id":"ITEM-1","issued":{"date-parts":[["2020"]]},"page":"1-44","title":"Global Vaccine Action Plan and Decade of Vaccines Review and Lessons Learned Reports","type":"webpage"},"uris":["http://www.mendeley.com/documents/?uuid=9ec862aa-1de7-47ca-9a6e-88a42c9f75fa","http://www.mendeley.com/documents/?uuid=c3ea5aee-b02a-4aa5-acf0-daf1059c29bb","http://www.mendeley.com/documents/?uuid=d549231a-bb40-477e-b21d-688ab0dfc2d3","http://www.mendeley.com/documents/?uuid=203d0d3e-abd7-4813-925e-9fb641d0b946"]}],"mendeley":{"formattedCitation":"(World Health Organization (WHO), 2020)","plainTextFormattedCitation":"(World Health Organization (WHO), 2020)","previouslyFormattedCitation":"(World Health Organization (WHO),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4773FF" w:rsidRPr="003D2D46">
        <w:rPr>
          <w:rFonts w:ascii="Times New Roman" w:hAnsi="Times New Roman" w:cs="Times New Roman"/>
          <w:noProof/>
          <w:color w:val="000000" w:themeColor="text1"/>
        </w:rPr>
        <w:t>(World Health Organization (WHO),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08275C3E" w14:textId="77777777" w:rsidR="00340169" w:rsidRPr="003D2D46" w:rsidRDefault="00340169" w:rsidP="00340169">
      <w:pPr>
        <w:spacing w:line="480" w:lineRule="auto"/>
        <w:rPr>
          <w:rFonts w:ascii="Times New Roman" w:hAnsi="Times New Roman" w:cs="Times New Roman"/>
          <w:color w:val="000000" w:themeColor="text1"/>
        </w:rPr>
      </w:pPr>
    </w:p>
    <w:p w14:paraId="690A7AC8" w14:textId="43059010" w:rsidR="00340169" w:rsidRPr="003D2D46" w:rsidRDefault="00340169" w:rsidP="000F5D7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Other prevention and control strategies for pertussis include hygien</w:t>
      </w:r>
      <w:r w:rsidR="007B0125" w:rsidRPr="003D2D46">
        <w:rPr>
          <w:rFonts w:ascii="Times New Roman" w:hAnsi="Times New Roman" w:cs="Times New Roman"/>
          <w:color w:val="000000" w:themeColor="text1"/>
        </w:rPr>
        <w:t>ic</w:t>
      </w:r>
      <w:r w:rsidRPr="003D2D46">
        <w:rPr>
          <w:rFonts w:ascii="Times New Roman" w:hAnsi="Times New Roman" w:cs="Times New Roman"/>
          <w:color w:val="000000" w:themeColor="text1"/>
        </w:rPr>
        <w:t xml:space="preserve"> practices (e.g. hand washing) to prevent the spread through respiratory secretions as well as </w:t>
      </w:r>
      <w:r w:rsidRPr="003D2D46">
        <w:rPr>
          <w:rFonts w:ascii="Times New Roman" w:hAnsi="Times New Roman" w:cs="Times New Roman"/>
          <w:color w:val="000000" w:themeColor="text1"/>
        </w:rPr>
        <w:lastRenderedPageBreak/>
        <w:t xml:space="preserve">chemoprophylaxis with macrolide antibiotics in known exposed cases. A study of the effectiveness of chemoprophylaxis with azithromycin in exposed contacts in Spain between 2012 and 2013 reported that a full course of azithromycin was 43.9% effective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Alvarez","given":"Josep","non-dropping-particle":"","parse-names":false,"suffix":""},{"dropping-particle":"","family":"Godoy","given":"Pere","non-dropping-particle":"","parse-names":false,"suffix":""},{"dropping-particle":"","family":"Plans-rubio","given":"Pedro","non-dropping-particle":"","parse-names":false,"suffix":""},{"dropping-particle":"","family":"Camps","given":"Neus","non-dropping-particle":"","parse-names":false,"suffix":""},{"dropping-particle":"","family":"Carol","given":"Monica","non-dropping-particle":"","parse-names":false,"suffix":""},{"dropping-particle":"","family":"Carmona","given":"Gloria","non-dropping-particle":"","parse-names":false,"suffix":""},{"dropping-particle":"","family":"Solano","given":"Ruben","non-dropping-particle":"","parse-names":false,"suffix":""},{"dropping-particle":"","family":"Rius","given":"Cristina","non-dropping-particle":"","parse-names":false,"suffix":""},{"dropping-particle":"","family":"Minguell","given":"Sofia","non-dropping-particle":"","parse-names":false,"suffix":""},{"dropping-particle":"","family":"Barrabeig","given":"Irene","non-dropping-particle":"","parse-names":false,"suffix":""},{"dropping-particle":"","family":"Sala-farré","given":"Maria R","non-dropping-particle":"","parse-names":false,"suffix":""},{"dropping-particle":"","family":"Rodriguez","given":"Raquel","non-dropping-particle":"","parse-names":false,"suffix":""},{"dropping-particle":"","family":"Garcia-cenoz","given":"Manuel","non-dropping-particle":"","parse-names":false,"suffix":""},{"dropping-particle":"","family":"Muñoz-almagro","given":"Carmen","non-dropping-particle":"","parse-names":false,"suffix":""}],"container-title":"Emerging Infectious Diseases","id":"ITEM-1","issue":"11","issued":{"date-parts":[["2020"]]},"page":"2678-2684","title":"Azithromycin to Prevent Pertussis in Household Contacts , Catalonia","type":"article-journal","volume":"26"},"uris":["http://www.mendeley.com/documents/?uuid=625eb475-6029-458c-92d0-5112a88db01e","http://www.mendeley.com/documents/?uuid=5a9cdd47-e00e-4537-95e9-26115371e747","http://www.mendeley.com/documents/?uuid=18d3e827-0d75-4a8d-ab90-181c12ec6d77"]}],"mendeley":{"formattedCitation":"(Alvarez et al., 2020)","plainTextFormattedCitation":"(Alvarez et al., 2020)","previouslyFormattedCitation":"(Alvarez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(Alvarez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However, a review of the use of erythromycin as chemoprophylaxis in the UK reported </w:t>
      </w:r>
      <w:r w:rsidR="00B71A04" w:rsidRPr="003D2D46">
        <w:rPr>
          <w:rFonts w:ascii="Times New Roman" w:hAnsi="Times New Roman" w:cs="Times New Roman"/>
          <w:color w:val="000000" w:themeColor="text1"/>
        </w:rPr>
        <w:t xml:space="preserve">that </w:t>
      </w:r>
      <w:r w:rsidRPr="003D2D46">
        <w:rPr>
          <w:rFonts w:ascii="Times New Roman" w:hAnsi="Times New Roman" w:cs="Times New Roman"/>
          <w:color w:val="000000" w:themeColor="text1"/>
        </w:rPr>
        <w:t xml:space="preserve">there was no evidence of benefit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{"citationItems":[{"id":"ITEM-1","itemData":{"author":[{"dropping-particle":"","family":"Dodhia","given":"H","non-dropping-particle":"","parse-names":false,"suffix":""},{"dropping-particle":"","family":"Crowcroft","given":"N S","non-dropping-particle":"","parse-names":false,"suffix":""},{"dropping-particle":"","family":"Bramley","given":"J C","non-dropping-particle":"","parse-names":false,"suffix":""},{"dropping-particle":"","family":"Miller","given":"E","non-dropping-particle":"","parse-names":false,"suffix":""}],"container-title":"Journal of Public Health Medicine","id":"ITEM-1","issue":"3","issued":{"date-parts":[["2002"]]},"page":"200-206","title":"UK guidelines for use of erythromycin chemoprophylaxis in persons exposed to pertussis","type":"article-journal","volume":"24"},"uris":["http://www.mendeley.com/documents/?uuid=96c51883-f390-43d9-a962-91fbd2f7082a","http://www.mendeley.com/documents/?uuid=a3d5e35d-e088-4bf4-a900-501bdd6d0f31","http://www.mendeley.com/documents/?uuid=106a68dd-1009-4e20-b6ff-45a0967874b7"]}],"mendeley":{"formattedCitation":"(Dodhia et al., 2002)","plainTextFormattedCitation":"(Dodhia et al., 2002)","previouslyFormattedCitation":"(Dodhia et al., 2002)"},"properties":{"noteIndex":0},"schema":"https://github.com/citation-style-language/schema/raw/master/csl-citation.json"}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(Dodhia et al., 2002)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521536B4" w14:textId="77777777" w:rsidR="004B759B" w:rsidRPr="003D2D46" w:rsidRDefault="004B759B" w:rsidP="000F5D77">
      <w:pPr>
        <w:spacing w:line="480" w:lineRule="auto"/>
        <w:rPr>
          <w:rFonts w:ascii="Times New Roman" w:hAnsi="Times New Roman" w:cs="Times New Roman"/>
          <w:color w:val="000000" w:themeColor="text1"/>
        </w:rPr>
      </w:pPr>
    </w:p>
    <w:p w14:paraId="656FDD89" w14:textId="0F92C2E3" w:rsidR="00154BE9" w:rsidRPr="003D2D46" w:rsidRDefault="00EA09C6" w:rsidP="00154BE9">
      <w:pPr>
        <w:pStyle w:val="Heading41111"/>
        <w:spacing w:line="480" w:lineRule="auto"/>
        <w:rPr>
          <w:rFonts w:cs="Times New Roman"/>
        </w:rPr>
      </w:pPr>
      <w:bookmarkStart w:id="62" w:name="_Toc81647077"/>
      <w:bookmarkStart w:id="63" w:name="_Toc82445516"/>
      <w:bookmarkStart w:id="64" w:name="_Toc87797077"/>
      <w:r w:rsidRPr="003D2D46">
        <w:rPr>
          <w:rFonts w:cs="Times New Roman"/>
        </w:rPr>
        <w:t>2.</w:t>
      </w:r>
      <w:r w:rsidR="005043F7" w:rsidRPr="003D2D46">
        <w:rPr>
          <w:rFonts w:cs="Times New Roman"/>
        </w:rPr>
        <w:t>7.1</w:t>
      </w:r>
      <w:r w:rsidR="004B759B" w:rsidRPr="003D2D46">
        <w:rPr>
          <w:rFonts w:cs="Times New Roman"/>
        </w:rPr>
        <w:t xml:space="preserve"> Pertussis </w:t>
      </w:r>
      <w:r w:rsidR="00371213" w:rsidRPr="003D2D46">
        <w:rPr>
          <w:rFonts w:cs="Times New Roman"/>
        </w:rPr>
        <w:t>V</w:t>
      </w:r>
      <w:r w:rsidR="004B759B" w:rsidRPr="003D2D46">
        <w:rPr>
          <w:rFonts w:cs="Times New Roman"/>
        </w:rPr>
        <w:t>accines</w:t>
      </w:r>
      <w:bookmarkEnd w:id="62"/>
      <w:bookmarkEnd w:id="63"/>
      <w:bookmarkEnd w:id="64"/>
      <w:r w:rsidR="004B759B" w:rsidRPr="003D2D46">
        <w:rPr>
          <w:rFonts w:cs="Times New Roman"/>
        </w:rPr>
        <w:t xml:space="preserve"> </w:t>
      </w:r>
    </w:p>
    <w:p w14:paraId="46F77B05" w14:textId="01E8F063" w:rsidR="00340169" w:rsidRPr="003D2D46" w:rsidRDefault="00340169" w:rsidP="00154BE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There are multiple acellular pertussis vaccines currently available and approved for use in the United States, including </w:t>
      </w:r>
      <w:r w:rsidRPr="003D2D46">
        <w:rPr>
          <w:rFonts w:ascii="Times New Roman" w:hAnsi="Times New Roman" w:cs="Times New Roman"/>
          <w:b/>
          <w:color w:val="000000" w:themeColor="text1"/>
        </w:rPr>
        <w:t>D</w:t>
      </w:r>
      <w:r w:rsidRPr="003D2D46">
        <w:rPr>
          <w:rFonts w:ascii="Times New Roman" w:hAnsi="Times New Roman" w:cs="Times New Roman"/>
          <w:color w:val="000000" w:themeColor="text1"/>
        </w:rPr>
        <w:t xml:space="preserve">iphtheria and </w:t>
      </w:r>
      <w:r w:rsidRPr="003D2D46">
        <w:rPr>
          <w:rFonts w:ascii="Times New Roman" w:hAnsi="Times New Roman" w:cs="Times New Roman"/>
          <w:b/>
          <w:color w:val="000000" w:themeColor="text1"/>
        </w:rPr>
        <w:t>T</w:t>
      </w:r>
      <w:r w:rsidRPr="003D2D46">
        <w:rPr>
          <w:rFonts w:ascii="Times New Roman" w:hAnsi="Times New Roman" w:cs="Times New Roman"/>
          <w:color w:val="000000" w:themeColor="text1"/>
        </w:rPr>
        <w:t xml:space="preserve">etanus toxoids and </w:t>
      </w:r>
      <w:r w:rsidRPr="003D2D46">
        <w:rPr>
          <w:rFonts w:ascii="Times New Roman" w:hAnsi="Times New Roman" w:cs="Times New Roman"/>
          <w:b/>
          <w:color w:val="000000" w:themeColor="text1"/>
        </w:rPr>
        <w:t>a</w:t>
      </w:r>
      <w:r w:rsidRPr="003D2D46">
        <w:rPr>
          <w:rFonts w:ascii="Times New Roman" w:hAnsi="Times New Roman" w:cs="Times New Roman"/>
          <w:color w:val="000000" w:themeColor="text1"/>
        </w:rPr>
        <w:t xml:space="preserve">cellular </w:t>
      </w:r>
      <w:r w:rsidRPr="003D2D46">
        <w:rPr>
          <w:rFonts w:ascii="Times New Roman" w:hAnsi="Times New Roman" w:cs="Times New Roman"/>
          <w:b/>
          <w:color w:val="000000" w:themeColor="text1"/>
        </w:rPr>
        <w:t>P</w:t>
      </w:r>
      <w:r w:rsidRPr="003D2D46">
        <w:rPr>
          <w:rFonts w:ascii="Times New Roman" w:hAnsi="Times New Roman" w:cs="Times New Roman"/>
          <w:color w:val="000000" w:themeColor="text1"/>
        </w:rPr>
        <w:t>ertussis (DTaP)</w:t>
      </w:r>
      <w:r w:rsidR="004104C5" w:rsidRPr="003D2D46">
        <w:rPr>
          <w:rFonts w:ascii="Times New Roman" w:hAnsi="Times New Roman" w:cs="Times New Roman"/>
          <w:color w:val="000000" w:themeColor="text1"/>
        </w:rPr>
        <w:t xml:space="preserve"> vaccine</w:t>
      </w:r>
      <w:r w:rsidRPr="003D2D46">
        <w:rPr>
          <w:rFonts w:ascii="Times New Roman" w:hAnsi="Times New Roman" w:cs="Times New Roman"/>
          <w:color w:val="000000" w:themeColor="text1"/>
        </w:rPr>
        <w:t xml:space="preserve">, </w:t>
      </w:r>
      <w:r w:rsidRPr="003D2D46">
        <w:rPr>
          <w:rFonts w:ascii="Times New Roman" w:hAnsi="Times New Roman" w:cs="Times New Roman"/>
          <w:b/>
          <w:color w:val="000000" w:themeColor="text1"/>
        </w:rPr>
        <w:t>T</w:t>
      </w:r>
      <w:r w:rsidRPr="003D2D46">
        <w:rPr>
          <w:rFonts w:ascii="Times New Roman" w:hAnsi="Times New Roman" w:cs="Times New Roman"/>
          <w:color w:val="000000" w:themeColor="text1"/>
        </w:rPr>
        <w:t xml:space="preserve">etanus, </w:t>
      </w:r>
      <w:r w:rsidRPr="003D2D46">
        <w:rPr>
          <w:rFonts w:ascii="Times New Roman" w:hAnsi="Times New Roman" w:cs="Times New Roman"/>
          <w:b/>
          <w:color w:val="000000" w:themeColor="text1"/>
        </w:rPr>
        <w:t>d</w:t>
      </w:r>
      <w:r w:rsidRPr="003D2D46">
        <w:rPr>
          <w:rFonts w:ascii="Times New Roman" w:hAnsi="Times New Roman" w:cs="Times New Roman"/>
          <w:color w:val="000000" w:themeColor="text1"/>
        </w:rPr>
        <w:t xml:space="preserve">iphtheria and </w:t>
      </w:r>
      <w:r w:rsidRPr="003D2D46">
        <w:rPr>
          <w:rFonts w:ascii="Times New Roman" w:hAnsi="Times New Roman" w:cs="Times New Roman"/>
          <w:b/>
          <w:color w:val="000000" w:themeColor="text1"/>
        </w:rPr>
        <w:t>a</w:t>
      </w:r>
      <w:r w:rsidRPr="003D2D46">
        <w:rPr>
          <w:rFonts w:ascii="Times New Roman" w:hAnsi="Times New Roman" w:cs="Times New Roman"/>
          <w:color w:val="000000" w:themeColor="text1"/>
        </w:rPr>
        <w:t xml:space="preserve">cellular </w:t>
      </w:r>
      <w:r w:rsidRPr="003D2D46">
        <w:rPr>
          <w:rFonts w:ascii="Times New Roman" w:hAnsi="Times New Roman" w:cs="Times New Roman"/>
          <w:b/>
          <w:color w:val="000000" w:themeColor="text1"/>
        </w:rPr>
        <w:t>p</w:t>
      </w:r>
      <w:r w:rsidRPr="003D2D46">
        <w:rPr>
          <w:rFonts w:ascii="Times New Roman" w:hAnsi="Times New Roman" w:cs="Times New Roman"/>
          <w:color w:val="000000" w:themeColor="text1"/>
        </w:rPr>
        <w:t>ertussis (Tdap)</w:t>
      </w:r>
      <w:r w:rsidR="004104C5" w:rsidRPr="003D2D46">
        <w:rPr>
          <w:rFonts w:ascii="Times New Roman" w:hAnsi="Times New Roman" w:cs="Times New Roman"/>
          <w:color w:val="000000" w:themeColor="text1"/>
        </w:rPr>
        <w:t xml:space="preserve"> vaccine</w:t>
      </w:r>
      <w:r w:rsidRPr="003D2D46">
        <w:rPr>
          <w:rFonts w:ascii="Times New Roman" w:hAnsi="Times New Roman" w:cs="Times New Roman"/>
          <w:color w:val="000000" w:themeColor="text1"/>
        </w:rPr>
        <w:t>, DTaP</w:t>
      </w:r>
      <w:r w:rsidR="008949E2" w:rsidRPr="003D2D46">
        <w:rPr>
          <w:rFonts w:ascii="Times New Roman" w:hAnsi="Times New Roman" w:cs="Times New Roman"/>
          <w:color w:val="000000" w:themeColor="text1"/>
        </w:rPr>
        <w:t xml:space="preserve"> with </w:t>
      </w:r>
      <w:r w:rsidR="008949E2" w:rsidRPr="003D2D46">
        <w:rPr>
          <w:rFonts w:ascii="Times New Roman" w:hAnsi="Times New Roman" w:cs="Times New Roman"/>
          <w:b/>
          <w:bCs/>
          <w:color w:val="000000" w:themeColor="text1"/>
        </w:rPr>
        <w:t>H</w:t>
      </w:r>
      <w:r w:rsidRPr="003D2D46">
        <w:rPr>
          <w:rFonts w:ascii="Times New Roman" w:hAnsi="Times New Roman" w:cs="Times New Roman"/>
          <w:color w:val="000000" w:themeColor="text1"/>
        </w:rPr>
        <w:t xml:space="preserve">epatitis </w:t>
      </w:r>
      <w:r w:rsidRPr="003D2D46">
        <w:rPr>
          <w:rFonts w:ascii="Times New Roman" w:hAnsi="Times New Roman" w:cs="Times New Roman"/>
          <w:b/>
          <w:bCs/>
          <w:color w:val="000000" w:themeColor="text1"/>
        </w:rPr>
        <w:t>B</w:t>
      </w:r>
      <w:r w:rsidR="008949E2" w:rsidRPr="003D2D46">
        <w:rPr>
          <w:rFonts w:ascii="Times New Roman" w:hAnsi="Times New Roman" w:cs="Times New Roman"/>
          <w:color w:val="000000" w:themeColor="text1"/>
        </w:rPr>
        <w:t xml:space="preserve"> and </w:t>
      </w:r>
      <w:r w:rsidR="008949E2" w:rsidRPr="003D2D46">
        <w:rPr>
          <w:rFonts w:ascii="Times New Roman" w:hAnsi="Times New Roman" w:cs="Times New Roman"/>
          <w:b/>
          <w:bCs/>
          <w:color w:val="000000" w:themeColor="text1"/>
        </w:rPr>
        <w:t>I</w:t>
      </w:r>
      <w:r w:rsidR="008949E2" w:rsidRPr="003D2D46">
        <w:rPr>
          <w:rFonts w:ascii="Times New Roman" w:hAnsi="Times New Roman" w:cs="Times New Roman"/>
          <w:color w:val="000000" w:themeColor="text1"/>
        </w:rPr>
        <w:t xml:space="preserve">nactivated </w:t>
      </w:r>
      <w:r w:rsidR="008949E2" w:rsidRPr="003D2D46">
        <w:rPr>
          <w:rFonts w:ascii="Times New Roman" w:hAnsi="Times New Roman" w:cs="Times New Roman"/>
          <w:b/>
          <w:bCs/>
          <w:color w:val="000000" w:themeColor="text1"/>
        </w:rPr>
        <w:t>P</w:t>
      </w:r>
      <w:r w:rsidRPr="003D2D46">
        <w:rPr>
          <w:rFonts w:ascii="Times New Roman" w:hAnsi="Times New Roman" w:cs="Times New Roman"/>
          <w:color w:val="000000" w:themeColor="text1"/>
        </w:rPr>
        <w:t>olio</w:t>
      </w:r>
      <w:r w:rsidR="008949E2" w:rsidRPr="003D2D46">
        <w:rPr>
          <w:rFonts w:ascii="Times New Roman" w:hAnsi="Times New Roman" w:cs="Times New Roman"/>
          <w:color w:val="000000" w:themeColor="text1"/>
        </w:rPr>
        <w:t xml:space="preserve"> </w:t>
      </w:r>
      <w:r w:rsidR="008949E2" w:rsidRPr="003D2D46">
        <w:rPr>
          <w:rFonts w:ascii="Times New Roman" w:hAnsi="Times New Roman" w:cs="Times New Roman"/>
          <w:b/>
          <w:bCs/>
          <w:color w:val="000000" w:themeColor="text1"/>
        </w:rPr>
        <w:t>V</w:t>
      </w:r>
      <w:r w:rsidR="008949E2" w:rsidRPr="003D2D46">
        <w:rPr>
          <w:rFonts w:ascii="Times New Roman" w:hAnsi="Times New Roman" w:cs="Times New Roman"/>
          <w:color w:val="000000" w:themeColor="text1"/>
        </w:rPr>
        <w:t>accine</w:t>
      </w:r>
      <w:r w:rsidRPr="003D2D46">
        <w:rPr>
          <w:rFonts w:ascii="Times New Roman" w:hAnsi="Times New Roman" w:cs="Times New Roman"/>
          <w:color w:val="000000" w:themeColor="text1"/>
        </w:rPr>
        <w:t xml:space="preserve"> (DTaP-HepB-IPV)</w:t>
      </w:r>
      <w:r w:rsidR="008E13D0" w:rsidRPr="003D2D46">
        <w:rPr>
          <w:rFonts w:ascii="Times New Roman" w:hAnsi="Times New Roman" w:cs="Times New Roman"/>
          <w:color w:val="000000" w:themeColor="text1"/>
        </w:rPr>
        <w:t xml:space="preserve"> vaccine</w:t>
      </w:r>
      <w:r w:rsidRPr="003D2D46">
        <w:rPr>
          <w:rFonts w:ascii="Times New Roman" w:hAnsi="Times New Roman" w:cs="Times New Roman"/>
          <w:color w:val="000000" w:themeColor="text1"/>
        </w:rPr>
        <w:t>, DTaP</w:t>
      </w:r>
      <w:r w:rsidR="008949E2" w:rsidRPr="003D2D46">
        <w:rPr>
          <w:rFonts w:ascii="Times New Roman" w:hAnsi="Times New Roman" w:cs="Times New Roman"/>
          <w:color w:val="000000" w:themeColor="text1"/>
        </w:rPr>
        <w:t xml:space="preserve"> with </w:t>
      </w:r>
      <w:r w:rsidR="008949E2" w:rsidRPr="003D2D46">
        <w:rPr>
          <w:rFonts w:ascii="Times New Roman" w:hAnsi="Times New Roman" w:cs="Times New Roman"/>
          <w:b/>
          <w:bCs/>
          <w:color w:val="000000" w:themeColor="text1"/>
        </w:rPr>
        <w:t>I</w:t>
      </w:r>
      <w:r w:rsidR="008949E2" w:rsidRPr="003D2D46">
        <w:rPr>
          <w:rFonts w:ascii="Times New Roman" w:hAnsi="Times New Roman" w:cs="Times New Roman"/>
          <w:color w:val="000000" w:themeColor="text1"/>
        </w:rPr>
        <w:t xml:space="preserve">nactivated </w:t>
      </w:r>
      <w:r w:rsidR="008949E2" w:rsidRPr="003D2D46">
        <w:rPr>
          <w:rFonts w:ascii="Times New Roman" w:hAnsi="Times New Roman" w:cs="Times New Roman"/>
          <w:b/>
          <w:bCs/>
          <w:color w:val="000000" w:themeColor="text1"/>
        </w:rPr>
        <w:t>P</w:t>
      </w:r>
      <w:r w:rsidR="008949E2" w:rsidRPr="003D2D46">
        <w:rPr>
          <w:rFonts w:ascii="Times New Roman" w:hAnsi="Times New Roman" w:cs="Times New Roman"/>
          <w:color w:val="000000" w:themeColor="text1"/>
        </w:rPr>
        <w:t xml:space="preserve">olio </w:t>
      </w:r>
      <w:r w:rsidR="008949E2" w:rsidRPr="003D2D46">
        <w:rPr>
          <w:rFonts w:ascii="Times New Roman" w:hAnsi="Times New Roman" w:cs="Times New Roman"/>
          <w:b/>
          <w:bCs/>
          <w:color w:val="000000" w:themeColor="text1"/>
        </w:rPr>
        <w:t>V</w:t>
      </w:r>
      <w:r w:rsidR="008949E2" w:rsidRPr="003D2D46">
        <w:rPr>
          <w:rFonts w:ascii="Times New Roman" w:hAnsi="Times New Roman" w:cs="Times New Roman"/>
          <w:color w:val="000000" w:themeColor="text1"/>
        </w:rPr>
        <w:t xml:space="preserve">accine and </w:t>
      </w:r>
      <w:r w:rsidRPr="003D2D46">
        <w:rPr>
          <w:rFonts w:ascii="Times New Roman" w:hAnsi="Times New Roman" w:cs="Times New Roman"/>
          <w:b/>
          <w:bCs/>
          <w:i/>
          <w:iCs/>
          <w:color w:val="000000" w:themeColor="text1"/>
        </w:rPr>
        <w:t>H</w:t>
      </w:r>
      <w:r w:rsidRPr="003D2D46">
        <w:rPr>
          <w:rFonts w:ascii="Times New Roman" w:hAnsi="Times New Roman" w:cs="Times New Roman"/>
          <w:i/>
          <w:iCs/>
          <w:color w:val="000000" w:themeColor="text1"/>
        </w:rPr>
        <w:t xml:space="preserve">aemophilus </w:t>
      </w:r>
      <w:r w:rsidRPr="003D2D46">
        <w:rPr>
          <w:rFonts w:ascii="Times New Roman" w:hAnsi="Times New Roman" w:cs="Times New Roman"/>
          <w:b/>
          <w:bCs/>
          <w:i/>
          <w:iCs/>
          <w:color w:val="000000" w:themeColor="text1"/>
        </w:rPr>
        <w:t>i</w:t>
      </w:r>
      <w:r w:rsidRPr="003D2D46">
        <w:rPr>
          <w:rFonts w:ascii="Times New Roman" w:hAnsi="Times New Roman" w:cs="Times New Roman"/>
          <w:i/>
          <w:iCs/>
          <w:color w:val="000000" w:themeColor="text1"/>
        </w:rPr>
        <w:t xml:space="preserve">nfluenzae </w:t>
      </w:r>
      <w:r w:rsidRPr="003D2D46">
        <w:rPr>
          <w:rFonts w:ascii="Times New Roman" w:hAnsi="Times New Roman" w:cs="Times New Roman"/>
          <w:color w:val="000000" w:themeColor="text1"/>
        </w:rPr>
        <w:t xml:space="preserve">type </w:t>
      </w:r>
      <w:r w:rsidRPr="003D2D46">
        <w:rPr>
          <w:rFonts w:ascii="Times New Roman" w:hAnsi="Times New Roman" w:cs="Times New Roman"/>
          <w:b/>
          <w:bCs/>
          <w:color w:val="000000" w:themeColor="text1"/>
        </w:rPr>
        <w:t>B</w:t>
      </w:r>
      <w:r w:rsidRPr="003D2D46">
        <w:rPr>
          <w:rFonts w:ascii="Times New Roman" w:hAnsi="Times New Roman" w:cs="Times New Roman"/>
          <w:color w:val="000000" w:themeColor="text1"/>
        </w:rPr>
        <w:t xml:space="preserve"> (DTaP-IPV/Hib)</w:t>
      </w:r>
      <w:r w:rsidR="008E13D0" w:rsidRPr="003D2D46">
        <w:rPr>
          <w:rFonts w:ascii="Times New Roman" w:hAnsi="Times New Roman" w:cs="Times New Roman"/>
          <w:color w:val="000000" w:themeColor="text1"/>
        </w:rPr>
        <w:t xml:space="preserve"> vaccine</w:t>
      </w:r>
      <w:r w:rsidRPr="003D2D46">
        <w:rPr>
          <w:rFonts w:ascii="Times New Roman" w:hAnsi="Times New Roman" w:cs="Times New Roman"/>
          <w:color w:val="000000" w:themeColor="text1"/>
        </w:rPr>
        <w:t>, and DTaP-</w:t>
      </w:r>
      <w:r w:rsidR="008949E2" w:rsidRPr="003D2D46">
        <w:rPr>
          <w:rFonts w:ascii="Times New Roman" w:hAnsi="Times New Roman" w:cs="Times New Roman"/>
          <w:color w:val="000000" w:themeColor="text1"/>
        </w:rPr>
        <w:t>IPV</w:t>
      </w:r>
      <w:r w:rsidRPr="003D2D46">
        <w:rPr>
          <w:rFonts w:ascii="Times New Roman" w:hAnsi="Times New Roman" w:cs="Times New Roman"/>
          <w:color w:val="000000" w:themeColor="text1"/>
        </w:rPr>
        <w:t>-</w:t>
      </w:r>
      <w:r w:rsidR="008949E2" w:rsidRPr="003D2D46">
        <w:rPr>
          <w:rFonts w:ascii="Times New Roman" w:hAnsi="Times New Roman" w:cs="Times New Roman"/>
          <w:color w:val="000000" w:themeColor="text1"/>
        </w:rPr>
        <w:t xml:space="preserve">Hib with </w:t>
      </w:r>
      <w:r w:rsidR="008949E2" w:rsidRPr="003D2D46">
        <w:rPr>
          <w:rFonts w:ascii="Times New Roman" w:hAnsi="Times New Roman" w:cs="Times New Roman"/>
          <w:b/>
          <w:bCs/>
          <w:color w:val="000000" w:themeColor="text1"/>
        </w:rPr>
        <w:t>H</w:t>
      </w:r>
      <w:r w:rsidRPr="003D2D46">
        <w:rPr>
          <w:rFonts w:ascii="Times New Roman" w:hAnsi="Times New Roman" w:cs="Times New Roman"/>
          <w:color w:val="000000" w:themeColor="text1"/>
        </w:rPr>
        <w:t xml:space="preserve">epatitis </w:t>
      </w:r>
      <w:r w:rsidRPr="003D2D46">
        <w:rPr>
          <w:rFonts w:ascii="Times New Roman" w:hAnsi="Times New Roman" w:cs="Times New Roman"/>
          <w:b/>
          <w:bCs/>
          <w:color w:val="000000" w:themeColor="text1"/>
        </w:rPr>
        <w:t>B</w:t>
      </w:r>
      <w:r w:rsidRPr="003D2D46">
        <w:rPr>
          <w:rFonts w:ascii="Times New Roman" w:hAnsi="Times New Roman" w:cs="Times New Roman"/>
          <w:color w:val="000000" w:themeColor="text1"/>
        </w:rPr>
        <w:t xml:space="preserve"> (DTaP-IPV-Hib-HepB)</w:t>
      </w:r>
      <w:r w:rsidR="008E13D0" w:rsidRPr="003D2D46">
        <w:rPr>
          <w:rFonts w:ascii="Times New Roman" w:hAnsi="Times New Roman" w:cs="Times New Roman"/>
          <w:color w:val="000000" w:themeColor="text1"/>
        </w:rPr>
        <w:t xml:space="preserve"> vaccine</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These combination vaccines have been developed with the goal of improving vaccination coverage rates by reducing the number of injections needed per visit and </w:t>
      </w:r>
      <w:r w:rsidR="006A34B6" w:rsidRPr="003D2D46">
        <w:rPr>
          <w:rFonts w:ascii="Times New Roman" w:hAnsi="Times New Roman" w:cs="Times New Roman"/>
          <w:color w:val="000000" w:themeColor="text1"/>
        </w:rPr>
        <w:t>in total</w:t>
      </w:r>
      <w:r w:rsidRPr="003D2D46">
        <w:rPr>
          <w:rFonts w:ascii="Times New Roman" w:hAnsi="Times New Roman" w:cs="Times New Roman"/>
          <w:color w:val="000000" w:themeColor="text1"/>
        </w:rPr>
        <w:t xml:space="preserve">. The different versions of these pediatric pertussis vaccines are utilized based on availability, patient preference, and provider assessment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{"citationItems":[{"id":"ITEM-1","itemData":{"DOI":"http://dx.doi.org/10.15585/mmwr.mm6905a5","author":[{"dropping-particle":"","family":"Oliver","given":"Sara E","non-dropping-particle":"","parse-names":false,"suffix":""},{"dropping-particle":"","family":"Moore","given":"Kelly L","non-dropping-particle":"","parse-names":false,"suffix":""}],"container-title":"MMWR Morb Mortal Wkly Rep","id":"ITEM-1","issue":"5","issued":{"date-parts":[["2020"]]},"page":"136-139","title":"Licensure of a Diphtheria and Tetanus Toxoids and Acellular Pertussis , Inactivated Poliovirus , Haemophilus influenzae Type b Conjugate , and Hepatitis B Vaccine , and Guidance for Use in Infants","type":"article-journal","volume":"69"},"uris":["http://www.mendeley.com/documents/?uuid=fbd368a9-8510-4296-8b13-cc38293e6beb","http://www.mendeley.com/documents/?uuid=ff675d38-26c7-4586-9e71-02d833d0e98b","http://www.mendeley.com/documents/?uuid=700829e0-903b-417e-8996-1b941c924a08"]}],"mendeley":{"formattedCitation":"(Oliver &amp; Moore, 2020)","plainTextFormattedCitation":"(Oliver &amp; Moore, 2020)","previouslyFormattedCitation":"(Oliver &amp; Moore,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(Oliver &amp; Moore,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Acellular pertussis vaccines are the predominant pertussis vaccines used in North America, Europe, Australia, </w:t>
      </w:r>
      <w:r w:rsidR="00B34D2A" w:rsidRPr="003D2D46">
        <w:rPr>
          <w:rFonts w:ascii="Times New Roman" w:hAnsi="Times New Roman" w:cs="Times New Roman"/>
          <w:color w:val="000000" w:themeColor="text1"/>
        </w:rPr>
        <w:t xml:space="preserve">the </w:t>
      </w:r>
      <w:r w:rsidRPr="003D2D46">
        <w:rPr>
          <w:rFonts w:ascii="Times New Roman" w:hAnsi="Times New Roman" w:cs="Times New Roman"/>
          <w:color w:val="000000" w:themeColor="text1"/>
        </w:rPr>
        <w:t xml:space="preserve">Middle East, China, Japan, and New Zealand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{"citationItems":[{"id":"ITEM-1","itemData":{"DOI":"10.1016/j.ijid.2020.04.081","ISSN":"1201-9712","author":[{"dropping-particle":"","family":"Chitkara","given":"Amar J","non-dropping-particle":"","parse-names":false,"suffix":""},{"dropping-particle":"","family":"Pujadas","given":"Mónica","non-dropping-particle":"","parse-names":false,"suffix":""},{"dropping-particle":"","family":"Forsyth","given":"Kevin","non-dropping-particle":"","parse-names":false,"suffix":""},{"dropping-particle":"","family":"Guiso","given":"Nicole","non-dropping-particle":"","parse-names":false,"suffix":""},{"dropping-particle":"","family":"Heininger","given":"Ulrich","non-dropping-particle":"","parse-names":false,"suffix":""},{"dropping-particle":"","family":"Flavia","given":"Daniela","non-dropping-particle":"","parse-names":false,"suffix":""},{"dropping-particle":"","family":"Muloiwa","given":"Rudzani","non-dropping-particle":"","parse-names":false,"suffix":""},{"dropping-particle":"","family":"Tan","given":"Tina Q","non-dropping-particle":"","parse-names":false,"suffix":""},{"dropping-particle":"Von","family":"König","given":"C H Wirsing","non-dropping-particle":"","parse-names":false,"suffix":""}],"container-title":"International Journal of Infectious Diseases","id":"ITEM-1","issued":{"date-parts":[["2020"]]},"page":"482-488","publisher":"International Society for Infectious Diseases","title":"Pertussis vaccination in mixed markets : Recommendations from the Global Pertussis Initiative","type":"article-journal","volume":"96"},"uris":["http://www.mendeley.com/documents/?uuid=ff3d2460-7435-47b4-a0dc-f4b4ce667ba9","http://www.mendeley.com/documents/?uuid=8e1965ed-42a6-43b8-859b-5a0f6ce5af93","http://www.mendeley.com/documents/?uuid=3f597fe3-94ee-457a-bf35-82f14ab2ac3d"]}],"mendeley":{"formattedCitation":"(Chitkara et al., 2020)","plainTextFormattedCitation":"(Chitkara et al., 2020)","previouslyFormattedCitation":"(Chitkara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(Chitkara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While whole cell pertussis vaccines are no longer used in the United States due to concerns about adverse side effects, </w:t>
      </w:r>
      <w:r w:rsidRPr="003D2D46">
        <w:rPr>
          <w:rFonts w:ascii="Times New Roman" w:hAnsi="Times New Roman" w:cs="Times New Roman"/>
          <w:b/>
          <w:color w:val="000000" w:themeColor="text1"/>
        </w:rPr>
        <w:lastRenderedPageBreak/>
        <w:t>D</w:t>
      </w:r>
      <w:r w:rsidRPr="003D2D46">
        <w:rPr>
          <w:rFonts w:ascii="Times New Roman" w:hAnsi="Times New Roman" w:cs="Times New Roman"/>
          <w:color w:val="000000" w:themeColor="text1"/>
        </w:rPr>
        <w:t>iphtheria-</w:t>
      </w:r>
      <w:r w:rsidRPr="003D2D46">
        <w:rPr>
          <w:rFonts w:ascii="Times New Roman" w:hAnsi="Times New Roman" w:cs="Times New Roman"/>
          <w:b/>
          <w:color w:val="000000" w:themeColor="text1"/>
        </w:rPr>
        <w:t>T</w:t>
      </w:r>
      <w:r w:rsidRPr="003D2D46">
        <w:rPr>
          <w:rFonts w:ascii="Times New Roman" w:hAnsi="Times New Roman" w:cs="Times New Roman"/>
          <w:color w:val="000000" w:themeColor="text1"/>
        </w:rPr>
        <w:t>etanus-</w:t>
      </w:r>
      <w:r w:rsidRPr="003D2D46">
        <w:rPr>
          <w:rFonts w:ascii="Times New Roman" w:hAnsi="Times New Roman" w:cs="Times New Roman"/>
          <w:b/>
          <w:color w:val="000000" w:themeColor="text1"/>
        </w:rPr>
        <w:t>w</w:t>
      </w:r>
      <w:r w:rsidRPr="003D2D46">
        <w:rPr>
          <w:rFonts w:ascii="Times New Roman" w:hAnsi="Times New Roman" w:cs="Times New Roman"/>
          <w:color w:val="000000" w:themeColor="text1"/>
        </w:rPr>
        <w:t xml:space="preserve">hole cell </w:t>
      </w:r>
      <w:r w:rsidRPr="003D2D46">
        <w:rPr>
          <w:rFonts w:ascii="Times New Roman" w:hAnsi="Times New Roman" w:cs="Times New Roman"/>
          <w:b/>
          <w:color w:val="000000" w:themeColor="text1"/>
        </w:rPr>
        <w:t>P</w:t>
      </w:r>
      <w:r w:rsidRPr="003D2D46">
        <w:rPr>
          <w:rFonts w:ascii="Times New Roman" w:hAnsi="Times New Roman" w:cs="Times New Roman"/>
          <w:color w:val="000000" w:themeColor="text1"/>
        </w:rPr>
        <w:t>ertussis (DTwP</w:t>
      </w:r>
      <w:r w:rsidR="008949E2"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DTP) </w:t>
      </w:r>
      <w:r w:rsidR="00E6411A" w:rsidRPr="003D2D46">
        <w:rPr>
          <w:rFonts w:ascii="Times New Roman" w:hAnsi="Times New Roman" w:cs="Times New Roman"/>
          <w:color w:val="000000" w:themeColor="text1"/>
        </w:rPr>
        <w:t xml:space="preserve">vaccines </w:t>
      </w:r>
      <w:r w:rsidRPr="003D2D46">
        <w:rPr>
          <w:rFonts w:ascii="Times New Roman" w:hAnsi="Times New Roman" w:cs="Times New Roman"/>
          <w:color w:val="000000" w:themeColor="text1"/>
        </w:rPr>
        <w:t xml:space="preserve">are still in use in many areas across the globe, including South America, parts of Central America, Russia, Northern Asia, the Middle East, India, South East Asia, Indonesia, and Africa, and are also regularly combined with </w:t>
      </w:r>
      <w:r w:rsidRPr="003D2D46">
        <w:rPr>
          <w:rFonts w:ascii="Times New Roman" w:hAnsi="Times New Roman" w:cs="Times New Roman"/>
          <w:i/>
          <w:iCs/>
          <w:color w:val="000000" w:themeColor="text1"/>
        </w:rPr>
        <w:t xml:space="preserve">Haemophilus influenzae </w:t>
      </w:r>
      <w:r w:rsidRPr="003D2D46">
        <w:rPr>
          <w:rFonts w:ascii="Times New Roman" w:hAnsi="Times New Roman" w:cs="Times New Roman"/>
          <w:color w:val="000000" w:themeColor="text1"/>
        </w:rPr>
        <w:t xml:space="preserve">type B (Hib), Hepatitis B (HepB), and Polio (IPV) </w:t>
      </w:r>
      <w:r w:rsidRPr="003D2D46">
        <w:rPr>
          <w:rFonts w:ascii="Times New Roman" w:hAnsi="Times New Roman" w:cs="Times New Roman"/>
          <w:color w:val="000000" w:themeColor="text1"/>
        </w:rPr>
        <w:fldChar w:fldCharType="begin" w:fldLock="1"/>
      </w:r>
      <w:r w:rsidR="00C607E9" w:rsidRPr="003D2D46">
        <w:rPr>
          <w:rFonts w:ascii="Times New Roman" w:hAnsi="Times New Roman" w:cs="Times New Roman"/>
          <w:color w:val="000000" w:themeColor="text1"/>
        </w:rPr>
        <w:instrText>ADDIN CSL_CITATION {"citationItems":[{"id":"ITEM-1","itemData":{"author":[{"dropping-particle":"","family":"World Health Organization (WHO)","given":"","non-dropping-particle":"","parse-names":false,"suffix":""}],"container-title":"Wkly Epidemiol Rec","id":"ITEM-1","issue":"40","issued":{"date-parts":[["2010"]]},"page":"385-400","title":"Pertussis vaccines: WHO position paper","type":"article-journal","volume":"85"},"uris":["http://www.mendeley.com/documents/?uuid=53ae18f7-c55c-4ccb-8583-a72e19839333","http://www.mendeley.com/documents/?uuid=370c9be7-f3d1-49bd-9a1c-472bc75a80bb","http://www.mendeley.com/documents/?uuid=33da65f6-7723-42a7-b900-10484eb9c8f8"]},{"id":"ITEM-2","itemData":{"DOI":"10.1016/j.ijid.2020.04.081","ISSN":"1201-9712","author":[{"dropping-particle":"","family":"Chitkara","given":"Amar J","non-dropping-particle":"","parse-names":false,"suffix":""},{"dropping-particle":"","family":"Pujadas","given":"Mónica","non-dropping-particle":"","parse-names":false,"suffix":""},{"dropping-particle":"","family":"Forsyth","given":"Kevin","non-dropping-particle":"","parse-names":false,"suffix":""},{"dropping-particle":"","family":"Guiso","given":"Nicole","non-dropping-particle":"","parse-names":false,"suffix":""},{"dropping-particle":"","family":"Heininger","given":"Ulrich","non-dropping-particle":"","parse-names":false,"suffix":""},{"dropping-particle":"","family":"Flavia","given":"Daniela","non-dropping-particle":"","parse-names":false,"suffix":""},{"dropping-particle":"","family":"Muloiwa","given":"Rudzani","non-dropping-particle":"","parse-names":false,"suffix":""},{"dropping-particle":"","family":"Tan","given":"Tina Q","non-dropping-particle":"","parse-names":false,"suffix":""},{"dropping-particle":"Von","family":"König","given":"C H Wirsing","non-dropping-particle":"","parse-names":false,"suffix":""}],"container-title":"International Journal of Infectious Diseases","id":"ITEM-2","issued":{"date-parts":[["2020"]]},"page":"482-488","publisher":"International Society for Infectious Diseases","title":"Pertussis vaccination in mixed markets : Recommendations from the Global Pertussis Initiative","type":"article-journal","volume":"96"},"uris":["http://www.mendeley.com/documents/?uuid=3f597fe3-94ee-457a-bf35-82f14ab2ac3d","http://www.mendeley.com/documents/?uuid=8e1965ed-42a6-43b8-859b-5a0f6ce5af93","http://www.mendeley.com/documents/?uuid=ff3d2460-7435-47b4-a0dc-f4b4ce667ba9"]}],"mendeley":{"formattedCitation":"(World Health Organization (WHO), 2010; Chitkara et al., 2020)","plainTextFormattedCitation":"(World Health Organization (WHO), 2010; Chitkara et al., 2020)","previouslyFormattedCitation":"(World Health Organization, 2010; Chitkara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607E9" w:rsidRPr="003D2D46">
        <w:rPr>
          <w:rFonts w:ascii="Times New Roman" w:hAnsi="Times New Roman" w:cs="Times New Roman"/>
          <w:noProof/>
          <w:color w:val="000000" w:themeColor="text1"/>
        </w:rPr>
        <w:t>(World Health Organization (WHO), 2010; Chitkara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F374B5B" w14:textId="77777777" w:rsidR="00340169" w:rsidRPr="003D2D46" w:rsidRDefault="00340169" w:rsidP="00340169">
      <w:pPr>
        <w:spacing w:line="480" w:lineRule="auto"/>
        <w:rPr>
          <w:rFonts w:ascii="Times New Roman" w:hAnsi="Times New Roman" w:cs="Times New Roman"/>
          <w:color w:val="000000" w:themeColor="text1"/>
        </w:rPr>
      </w:pPr>
    </w:p>
    <w:p w14:paraId="2752A20D" w14:textId="0479E27A"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In the United States, it is recommended that children under the age of seven receive DTaP vaccines and that persons over the age of seven receive </w:t>
      </w:r>
      <w:r w:rsidRPr="003D2D46">
        <w:rPr>
          <w:rFonts w:ascii="Times New Roman" w:hAnsi="Times New Roman" w:cs="Times New Roman"/>
          <w:b/>
          <w:color w:val="000000" w:themeColor="text1"/>
        </w:rPr>
        <w:t>T</w:t>
      </w:r>
      <w:r w:rsidRPr="003D2D46">
        <w:rPr>
          <w:rFonts w:ascii="Times New Roman" w:hAnsi="Times New Roman" w:cs="Times New Roman"/>
          <w:color w:val="000000" w:themeColor="text1"/>
        </w:rPr>
        <w:t>etanus-</w:t>
      </w:r>
      <w:r w:rsidRPr="003D2D46">
        <w:rPr>
          <w:rFonts w:ascii="Times New Roman" w:hAnsi="Times New Roman" w:cs="Times New Roman"/>
          <w:b/>
          <w:bCs/>
          <w:color w:val="000000" w:themeColor="text1"/>
        </w:rPr>
        <w:t>d</w:t>
      </w:r>
      <w:r w:rsidRPr="003D2D46">
        <w:rPr>
          <w:rFonts w:ascii="Times New Roman" w:hAnsi="Times New Roman" w:cs="Times New Roman"/>
          <w:color w:val="000000" w:themeColor="text1"/>
        </w:rPr>
        <w:t xml:space="preserve">iphtheria (Td) or Tdap vaccines. Pertussis vaccines are administered through intramuscular injection in two series: a childhood and an adult “booster” series. The childhood series (DTaP varieties) are recommended at 2, 4, 6, 15-18 months, and at 4-6 years. Recommendation for timing of doses is dependent on the type of DTaP vaccine used and previous vaccination history. A single dose adult vaccination is recommended at age 11-18 and should continue every ten years unless indicated sooner for tetanus prophylaxis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{"citationItems":[{"id":"ITEM-1","itemData":{"DOI":"10.15585/mmwr.mm6903a5","ISSN":"0149-2195","PMID":"31971933","abstract":"Since 2005, a single dose of tetanus toxoid, reduced diphtheria toxoid, and acellular pertussis (Tdap) vaccine has been recommended by the Advisory Committee on Immunization Practices (ACIP) for adolescents and adults (1,2). After receipt of Tdap, booster doses of tetanus and diphtheria toxoids (Td) vaccine are recommended every 10 years or when indicated for wound management. During the October 2019 meeting of ACIP, the organization updated its recommendations to allow use of either Td or Tdap where previously only Td was recommended. These situations include decennial Td booster doses, tetanus prophylaxis when indicated for wound management in persons who had previously received Tdap, and for multiple doses in the catch-up immunization schedule for persons aged ≥7 years with incomplete or unknown vaccination history. Allowing either Tdap or Td to be used in situations where Td only was previously recommended increases provider point-of-care flexibility. This report updates ACIP recommendations and guidance regarding the use of Tdap vaccines (3).","author":[{"dropping-particle":"","family":"Havers","given":"Fiona P.","non-dropping-particle":"","parse-names":false,"suffix":""},{"dropping-particle":"","family":"Moro","given":"Pedro L.","non-dropping-particle":"","parse-names":false,"suffix":""},{"dropping-particle":"","family":"Hunter","given":"Paul","non-dropping-particle":"","parse-names":false,"suffix":""},{"dropping-particle":"","family":"Hariri","given":"Susan","non-dropping-particle":"","parse-names":false,"suffix":""},{"dropping-particle":"","family":"Bernstein","given":"Henry","non-dropping-particle":"","parse-names":false,"suffix":""}],"container-title":"MMWR. Morbidity and Mortality Weekly Report","id":"ITEM-1","issue":"3","issued":{"date-parts":[["2020"]]},"page":"77-83","title":"Use of Tetanus Toxoid, Reduced Diphtheria Toxoid, and Acellular Pertussis Vaccines: Updated Recommendations of the Advisory Committee on Immunization Practices — United States, 2019","type":"article-journal","volume":"69"},"uris":["http://www.mendeley.com/documents/?uuid=5eb3e545-c84e-45e4-b2e7-985597538b9c","http://www.mendeley.com/documents/?uuid=d18281dc-8b62-4e36-8d7f-e5970673179e","http://www.mendeley.com/documents/?uuid=ff450ec1-154c-47b2-94c3-1ec641766e6b"]},{"id":"ITEM-2","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-2","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 Havers et al., 2020)","plainTextFormattedCitation":"(Centers for Disease Control and Prevention, 2015a; Havers et al., 2020)","previouslyFormattedCitation":"(Centers for Disease Control and Prevention, 2015a; Havers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 Havers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81F84D9" w14:textId="77777777" w:rsidR="00E547A1" w:rsidRPr="003D2D46" w:rsidRDefault="00E547A1" w:rsidP="00580A15">
      <w:pPr>
        <w:spacing w:line="480" w:lineRule="auto"/>
        <w:rPr>
          <w:rFonts w:ascii="Times New Roman" w:hAnsi="Times New Roman" w:cs="Times New Roman"/>
          <w:color w:val="000000" w:themeColor="text1"/>
        </w:rPr>
      </w:pPr>
    </w:p>
    <w:p w14:paraId="5C382E2E" w14:textId="181F3B71" w:rsidR="00BC2A42" w:rsidRPr="003D2D46" w:rsidRDefault="00BC2A42" w:rsidP="00E547A1">
      <w:pPr>
        <w:pStyle w:val="Heading41111"/>
        <w:spacing w:line="480" w:lineRule="auto"/>
        <w:rPr>
          <w:rFonts w:cs="Times New Roman"/>
          <w:color w:val="000000" w:themeColor="text1"/>
        </w:rPr>
      </w:pPr>
      <w:bookmarkStart w:id="65" w:name="_Toc81647066"/>
      <w:bookmarkStart w:id="66" w:name="_Toc82445517"/>
      <w:bookmarkStart w:id="67" w:name="_Toc87797078"/>
      <w:r w:rsidRPr="003D2D46">
        <w:rPr>
          <w:rFonts w:cs="Times New Roman"/>
          <w:color w:val="000000" w:themeColor="text1"/>
        </w:rPr>
        <w:t>2.7.</w:t>
      </w:r>
      <w:r w:rsidR="005043F7" w:rsidRPr="003D2D46">
        <w:rPr>
          <w:rFonts w:cs="Times New Roman"/>
          <w:color w:val="000000" w:themeColor="text1"/>
        </w:rPr>
        <w:t xml:space="preserve">2 </w:t>
      </w:r>
      <w:r w:rsidRPr="003D2D46">
        <w:rPr>
          <w:rFonts w:cs="Times New Roman"/>
          <w:color w:val="000000" w:themeColor="text1"/>
        </w:rPr>
        <w:t>Immunity</w:t>
      </w:r>
      <w:bookmarkEnd w:id="65"/>
      <w:bookmarkEnd w:id="66"/>
      <w:bookmarkEnd w:id="67"/>
    </w:p>
    <w:p w14:paraId="72508123" w14:textId="52F20C81"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An immune response to any of </w:t>
      </w:r>
      <w:r w:rsidR="006A34B6" w:rsidRPr="003D2D46">
        <w:rPr>
          <w:rFonts w:ascii="Times New Roman" w:hAnsi="Times New Roman" w:cs="Times New Roman"/>
          <w:color w:val="000000" w:themeColor="text1"/>
        </w:rPr>
        <w:t>the</w:t>
      </w:r>
      <w:r w:rsidRPr="003D2D46">
        <w:rPr>
          <w:rFonts w:ascii="Times New Roman" w:hAnsi="Times New Roman" w:cs="Times New Roman"/>
          <w:color w:val="000000" w:themeColor="text1"/>
        </w:rPr>
        <w:t xml:space="preserve"> antigenic, biologically active products of </w:t>
      </w:r>
      <w:r w:rsidRPr="003D2D46">
        <w:rPr>
          <w:rFonts w:ascii="Times New Roman" w:hAnsi="Times New Roman" w:cs="Times New Roman"/>
          <w:i/>
          <w:iCs/>
          <w:color w:val="000000" w:themeColor="text1"/>
        </w:rPr>
        <w:t>B. pertussis</w:t>
      </w:r>
      <w:r w:rsidRPr="003D2D46">
        <w:rPr>
          <w:rFonts w:ascii="Times New Roman" w:hAnsi="Times New Roman" w:cs="Times New Roman"/>
          <w:color w:val="000000" w:themeColor="text1"/>
        </w:rPr>
        <w:t xml:space="preserve"> produces temporary immunity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http://www.mendeley.com/documents/?uuid=442759b9-f5fb-4e27-ac1f-6f4e7681a6c4","http://www.mendeley.com/documents/?uuid=3ffabbe0-0da6-4966-9a43-112bdf4e39f3"]}],"mendeley":{"formattedCitation":"(Centers for Disease Control and Prevention, 2015a; Kilgore et al., 2016)","plainTextFormattedCitation":"(Centers for Disease Control and Prevention, 2015a; Kilgore et al., 2016)","previouslyFormattedCitation":"(Centers for Disease Control and Prevention, 2015a;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Estimates of period of immunity from natural infection range from 3.5 to 30 years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{"citationItems":[{"id":"ITEM-1","itemData":{"author":[{"dropping-particle":"","family":"Wirsing Von König","given":"C. H.","non-dropping-particle":"","parse-names":false,"suffix":""},{"dropping-particle":"","family":"Postels-Multani","given":"S.","non-dropping-particle":"","parse-names":false,"suffix":""},{"dropping-particle":"","family":"Schmitt","given":"H. J.","non-dropping-particle":"","parse-names":false,"suffix":""},{"dropping-particle":"","family":"Bock","given":"H. L.","non-dropping-particle":"","parse-names":false,"suffix":""}],"container-title":"The Lancet","id":"ITEM-1","issue":"8986","issued":{"date-parts":[["1995"]]},"page":"1326-1329","title":"Pertussis in adults: frequency of transmission after household exposure","type":"article-journal","volume":"346"},"uris":["http://www.mendeley.com/documents/?uuid=aed5b2a9-bbc6-4d16-83a1-45930e26a4d4","http://www.mendeley.com/documents/?uuid=5fdbfd1f-82ea-44fe-8086-20628900502d","http://www.mendeley.com/documents/?uuid=9c1c4446-dd01-4671-a7a6-5331bdd2d0a6"]},{"id":"ITEM-2","itemData":{"author":[{"dropping-particle":"","family":"Wendelboe","given":"AM","non-dropping-particle":"","parse-names":false,"suffix":""},{"dropping-particle":"","family":"Rie","given":"A","non-dropping-particle":"Van","parse-names":false,"suffix":""},{"dropping-particle":"","family":"Salmaso","given":"S.","non-dropping-particle":"","parse-names":false,"suffix":""},{"dropping-particle":"","family":"Englund","given":"JA","non-dropping-particle":"","parse-names":false,"suffix":""}],"container-title":"Pediatr Infect Dis J","id":"ITEM-2","issue":"5 Suppl","issued":{"date-parts":[["2005"]]},"page":"S58-61","title":"Duration of immunity against pertussis after natural infection or vaccination","type":"article-journal","volume":"24"},"uris":["http://www.mendeley.com/documents/?uuid=b1da3b54-ae6a-478b-bf9f-b3cb42bad3c0","http://www.mendeley.com/documents/?uuid=ee7854f2-cc7b-433a-9093-b9e81467327a","http://www.mendeley.com/documents/?uuid=2009d884-5172-4f39-8477-537d119de783"]},{"id":"ITEM-3","itemData":{"author":[{"dropping-particle":"","family":"Versteegh","given":"FGA","non-dropping-particle":"","parse-names":false,"suffix":""},{"dropping-particle":"","family":"Schellekens","given":"JFP","non-dropping-particle":"","parse-names":false,"suffix":""},{"dropping-particle":"","family":"Nagelkerke","given":"AF","non-dropping-particle":"","parse-names":false,"suffix":""},{"dropping-particle":"","family":"Roord","given":"JJ","non-dropping-particle":"","parse-names":false,"suffix":""}],"container-title":"Acta Paediatr","id":"ITEM-3","issue":"1","issued":{"date-parts":[["2002"]]},"page":"95-7","title":"Laboratory-confirmed reinfections with Bordetella pertussis","type":"article-journal","volume":"91"},"uris":["http://www.mendeley.com/documents/?uuid=31c59e9f-8841-4a50-bfb4-018bd2afe033","http://www.mendeley.com/documents/?uuid=6a6d5dbe-9920-4d3f-99eb-4e3c26db0f67","http://www.mendeley.com/documents/?uuid=288e8040-79ff-43e7-8280-96f6f55a5056"]},{"id":"ITEM-4","itemData":{"DOI":"10.1371/journal.ppat.1000647","ISSN":"15537366","PMID":"19876392","abstract":"Case notifications of pertussis have shown an increase in a number of countries with high rates of routine pediatric immunization. This has led to significant public health concerns over a possible pertussis re-emergence. A leading proposed explanation for the observed increase in incidence is the loss of immunity to pertussis, which is known to occur after both natural infection and vaccination. Little is known, however, about the typical duration of immunity and its epidemiological implications. Here, we analyze a simplemathematicalmodel, exploring specifically the inter-epidemic period and fade-out frequency. These predictions are then contrasted with detailed incidence data for England and Wales. We find model output to be most sensitive to assumptions concerning naturally acquired immunity, which allows us to estimate the average duration of immunity. Our results support a period of natural immunity that is, on average, long-lasting (at least 30 years) but inherently variable. © 2009 Wearing, Rohani.","author":[{"dropping-particle":"","family":"Wearing","given":"Helen J.","non-dropping-particle":"","parse-names":false,"suffix":""},{"dropping-particle":"","family":"Rohani","given":"Pejman","non-dropping-particle":"","parse-names":false,"suffix":""}],"container-title":"PLoS Pathogens","id":"ITEM-4","issue":"10","issued":{"date-parts":[["2009"]]},"title":"Estimating the duration of pertussis immunity using epidemiological signatures","type":"article-journal","volume":"5"},"uris":["http://www.mendeley.com/documents/?uuid=32991592-cc49-4dd6-b460-a318d5ac6470","http://www.mendeley.com/documents/?uuid=4177d3ec-a78e-49a8-8315-de509356508b","http://www.mendeley.com/documents/?uuid=40d558ed-0dca-4145-a039-b48723d4a8d0"]}],"mendeley":{"formattedCitation":"(Wirsing Von König et al., 1995; Versteegh et al., 2002; Wendelboe et al., 2005; Wearing &amp; Rohani, 2009)","plainTextFormattedCitation":"(Wirsing Von König et al., 1995; Versteegh et al., 2002; Wendelboe et al., 2005; Wearing &amp; Rohani, 2009)","previouslyFormattedCitation":"(Wirsing Von König et al., 1995; Versteegh et al., 2002; Wendelboe et al., 2005; Wearing &amp; Rohani, 2009)"},"properties":{"noteIndex":0},"schema":"https://github.com/citation-style-language/schema/raw/master/csl-citation.json"}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 xml:space="preserve">(Wirsing Von König et al., 1995; Versteegh et al., 2002; Wendelboe et al., </w:t>
      </w:r>
      <w:r w:rsidR="00C736C1" w:rsidRPr="003D2D46">
        <w:rPr>
          <w:rFonts w:ascii="Times New Roman" w:hAnsi="Times New Roman" w:cs="Times New Roman"/>
          <w:noProof/>
          <w:color w:val="000000" w:themeColor="text1"/>
        </w:rPr>
        <w:lastRenderedPageBreak/>
        <w:t>2005; Wearing &amp; Rohani, 2009)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4-7 years for vaccine-induced immunity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{"citationItems":[{"id":"ITEM-1","itemData":{"DOI":"10.1056/nejmoa1200850","ISSN":"0028-4793","PMID":"22970945","abstract":"Background: In the United States, children receive five doses of diphtheria, tetanus, and acellular pertussis (DTaP) vaccine before 7 years of age. The duration of protection after five doses of DTaP is unknown. Methods: We assessed the risk of pertussis in children in California relative to the time since the fifth dose of DTaP from 2006 to 2011. This period included a large outbreak in 2010. We conducted a case-control study involving members of Kaiser Permanente Northern California who were vaccinated with DTaP at 47 to 84 months of age. We compared children with pertussis confirmed by a positive polymerase-chain-reaction (PCR) assay with two sets of controls: those who were PCR-negative for pertussis and closely matched controls from the general population of health-plan members. We used logistic regression to examine the risk of pertussis in relation to the duration of time since the fifth DTaP dose. Children who received whole-cell pertussis vaccine during infancy or who received any pertussis-containing vaccine after their fifth dose of DTaP were excluded. Results: We compared 277 children, 4 to 12 years of age, who were PCR-positive for pertussis with 3318 PCR-negative controls and 6086 matched controls. PCR-positive children were more likely to have received the fifth DTaP dose earlier than PCR-negative controls (P&lt;0.001) or matched controls (P = 0.005). Comparison with PCR-negative controls yielded an odds ratio of 1.42 (95% confidence interval, 1.21 to 1.66), indicating that after the fifth dose of DTaP, the odds of acquiring pertussis increased by an average of 42% per year. Conclusions: Protection against pertussis waned during the 5 years after the fifth dose of DTaP. (Funded by Kaiser Permanente). Copyright © 2012 Massachusetts Medical Society.","author":[{"dropping-particle":"","family":"Klein","given":"Nicola P.","non-dropping-particle":"","parse-names":false,"suffix":""},{"dropping-particle":"","family":"Bartlett","given":"Joan","non-dropping-particle":"","parse-names":false,"suffix":""},{"dropping-particle":"","family":"Rowhani-Rahbar","given":"Ali","non-dropping-particle":"","parse-names":false,"suffix":""},{"dropping-particle":"","family":"Fireman","given":"Bruce","non-dropping-particle":"","parse-names":false,"suffix":""},{"dropping-particle":"","family":"Baxter","given":"Roger","non-dropping-particle":"","parse-names":false,"suffix":""}],"container-title":"New England Journal of Medicine","id":"ITEM-1","issue":"11","issued":{"date-parts":[["2012"]]},"page":"1012-1019","title":"Waning Protection after Fifth Dose of Acellular Pertussis Vaccine in Children","type":"article-journal","volume":"367"},"uris":["http://www.mendeley.com/documents/?uuid=b2edfef4-2448-4fbc-9425-06dfa993a83e","http://www.mendeley.com/documents/?uuid=190cddb6-cb30-499f-b07a-f66980e5f882","http://www.mendeley.com/documents/?uuid=8c2ae52f-84fb-4595-9356-bf86a0b20bbc"]},{"id":"ITEM-2","itemData":{"author":[{"dropping-particle":"","family":"Tindberg","given":"Y","non-dropping-particle":"","parse-names":false,"suffix":""},{"dropping-particle":"","family":"Blennow","given":"M","non-dropping-particle":"","parse-names":false,"suffix":""},{"dropping-particle":"","family":"Granstrom","given":"M","non-dropping-particle":"","parse-names":false,"suffix":""}],"container-title":"Pediatric Infectious Disease Journal","id":"ITEM-2","issued":{"date-parts":[["1999"]]},"page":"361-365","title":"A ten year follow-up after immunization with a two component acellular pertussis vaccine","type":"article-journal","volume":"4"},"uris":["http://www.mendeley.com/documents/?uuid=8a0b8e02-eab8-40b0-8339-e16d61eb0fb2","http://www.mendeley.com/documents/?uuid=f9ec442a-5a40-42be-9825-3d35371ae1db","http://www.mendeley.com/documents/?uuid=f36fe5a0-fcff-45a4-81ae-98dc030e4050"]},{"id":"ITEM-3","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Reviews","id":"ITEM-3","issue":"3","issued":{"date-parts":[["2016"]]},"page":"449-486","title":"Pertussis: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Tindberg, Blennow &amp; Granstrom, 1999; Klein et al., 2012; Kilgore et al., 2016)","plainTextFormattedCitation":"(Tindberg, Blennow &amp; Granstrom, 1999; Klein et al., 2012; Kilgore et al., 2016)","previouslyFormattedCitation":"(Tindberg, Blennow &amp; Granstrom, 1999; Klein et al., 2012;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(Tindberg, Blennow &amp; Granstrom, 1999; Klein et al., 2012;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577012C" w14:textId="77777777" w:rsidR="00340169" w:rsidRPr="003D2D46" w:rsidRDefault="00340169" w:rsidP="00340169">
      <w:pPr>
        <w:spacing w:line="480" w:lineRule="auto"/>
        <w:rPr>
          <w:rFonts w:ascii="Times New Roman" w:hAnsi="Times New Roman" w:cs="Times New Roman"/>
          <w:color w:val="000000" w:themeColor="text1"/>
        </w:rPr>
      </w:pPr>
    </w:p>
    <w:p w14:paraId="1174A65E" w14:textId="4716EC82"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Immunity from all pertussis vaccines is provided by a combination of humoral and cellular immunity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{"citationItems":[{"id":"ITEM-1","itemData":{"DOI":"doi:10.1016/j.coi.2019.03.006","author":[{"dropping-particle":"","family":"Kapil","given":"Parul","non-dropping-particle":"","parse-names":false,"suffix":""},{"dropping-particle":"","family":"Merkel","given":"Tod J.","non-dropping-particle":"","parse-names":false,"suffix":""}],"container-title":"Curr Opin Immunol","id":"ITEM-1","issued":{"date-parts":[["2019"]]},"page":"72-78","title":"Pertussis Vaccines and Protective Immunity","type":"article-journal","volume":"59"},"uris":["http://www.mendeley.com/documents/?uuid=bcf15077-862d-4cbc-b3e6-6c488c69a875","http://www.mendeley.com/documents/?uuid=51924c93-e7b7-4f04-8214-4391e20ff6d3","http://www.mendeley.com/documents/?uuid=4b1c6f1f-b209-4fdc-bf86-dded2bf97e28"]}],"mendeley":{"formattedCitation":"(Kapil &amp; Merkel, 2019)","plainTextFormattedCitation":"(Kapil &amp; Merkel, 2019)","previouslyFormattedCitation":"(Kapil &amp; Merkel,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(Kapil &amp; Merkel,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pediatric DTaP and adult Tdap vaccines in use seem to provide immunity by inducing a Th-2 CD4-positive cellular immune response, though antibodies are produced through a humoral immune response as well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{"citationItems":[{"id":"ITEM-1","itemData":{"DOI":"10.4049/jimmunol.177.11.7980","ISSN":"0022-1767","PMID":"17114471","abstract":"Whole cell pertussis vaccines (Pw) induce Th1 responses and protect against Bordetella pertussis infection, whereas pertussis acellular vaccines (Pa) induce Ab and Th2-biased responses and also protect against severe disease. In this study, we show that Pw failed to generate protective immunity in TLR4-defective C3H/HeJ mice. In contrast, protection induced with Pa was compromised, but not completely abrogated, in C3H/HeJ mice. Immunization with Pw, but not Pa, induced a population of IL-17-producing T cells (Th-17), as well as Th1 cells. Ag-specific IL-17 and IFN-? production was significantly lower in Pw-immunized TLR4-defective mice. Furthermore, treatment with neutralizing anti-IL-17 Ab immediately before and after B. pertussis challenge significantly reduced the protective efficacy of Pw. Stimulation of dendritic cells (DC) with Pw promoted IL-23, IL-12, IL-1?, and TNF-? production, which was impaired in DC from TLR4-defective mice. B. pertussis LPS, which is present in high concentrations in Pw, induced IL-23 production by DC, which enhanced IL-17 secretion by T cells, but the induction of Th-17 cells was also dependent on IL-1. In addition, we identified a new effector function for IL-17, activating macrophage killing of B. pertussis, and this bactericidal activity was less efficient in macrophages from TLR4-defective mice. These data provide the first definitive evidence of a role for TLRs in protective immunity induced by a human vaccine. Our findings also demonstrate that activation of innate immune cells through TLR4 helps to direct the induction of Th1 and Th-17 cells, which mediate protective cellular immunity to B. pertussis. Copyright ? 2006 by The American Association of Immunologists, Inc.","author":[{"dropping-particle":"","family":"Higgins","given":"Sarah C.","non-dropping-particle":"","parse-names":false,"suffix":""},{"dropping-particle":"","family":"Jarnicki","given":"Andrew G.","non-dropping-particle":"","parse-names":false,"suffix":""},{"dropping-particle":"","family":"Lavelle","given":"Ed C.","non-dropping-particle":"","parse-names":false,"suffix":""},{"dropping-particle":"","family":"Mills","given":"Kingston H. G.","non-dropping-particle":"","parse-names":false,"suffix":""}],"container-title":"The Journal of Immunology","id":"ITEM-1","issue":"11","issued":{"date-parts":[["2006"]]},"page":"7980-7989","title":" TLR4 Mediates Vaccine-Induced Protective Cellular Immunity to Bordetella pertussis : Role of IL-17-Producing T Cells ","type":"article-journal","volume":"177"},"uris":["http://www.mendeley.com/documents/?uuid=122474da-4386-441e-b7f2-0aec221c8465","http://www.mendeley.com/documents/?uuid=b06567cd-5b14-416a-a710-dfe52d4950f5","http://www.mendeley.com/documents/?uuid=a422a483-281f-4e8b-b0b7-a116928cb4dd"]},{"id":"ITEM-2","itemData":{"DOI":"10.1128/CMR.00083-15.Address","author":[{"dropping-particle":"","family":"Kilgore","given":"Paul E","non-dropping-particle":"","parse-names":false,"suffix":""},{"dropping-particle":"","family":"Salim","given":"Abdulbaset M","non-dropping-particle":"","parse-names":false,"suffix":""},{"dropping-particle":"","family":"Zervos","given":"Marcus J","non-dropping-particle":"","parse-names":false,"suffix":""},{"dropping-particle":"","family":"Schmitt","given":"Heinz-josef","non-dropping-particle":"","parse-names":false,"suffix":""}],"container-title":"Clinical Microbiology Reviews","id":"ITEM-2","issue":"3","issued":{"date-parts":[["2016"]]},"page":"449-486","title":"Pertussis: Microbiology, Disease, Treatment, and Prevention","type":"article-journal","volume":"29"},"uris":["http://www.mendeley.com/documents/?uuid=bb47753c-d684-4cba-887d-d7efcc9fd3b9","http://www.mendeley.com/documents/?uuid=42fae3f2-fda5-48a4-950a-bd8b646ffcb8","http://www.mendeley.com/documents/?uuid=8e2d648a-47c3-457d-a43e-1e131cce2272"]}],"mendeley":{"formattedCitation":"(Higgins et al., 2006; Kilgore et al., 2016)","plainTextFormattedCitation":"(Higgins et al., 2006; Kilgore et al., 2016)","previouslyFormattedCitation":"(Higgins et al., 2006; Kilgore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(Higgins et al., 2006; Kilgore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431F0C29" w14:textId="77777777" w:rsidR="004B759B" w:rsidRPr="003D2D46" w:rsidRDefault="004B759B" w:rsidP="00580A15">
      <w:pPr>
        <w:spacing w:line="480" w:lineRule="auto"/>
        <w:rPr>
          <w:rFonts w:ascii="Times New Roman" w:hAnsi="Times New Roman" w:cs="Times New Roman"/>
          <w:i/>
          <w:iCs/>
          <w:color w:val="000000" w:themeColor="text1"/>
        </w:rPr>
      </w:pPr>
    </w:p>
    <w:p w14:paraId="19225A96" w14:textId="2879538F" w:rsidR="004B759B" w:rsidRPr="003D2D46" w:rsidRDefault="00EA09C6" w:rsidP="00580A15">
      <w:pPr>
        <w:pStyle w:val="Heading41111"/>
        <w:spacing w:line="480" w:lineRule="auto"/>
        <w:rPr>
          <w:rFonts w:cs="Times New Roman"/>
          <w:color w:val="000000" w:themeColor="text1"/>
        </w:rPr>
      </w:pPr>
      <w:bookmarkStart w:id="68" w:name="_Toc81647078"/>
      <w:bookmarkStart w:id="69" w:name="_Toc82445518"/>
      <w:bookmarkStart w:id="70" w:name="_Toc87797079"/>
      <w:r w:rsidRPr="003D2D46">
        <w:rPr>
          <w:rFonts w:cs="Times New Roman"/>
          <w:color w:val="000000" w:themeColor="text1"/>
        </w:rPr>
        <w:t>2.</w:t>
      </w:r>
      <w:r w:rsidR="00BC2A42" w:rsidRPr="003D2D46">
        <w:rPr>
          <w:rFonts w:cs="Times New Roman"/>
          <w:color w:val="000000" w:themeColor="text1"/>
        </w:rPr>
        <w:t>7</w:t>
      </w:r>
      <w:r w:rsidRPr="003D2D46">
        <w:rPr>
          <w:rFonts w:cs="Times New Roman"/>
          <w:color w:val="000000" w:themeColor="text1"/>
        </w:rPr>
        <w:t>.</w:t>
      </w:r>
      <w:r w:rsidR="005043F7" w:rsidRPr="003D2D46">
        <w:rPr>
          <w:rFonts w:cs="Times New Roman"/>
          <w:color w:val="000000" w:themeColor="text1"/>
        </w:rPr>
        <w:t xml:space="preserve">3 </w:t>
      </w:r>
      <w:r w:rsidR="00340169" w:rsidRPr="003D2D46">
        <w:rPr>
          <w:rFonts w:cs="Times New Roman"/>
          <w:color w:val="000000" w:themeColor="text1"/>
        </w:rPr>
        <w:t xml:space="preserve">Vaccine </w:t>
      </w:r>
      <w:r w:rsidR="00371213" w:rsidRPr="003D2D46">
        <w:rPr>
          <w:rFonts w:cs="Times New Roman"/>
          <w:color w:val="000000" w:themeColor="text1"/>
        </w:rPr>
        <w:t>E</w:t>
      </w:r>
      <w:r w:rsidR="004B759B" w:rsidRPr="003D2D46">
        <w:rPr>
          <w:rFonts w:cs="Times New Roman"/>
          <w:color w:val="000000" w:themeColor="text1"/>
        </w:rPr>
        <w:t>fficacy</w:t>
      </w:r>
      <w:bookmarkEnd w:id="68"/>
      <w:bookmarkEnd w:id="69"/>
      <w:bookmarkEnd w:id="70"/>
    </w:p>
    <w:p w14:paraId="55F9F03A" w14:textId="15532C9D" w:rsidR="004B759B" w:rsidRPr="003D2D46" w:rsidRDefault="004B759B"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DTaP vaccine in children who receive all five doses on schedule protects 98% of recipients within a year of the most recent dose and approximately 71% of children five years after their last dose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same levels of protection against pertussis infection is provided by the combination vaccines (DTaP-HepB-IPV, DTaP-IPV/Hib, and DTaP-IPV-Hib-HepB)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{"citationItems":[{"id":"ITEM-1","itemData":{"author":[{"dropping-particle":"","family":"Commitee on Infectious Diseases","given":"","non-dropping-particle":"","parse-names":false,"suffix":""}],"container-title":"Pediatrics","id":"ITEM-1","issued":{"date-parts":[["1999"]]},"title":"Combination Vaccines for Childhood Immunization : Recommendations of the Advisory Committee on Immunization Practices (ACIP), the American Academy of Pediatric (AAP), an the American Academy of Family Physicians (AAFP)","type":"article-journal","volume":"103"},"uris":["http://www.mendeley.com/documents/?uuid=f5fc5d7d-9362-4503-90e5-f166bb6d340f","http://www.mendeley.com/documents/?uuid=164ac652-5592-47b2-b519-95131f2df4f4","http://www.mendeley.com/documents/?uuid=54196e57-bdc2-4e72-b603-b23cdfda3c70"]}],"mendeley":{"formattedCitation":"(Commitee on Infectious Diseases, 1999)","plainTextFormattedCitation":"(Commitee on Infectious Diseases, 1999)","previouslyFormattedCitation":"(Commitee on Infectious Diseases, 1999)"},"properties":{"noteIndex":0},"schema":"https://github.com/citation-style-language/schema/raw/master/csl-citation.json"}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(Commitee on Infectious Diseases, 1999)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Tdap has demonstrated 73% protection in adolescents in the first year and 34% of people four years after receiving the vaccine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081C2B3" w14:textId="77777777" w:rsidR="004B759B" w:rsidRPr="003D2D46" w:rsidRDefault="004B759B" w:rsidP="00580A15">
      <w:pPr>
        <w:spacing w:line="480" w:lineRule="auto"/>
        <w:rPr>
          <w:rFonts w:ascii="Times New Roman" w:hAnsi="Times New Roman" w:cs="Times New Roman"/>
          <w:color w:val="000000" w:themeColor="text1"/>
        </w:rPr>
      </w:pPr>
    </w:p>
    <w:p w14:paraId="63F5F813" w14:textId="3147ABB1" w:rsidR="004B759B" w:rsidRPr="003D2D46" w:rsidRDefault="004B759B"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A systematic review of the safety and efficacy of all pertussis vaccines reported that whole cell vaccines are more effective than two-component acellular vaccines, less effective than three component acellular vaccines, and equally effective as five-</w:t>
      </w:r>
      <w:r w:rsidRPr="003D2D46">
        <w:rPr>
          <w:rFonts w:ascii="Times New Roman" w:hAnsi="Times New Roman" w:cs="Times New Roman"/>
          <w:color w:val="000000" w:themeColor="text1"/>
        </w:rPr>
        <w:lastRenderedPageBreak/>
        <w:t xml:space="preserve">component acellular vaccines against mild pertussis. A comparative efficacy trial in Germany reported that the whole cell DTP provided 93% efficacy compared to the DTaP, which had a reported 83% efficacy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{"citationItems":[{"id":"ITEM-1","itemData":{"DOI":"10.1016/S0264-410X(02)00770-3","ISBN":"3906999009","ISSN":"0264410X","PMID":"12706690","abstract":"Objective: To assess the efficacy and safety of whole-cell and acellular pertussis vaccines administered to children singly or within diphtheria, tetanus and pertussis (DTP) vaccines. Data sources: We searched the Cochrane Library, MEDLINE, EMBASE, Biological Abstracts and Science Citation Index to December 2001. Specialised websites and bibliographies of retrieved articles and reviews were assessed. Vaccine manufacturers and investigators were contacted for additional data. Review methods: We included randomised and cohort studies comparing efficacy and/or safety of pertussis vaccines with placebo, DT, no intervention or each other. Results: We included 52 studies (49 randomised controlled trials (RCTs), 3 cohort studies). All tested whole-cell and acellular vaccines were significantly more effective than placebo against pertussis. Absolute efficacy of whole-cell DTP varied from 37 to 92%. One- and two-component acellular vaccines had lower absolute efficacy (67-70%), than vaccines with ≥3 components (80-84%). Whole-cell vaccines were associated with significantly higher incidences of swelling and induration (odds ratio (OR) 11.67, 95% confidence interval (CI) 8.83-15.44), fever (OR for fever &gt;39°C 3.36, 95% CI 2.06-5.49) and crying for &gt;2h (OR 4.72, 95% CI 2.94-7.59) than placebo or DT. Differences in incidence of hypotonic hyporesponsive episodes (HHE) and convulsions were not statistically significant. Acellular pertussis vaccines did not cause a higher incidence of local signs, fever, convulsions, HHE or prolonged crying than placebo or DT. Conclusion: All tested pertussis vaccines were efficacious. Whole-cell vaccines show variable efficacy, making interpretation of direct comparisons unreliable. Acellular vaccines with ≥3 antigenic components showed higher efficacy than one- and two-component vaccines. The adverse event profile of acellular vaccines was similar to that of placebo and considerably better than that of whole-cell vaccines. © 2002 Elsevier Science Ltd. All rights reserved.","author":[{"dropping-particle":"","family":"Jefferson","given":"Tom","non-dropping-particle":"","parse-names":false,"suffix":""},{"dropping-particle":"","family":"Rudin","given":"Melanie","non-dropping-particle":"","parse-names":false,"suffix":""},{"dropping-particle":"","family":"DiPietrantonj","given":"Carlo","non-dropping-particle":"","parse-names":false,"suffix":""}],"container-title":"Vaccine","id":"ITEM-1","issue":"17-18","issued":{"date-parts":[["2003"]]},"page":"2003-2014","title":"Systematic review of the effects of pertussis vaccines in children","type":"article-journal","volume":"21"},"uris":["http://www.mendeley.com/documents/?uuid=29eab02f-6c4b-4129-9ef5-b19e73a116cf","http://www.mendeley.com/documents/?uuid=f1e0b351-d57d-42a9-a246-b74d5fe6b8ef","http://www.mendeley.com/documents/?uuid=d59e75d4-87c0-45f9-b05a-4db44134895c"]},{"id":"ITEM-2","itemData":{"author":[{"dropping-particle":"","family":"Stehr","given":"Klemens","non-dropping-particle":"","parse-names":false,"suffix":""},{"dropping-particle":"","family":"Cherry","given":"James D","non-dropping-particle":"","parse-names":false,"suffix":""},{"dropping-particle":"","family":"Heininger","given":"Ulrich","non-dropping-particle":"","parse-names":false,"suffix":""},{"dropping-particle":"","family":"Schmitt-grohe","given":"Sabina","non-dropping-particle":"","parse-names":false,"suffix":""},{"dropping-particle":"","family":"Laussucq","given":"Suzanne","non-dropping-particle":"","parse-names":false,"suffix":""},{"dropping-particle":"","family":"Eckhardt","given":"Thomas","non-dropping-particle":"","parse-names":false,"suffix":""},{"dropping-particle":"","family":"Meyer","given":"Martin","non-dropping-particle":"","parse-names":false,"suffix":""},{"dropping-particle":"","family":"Engelhardt","given":"Rita","non-dropping-particle":"","parse-names":false,"suffix":""},{"dropping-particle":"","family":"Christenson","given":"PD","non-dropping-particle":"","parse-names":false,"suffix":""}],"container-title":"Pediatrics","id":"ITEM-2","issue":"1","issued":{"date-parts":[["1998"]]},"title":"A Comparative Efficacy Trial in Germany in Infants Who Received Either the Lederle Whole-Cell Component DTP Vaccine , or DT Vaccine","type":"article-journal","volume":"101"},"uris":["http://www.mendeley.com/documents/?uuid=2c2d5363-de8d-4be6-9b53-5d5bf643f809","http://www.mendeley.com/documents/?uuid=5a810124-7e47-44f3-9e4b-a0f4d157b514","http://www.mendeley.com/documents/?uuid=303235da-5d54-4930-8a21-b1c2dc6ae64b"]}],"mendeley":{"formattedCitation":"(Stehr et al., 1998; Jefferson, Rudin &amp; DiPietrantonj, 2003)","plainTextFormattedCitation":"(Stehr et al., 1998; Jefferson, Rudin &amp; DiPietrantonj, 2003)","previouslyFormattedCitation":"(Stehr et al., 1998; Jefferson, Rudin &amp; DiPietrantonj, 2003)"},"properties":{"noteIndex":0},"schema":"https://github.com/citation-style-language/schema/raw/master/csl-citation.json"}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(Stehr et al., 1998; Jefferson, Rudin &amp; DiPietrantonj, 2003)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0D1EB6A" w14:textId="77777777" w:rsidR="000E409A" w:rsidRPr="003D2D46" w:rsidRDefault="000E409A" w:rsidP="00580A15">
      <w:pPr>
        <w:spacing w:line="480" w:lineRule="auto"/>
        <w:rPr>
          <w:rFonts w:ascii="Times New Roman" w:hAnsi="Times New Roman" w:cs="Times New Roman"/>
          <w:color w:val="000000" w:themeColor="text1"/>
        </w:rPr>
      </w:pPr>
    </w:p>
    <w:p w14:paraId="6E3AE962" w14:textId="4C84FFA7" w:rsidR="004B759B" w:rsidRPr="003D2D46" w:rsidRDefault="00EA09C6" w:rsidP="00580A15">
      <w:pPr>
        <w:pStyle w:val="Heading41111"/>
        <w:spacing w:line="480" w:lineRule="auto"/>
        <w:rPr>
          <w:rFonts w:cs="Times New Roman"/>
          <w:color w:val="000000" w:themeColor="text1"/>
        </w:rPr>
      </w:pPr>
      <w:bookmarkStart w:id="71" w:name="_Toc81647079"/>
      <w:bookmarkStart w:id="72" w:name="_Toc82445519"/>
      <w:bookmarkStart w:id="73" w:name="_Toc87797080"/>
      <w:r w:rsidRPr="003D2D46">
        <w:rPr>
          <w:rFonts w:cs="Times New Roman"/>
          <w:color w:val="000000" w:themeColor="text1"/>
        </w:rPr>
        <w:t>2.</w:t>
      </w:r>
      <w:r w:rsidR="00BC2A42" w:rsidRPr="003D2D46">
        <w:rPr>
          <w:rFonts w:cs="Times New Roman"/>
          <w:color w:val="000000" w:themeColor="text1"/>
        </w:rPr>
        <w:t>7</w:t>
      </w:r>
      <w:r w:rsidRPr="003D2D46">
        <w:rPr>
          <w:rFonts w:cs="Times New Roman"/>
          <w:color w:val="000000" w:themeColor="text1"/>
        </w:rPr>
        <w:t>.</w:t>
      </w:r>
      <w:r w:rsidR="005043F7" w:rsidRPr="003D2D46">
        <w:rPr>
          <w:rFonts w:cs="Times New Roman"/>
          <w:color w:val="000000" w:themeColor="text1"/>
        </w:rPr>
        <w:t xml:space="preserve">4 </w:t>
      </w:r>
      <w:r w:rsidR="00340169" w:rsidRPr="003D2D46">
        <w:rPr>
          <w:rFonts w:cs="Times New Roman"/>
          <w:color w:val="000000" w:themeColor="text1"/>
        </w:rPr>
        <w:t>Pertussis Vaccination for</w:t>
      </w:r>
      <w:r w:rsidR="004B759B" w:rsidRPr="003D2D46">
        <w:rPr>
          <w:rFonts w:cs="Times New Roman"/>
          <w:color w:val="000000" w:themeColor="text1"/>
        </w:rPr>
        <w:t xml:space="preserve"> Special Populations</w:t>
      </w:r>
      <w:bookmarkEnd w:id="71"/>
      <w:bookmarkEnd w:id="72"/>
      <w:bookmarkEnd w:id="73"/>
    </w:p>
    <w:p w14:paraId="651857CD" w14:textId="13BA28BB"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vaccinations including the childhood series and booster doses are recommended for everyone over the age of 2 months </w:t>
      </w:r>
      <w:r w:rsidRPr="003D2D46">
        <w:rPr>
          <w:rFonts w:ascii="Times New Roman" w:hAnsi="Times New Roman" w:cs="Times New Roman"/>
          <w:color w:val="000000" w:themeColor="text1"/>
        </w:rPr>
        <w:fldChar w:fldCharType="begin" w:fldLock="1"/>
      </w:r>
      <w:r w:rsidR="00C607E9" w:rsidRPr="003D2D46">
        <w:rPr>
          <w:rFonts w:ascii="Times New Roman" w:hAnsi="Times New Roman" w:cs="Times New Roman"/>
          <w:color w:val="000000" w:themeColor="text1"/>
        </w:rPr>
        <w:instrText>ADDIN CSL_CITATION {"citationItems":[{"id":"ITEM-1","itemData":{"URL":"https://www.who.int/health-topics/pertussis#tab=tab_1","accessed":{"date-parts":[["2021","1","14"]]},"author":[{"dropping-particle":"","family":"World Health Organization (WHO)","given":"","non-dropping-particle":"","parse-names":false,"suffix":""}],"id":"ITEM-1","issued":{"date-parts":[["2021"]]},"title":"Pertussis","type":"webpage"},"uris":["http://www.mendeley.com/documents/?uuid=dc3f8827-7760-4e89-a3df-e3c24210af23","http://www.mendeley.com/documents/?uuid=f67e94c8-f8e4-43a3-9c0d-f28d8c1937f9","http://www.mendeley.com/documents/?uuid=53ca130d-51a5-48f0-a0cf-1bc2cdfc01f6","http://www.mendeley.com/documents/?uuid=84dd4ac3-64c2-4e3d-bc33-cd3b051b1989"]}],"mendeley":{"formattedCitation":"(World Health Organization (WHO), 2021)","plainTextFormattedCitation":"(World Health Organization (WHO), 2021)","previouslyFormattedCitation":"(World Health Organization (WHO),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607E9" w:rsidRPr="003D2D46">
        <w:rPr>
          <w:rFonts w:ascii="Times New Roman" w:hAnsi="Times New Roman" w:cs="Times New Roman"/>
          <w:noProof/>
          <w:color w:val="000000" w:themeColor="text1"/>
        </w:rPr>
        <w:t>(World Health Organization (WHO),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Recommendations specific to high-risk or special populations include pregnant women and healthcare workers. The Centers for Disease Control and Prevention (CDC) in conjunction with the Advisory Committee on Immunization Practices (ACIP) recommend that pregnant women receive a dose of the adult booster of Tdap during each pregnancy between gestational weeks 27 and 36. The goal of this recommendation is to provide maternal pertussis antibodies to the newborn as well as to prevent transmission from mother to baby during the birth process </w:t>
      </w:r>
      <w:r w:rsidRPr="003D2D46">
        <w:rPr>
          <w:rFonts w:ascii="Times New Roman" w:hAnsi="Times New Roman" w:cs="Times New Roman"/>
          <w:color w:val="000000" w:themeColor="text1"/>
        </w:rPr>
        <w:fldChar w:fldCharType="begin" w:fldLock="1"/>
      </w:r>
      <w:r w:rsidR="00116B8D" w:rsidRPr="003D2D46">
        <w:rPr>
          <w:rFonts w:ascii="Times New Roman" w:hAnsi="Times New Roman" w:cs="Times New Roman"/>
          <w:color w:val="000000" w:themeColor="text1"/>
        </w:rPr>
        <w:instrText>ADDIN CSL_CITATION {"citationItems":[{"id":"ITEM-1","itemData":{"URL":"https://www.cdc.gov/vaccines/vpd/pertussis/recs-summary.html","accessed":{"date-parts":[["2021","11","14"]]},"author":[{"dropping-particle":"","family":"Centers for Disease Control and Prevention (CDC)","given":"","non-dropping-particle":"","parse-names":false,"suffix":""}],"id":"ITEM-1","issued":{"date-parts":[["2020"]]},"title":"Pertussis: Summary of Vaccine Recommendations For Healthcare Professionals","type":"webpage"},"uris":["http://www.mendeley.com/documents/?uuid=f138bb19-ae10-4609-9de9-9d8fc1e5c46f","http://www.mendeley.com/documents/?uuid=b67308ad-0f47-4604-9f8f-71cd89eab90f","http://www.mendeley.com/documents/?uuid=a312279b-4ab1-40d2-afd5-e894f99576b3","http://www.mendeley.com/documents/?uuid=62b04f86-eb0b-4ae8-b5c5-579a03aee0d3"]}],"mendeley":{"formattedCitation":"(Centers for Disease Control and Prevention (CDC), 2020)","plainTextFormattedCitation":"(Centers for Disease Control and Prevention (CDC), 2020)","previouslyFormattedCitation":"(Centers for Disease Control and Prevention (CDC),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ED3746" w:rsidRPr="003D2D46">
        <w:rPr>
          <w:rFonts w:ascii="Times New Roman" w:hAnsi="Times New Roman" w:cs="Times New Roman"/>
          <w:noProof/>
          <w:color w:val="000000" w:themeColor="text1"/>
        </w:rPr>
        <w:t>(Centers for Disease Control and Prevention (CDC),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It is recommended that healthcare personnel receive a single Tdap dose if they have not received one previously and they have direct patient contact </w:t>
      </w:r>
      <w:r w:rsidRPr="003D2D46">
        <w:rPr>
          <w:rFonts w:ascii="Times New Roman" w:hAnsi="Times New Roman" w:cs="Times New Roman"/>
          <w:color w:val="000000" w:themeColor="text1"/>
        </w:rPr>
        <w:fldChar w:fldCharType="begin" w:fldLock="1"/>
      </w:r>
      <w:r w:rsidR="00116B8D" w:rsidRPr="003D2D46">
        <w:rPr>
          <w:rFonts w:ascii="Times New Roman" w:hAnsi="Times New Roman" w:cs="Times New Roman"/>
          <w:color w:val="000000" w:themeColor="text1"/>
        </w:rPr>
        <w:instrText>ADDIN CSL_CITATION {"citationItems":[{"id":"ITEM-1","itemData":{"URL":"https://www.cdc.gov/vaccines/vpd/pertussis/recs-summary.html","accessed":{"date-parts":[["2021","11","14"]]},"author":[{"dropping-particle":"","family":"Centers for Disease Control and Prevention (CDC)","given":"","non-dropping-particle":"","parse-names":false,"suffix":""}],"id":"ITEM-1","issued":{"date-parts":[["2020"]]},"title":"Pertussis: Summary of Vaccine Recommendations For Healthcare Professionals","type":"webpage"},"uris":["http://www.mendeley.com/documents/?uuid=62b04f86-eb0b-4ae8-b5c5-579a03aee0d3","http://www.mendeley.com/documents/?uuid=a312279b-4ab1-40d2-afd5-e894f99576b3","http://www.mendeley.com/documents/?uuid=b67308ad-0f47-4604-9f8f-71cd89eab90f","http://www.mendeley.com/documents/?uuid=f138bb19-ae10-4609-9de9-9d8fc1e5c46f"]}],"mendeley":{"formattedCitation":"(Centers for Disease Control and Prevention (CDC), 2020)","plainTextFormattedCitation":"(Centers for Disease Control and Prevention (CDC), 2020)","previouslyFormattedCitation":"(Centers for Disease Control and Prevention (CDC),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ED3746" w:rsidRPr="003D2D46">
        <w:rPr>
          <w:rFonts w:ascii="Times New Roman" w:hAnsi="Times New Roman" w:cs="Times New Roman"/>
          <w:noProof/>
          <w:color w:val="000000" w:themeColor="text1"/>
        </w:rPr>
        <w:t>(Centers for Disease Control and Prevention (CDC),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1ED2F68" w14:textId="77777777" w:rsidR="004B759B" w:rsidRPr="003D2D46" w:rsidRDefault="004B759B" w:rsidP="00580A15">
      <w:pPr>
        <w:spacing w:line="480" w:lineRule="auto"/>
        <w:rPr>
          <w:rFonts w:ascii="Times New Roman" w:hAnsi="Times New Roman" w:cs="Times New Roman"/>
          <w:color w:val="000000" w:themeColor="text1"/>
        </w:rPr>
      </w:pPr>
    </w:p>
    <w:p w14:paraId="3340A41D" w14:textId="2CADC0C6" w:rsidR="004B759B" w:rsidRPr="003D2D46" w:rsidRDefault="00EA09C6" w:rsidP="00580A15">
      <w:pPr>
        <w:pStyle w:val="Heading41111"/>
        <w:spacing w:line="480" w:lineRule="auto"/>
        <w:rPr>
          <w:rFonts w:cs="Times New Roman"/>
          <w:color w:val="000000" w:themeColor="text1"/>
        </w:rPr>
      </w:pPr>
      <w:bookmarkStart w:id="74" w:name="_Toc81647080"/>
      <w:bookmarkStart w:id="75" w:name="_Toc82445520"/>
      <w:bookmarkStart w:id="76" w:name="_Toc87797081"/>
      <w:r w:rsidRPr="003D2D46">
        <w:rPr>
          <w:rFonts w:cs="Times New Roman"/>
          <w:color w:val="000000" w:themeColor="text1"/>
        </w:rPr>
        <w:t>2</w:t>
      </w:r>
      <w:r w:rsidR="00BC2A42" w:rsidRPr="003D2D46">
        <w:rPr>
          <w:rFonts w:cs="Times New Roman"/>
          <w:color w:val="000000" w:themeColor="text1"/>
        </w:rPr>
        <w:t>.7</w:t>
      </w:r>
      <w:r w:rsidRPr="003D2D46">
        <w:rPr>
          <w:rFonts w:cs="Times New Roman"/>
          <w:color w:val="000000" w:themeColor="text1"/>
        </w:rPr>
        <w:t>.</w:t>
      </w:r>
      <w:r w:rsidR="005043F7" w:rsidRPr="003D2D46">
        <w:rPr>
          <w:rFonts w:cs="Times New Roman"/>
          <w:color w:val="000000" w:themeColor="text1"/>
        </w:rPr>
        <w:t xml:space="preserve">5 </w:t>
      </w:r>
      <w:r w:rsidR="00340169" w:rsidRPr="003D2D46">
        <w:rPr>
          <w:rFonts w:cs="Times New Roman"/>
          <w:color w:val="000000" w:themeColor="text1"/>
        </w:rPr>
        <w:t xml:space="preserve">Vaccination </w:t>
      </w:r>
      <w:r w:rsidR="004B759B" w:rsidRPr="003D2D46">
        <w:rPr>
          <w:rFonts w:cs="Times New Roman"/>
          <w:color w:val="000000" w:themeColor="text1"/>
        </w:rPr>
        <w:t>Coverage in the United States</w:t>
      </w:r>
      <w:bookmarkEnd w:id="74"/>
      <w:bookmarkEnd w:id="75"/>
      <w:bookmarkEnd w:id="76"/>
    </w:p>
    <w:p w14:paraId="51E4C5C6" w14:textId="77A86B38" w:rsidR="00340169" w:rsidRPr="003D2D46" w:rsidRDefault="00340169" w:rsidP="00340169">
      <w:pPr>
        <w:spacing w:line="480" w:lineRule="auto"/>
        <w:rPr>
          <w:rFonts w:ascii="Times New Roman" w:hAnsi="Times New Roman" w:cs="Times New Roman"/>
          <w:color w:val="000000" w:themeColor="text1"/>
        </w:rPr>
      </w:pPr>
      <w:bookmarkStart w:id="77" w:name="_Toc81647081"/>
      <w:bookmarkStart w:id="78" w:name="_Toc82445521"/>
      <w:r w:rsidRPr="003D2D46">
        <w:rPr>
          <w:rFonts w:ascii="Times New Roman" w:hAnsi="Times New Roman" w:cs="Times New Roman"/>
          <w:color w:val="000000" w:themeColor="text1"/>
        </w:rPr>
        <w:t xml:space="preserve">The Advisory Committee on Immunization Practices (ACIP) includes pertussis among the fourteen illnesses they recommend vaccination for by 24 months.  There are reports </w:t>
      </w:r>
      <w:r w:rsidRPr="003D2D46">
        <w:rPr>
          <w:rFonts w:ascii="Times New Roman" w:hAnsi="Times New Roman" w:cs="Times New Roman"/>
          <w:color w:val="000000" w:themeColor="text1"/>
        </w:rPr>
        <w:lastRenderedPageBreak/>
        <w:t xml:space="preserve">of increasing percentage of children that are under-vaccinated and pockets of susceptibility occurring where protection is much lower than the national estimates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{"citationItems":[{"id":"ITEM-1","itemData":{"author":[{"dropping-particle":"","family":"Hill","given":"Holly A","non-dropping-particle":"","parse-names":false,"suffix":""},{"dropping-particle":"","family":"Elam-Evans","given":"Laurie D","non-dropping-particle":"","parse-names":false,"suffix":""},{"dropping-particle":"","family":"Yankey","given":"David","non-dropping-particle":"","parse-names":false,"suffix":""},{"dropping-particle":"","family":"Singleton","given":"James A","non-dropping-particle":"","parse-names":false,"suffix":""},{"dropping-particle":"","family":"Kang","given":"Yoonjae","non-dropping-particle":"","parse-names":false,"suffix":""}],"id":"ITEM-1","issue":"40","issued":{"date-parts":[["2018"]]},"page":"1123-1128","title":"Morbidity and Mortality Weekly Report: Vaccination Coverage Among Children Aged 19-35 Months-United States, 2017","type":"article-journal","volume":"67"},"uris":["http://www.mendeley.com/documents/?uuid=4ad7f694-ceeb-4a30-b9ef-10459d56a585","http://www.mendeley.com/documents/?uuid=dadecaea-23ac-4561-a732-e8714466fc36","http://www.mendeley.com/documents/?uuid=44453440-cefc-4134-b1a8-908502d038ab","http://www.mendeley.com/documents/?uuid=4101d480-e63d-4d7a-855b-709e6bca3c96"]}],"mendeley":{"formattedCitation":"(Hill et al., 2018)","plainTextFormattedCitation":"(Hill et al., 2018)","previouslyFormattedCitation":"(Hill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(Hill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Among children born in 2014-2017, 93.3% had received three or more doses of DTaP by 2017 and 80.6% had received four or more doses by age 24 months, a 0.2% decrease from 2016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{"citationItems":[{"id":"ITEM-1","itemData":{"DOI":"10.15585/mmwr.mm6942a1","ISSN":"0149-2195","PMID":"33090985","abstract":"Immunization has been described as a \"global health and development success story,\" and worldwide is estimated to prevent 2-3 million deaths annually.* In the United States, the Advisory Committee on Immunization Practices (ACIP) currently recommends vaccination against 14 potentially serious illnesses by the time a child reaches age 24 months (1). CDC monitors coverage with ACIP-recommended vaccines through the National Immunization Survey-Child (NIS-Child); data from the survey were used to estimate vaccination coverage at the national, regional, state, territorial, and selected local area levels† among children born in 2016 and 2017. National coverage by age 24 months was ≥90% for ≥3 doses of poliovirus vaccine, ≥3 doses of hepatitis B vaccine (HepB), and ≥1 dose of varicella vaccine (VAR); national coverage was ≥90% for ≥1 dose of measles, mumps, and rubella vaccine (MMR), although MMR coverage was &lt;90% in 14 states. Coverage with ≥2 doses of influenza vaccine was higher for children born during 2016-2017 (58.1%) than for those born during 2014-2015 (53.8%) but was the lowest among all vaccines studied. Only 1.2% of children had received no vaccinations by age 24 months. Vaccination coverage among children enrolled in Medicaid or with no health insurance was lower than that among children who were privately insured. The prevalence of being completely unvaccinated was highest among uninsured children (4.1%), lower among those enrolled in Medicaid (1.3%), and lowest among those with private insurance (0.8%). The largest disparities on the basis of health insurance status occurred for ≥2 doses of influenza vaccine and for completion of the rotavirus vaccination series. Considering the disruptions to health care provider operations caused by the coronavirus disease 2019 (COVID-19) pandemic, extra effort will be required to achieve and maintain high levels of coverage with routine childhood vaccinations. Providers, health care entities, and public health authorities can communicate with families about how children can be vaccinated safely during the pandemic, remind parents of vaccinations that are due for their children, and provide all recommended vaccinations to children during clinic visits. This will be especially important for 2020-21 seasonal influenza vaccination to mitigate the effect of two potentially serious respiratory viruses circulating in the community simultaneously.","author":[{"dropping-particle":"","family":"Hill","given":"Holly A.","non-dropping-particle":"","parse-names":false,"suffix":""},{"dropping-particle":"","family":"Yankey","given":"David","non-dropping-particle":"","parse-names":false,"suffix":""},{"dropping-particle":"","family":"Elam-Evans","given":"Laurie D.","non-dropping-particle":"","parse-names":false,"suffix":""},{"dropping-particle":"","family":"Singleton","given":"James A.","non-dropping-particle":"","parse-names":false,"suffix":""},{"dropping-particle":"","family":"Pingali","given":"S. Cassandra","non-dropping-particle":"","parse-names":false,"suffix":""},{"dropping-particle":"","family":"Santibanez","given":"Tammy A.","non-dropping-particle":"","parse-names":false,"suffix":""}],"container-title":"MMWR. Morbidity and Mortality Weekly Report","id":"ITEM-1","issue":"42","issued":{"date-parts":[["2020"]]},"page":"1505-1511","title":"Vaccination Coverage by Age 24 Months Among Children Born in 2016 and 2017 — National Immunization Survey-Child, United States, 2017–2019","type":"article-journal","volume":"69"},"uris":["http://www.mendeley.com/documents/?uuid=ae743d93-1401-46a2-ba05-df32060f6547","http://www.mendeley.com/documents/?uuid=d7d6b514-3a17-446f-b7e8-4ea061389dfc","http://www.mendeley.com/documents/?uuid=83d886d0-0341-4b4d-a511-3070d07751ab","http://www.mendeley.com/documents/?uuid=46eb9337-b8e0-47d6-ba97-f0aa7925d8b5"]}],"mendeley":{"formattedCitation":"(Hill et al., 2020)","plainTextFormattedCitation":"(Hill et al., 2020)","previouslyFormattedCitation":"(Hill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(Hill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Pertussis vaccination coverage varies across the United States. The states with the lowest coverages (84.0-92.6%) in the 2019-2020 school year include: Oregon, Idaho, Utah, Arizona, Kansas, Minnesota, Indiana, Ohio, New Hampshire, and Alabama </w:t>
      </w:r>
      <w:r w:rsidR="00C736C1" w:rsidRPr="003D2D46">
        <w:rPr>
          <w:rFonts w:ascii="Times New Roman" w:hAnsi="Times New Roman" w:cs="Times New Roman"/>
          <w:color w:val="000000" w:themeColor="text1"/>
        </w:rPr>
        <w:fldChar w:fldCharType="begin" w:fldLock="1"/>
      </w:r>
      <w:r w:rsidR="00116B8D"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Prevention","given":"","non-dropping-particle":"","parse-names":false,"suffix":""}],"container-title":"School View Vax","id":"ITEM-1","issued":{"date-parts":[["2020"]]},"title":"Vaccination Coverage and Exemptions Among Kindergartners: DT/DTaP/DT Vaccination Coverage among Kindergartners, 2019-2020 School Year","type":"webpage"},"uris":["http://www.mendeley.com/documents/?uuid=13d735d2-ccd5-4bfa-9806-f8750dffa4d9","http://www.mendeley.com/documents/?uuid=9c321e64-df53-476a-839d-320d85ad6d52","http://www.mendeley.com/documents/?uuid=e735d6ce-a1a4-4142-82aa-f0bbca4f1d4e"]}],"mendeley":{"formattedCitation":"(Centers for Disease Control and Prevention, 2020)","plainTextFormattedCitation":"(Centers for Disease Control and Prevention, 2020)","previouslyFormattedCitation":"(Centers for Disease Control and Prevention, 2020)"},"properties":{"noteIndex":0},"schema":"https://github.com/citation-style-language/schema/raw/master/csl-citation.json"}</w:instrText>
      </w:r>
      <w:r w:rsidR="00C736C1" w:rsidRPr="003D2D46">
        <w:rPr>
          <w:rFonts w:ascii="Times New Roman" w:hAnsi="Times New Roman" w:cs="Times New Roman"/>
          <w:color w:val="000000" w:themeColor="text1"/>
        </w:rPr>
        <w:fldChar w:fldCharType="separate"/>
      </w:r>
      <w:r w:rsidR="00ED3746" w:rsidRPr="003D2D46">
        <w:rPr>
          <w:rFonts w:ascii="Times New Roman" w:hAnsi="Times New Roman" w:cs="Times New Roman"/>
          <w:noProof/>
          <w:color w:val="000000" w:themeColor="text1"/>
        </w:rPr>
        <w:t>(Centers for Disease Control and Prevention, 2020)</w:t>
      </w:r>
      <w:r w:rsidR="00C736C1" w:rsidRPr="003D2D46">
        <w:rPr>
          <w:rFonts w:ascii="Times New Roman" w:hAnsi="Times New Roman" w:cs="Times New Roman"/>
          <w:color w:val="000000" w:themeColor="text1"/>
        </w:rPr>
        <w:fldChar w:fldCharType="end"/>
      </w:r>
      <w:r w:rsidR="00C736C1" w:rsidRPr="003D2D46">
        <w:rPr>
          <w:rFonts w:ascii="Times New Roman" w:hAnsi="Times New Roman" w:cs="Times New Roman"/>
          <w:color w:val="000000" w:themeColor="text1"/>
        </w:rPr>
        <w:t>.</w:t>
      </w:r>
    </w:p>
    <w:p w14:paraId="50842395" w14:textId="77777777" w:rsidR="00340169" w:rsidRPr="003D2D46" w:rsidRDefault="00340169" w:rsidP="00340169">
      <w:pPr>
        <w:spacing w:line="480" w:lineRule="auto"/>
        <w:rPr>
          <w:rFonts w:ascii="Times New Roman" w:hAnsi="Times New Roman" w:cs="Times New Roman"/>
          <w:color w:val="000000" w:themeColor="text1"/>
        </w:rPr>
      </w:pPr>
    </w:p>
    <w:p w14:paraId="7855DF1F" w14:textId="4B72ED39"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While vaccination coverage for pediatric vaccination against pertussis has been declining, receipt of the adult booster (Tdap) has improved, though overall coverage remains low. A recent survey of pertussis vaccination receipt in the United States reported that only 31.2% of adults 19 years and older had received a Tdap vaccine in </w:t>
      </w:r>
      <w:r w:rsidR="006A34B6" w:rsidRPr="003D2D46">
        <w:rPr>
          <w:rFonts w:ascii="Times New Roman" w:hAnsi="Times New Roman" w:cs="Times New Roman"/>
          <w:color w:val="000000" w:themeColor="text1"/>
        </w:rPr>
        <w:t xml:space="preserve">the ten years </w:t>
      </w:r>
      <w:r w:rsidR="0042225B" w:rsidRPr="003D2D46">
        <w:rPr>
          <w:rFonts w:ascii="Times New Roman" w:hAnsi="Times New Roman" w:cs="Times New Roman"/>
          <w:color w:val="000000" w:themeColor="text1"/>
        </w:rPr>
        <w:t>prior to</w:t>
      </w:r>
      <w:r w:rsidR="006A34B6"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2018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{"citationItems":[{"id":"ITEM-1","itemData":{"DOI":"10.15585/mmwr.ss7003a1","ISSN":"15458636","PMID":"33983910","abstract":"PROBLEM/CONDITION: Adults are at risk for illness, hospitalization, disability and, in some cases, death from vaccine-preventable diseases, particularly influenza and pneumococcal disease. CDC recommends vaccinations for adults on the basis of age, health conditions, prior vaccinations, and other considerations. Updated vaccination recommendations from CDC are published annually in the U.S. Adult Immunization Schedule. Despite longstanding recommendations for use of many vaccines, vaccination coverage among U.S. adults remains low. REPORTING PERIOD: August 2017-June 2018 (for influenza vaccination) and January-December 2018 (for pneumococcal, herpes zoster, tetanus and diphtheria [Td]/tetanus toxoid, reduced diphtheria toxoid, and acellular pertussis [Tdap], hepatitis A, hepatitis B, and human papillomavirus [HPV] vaccination). DESCRIPTION OF SYSTEM: The National Health Interview Survey (NHIS) is a continuous, cross-sectional national household survey of the noninstitutionalized U.S. civilian population. In-person interviews are conducted throughout the year in a probability sample of households, and NHIS data are compiled and released annually. NHIS's objective is to monitor the health of the U.S. population and provide estimates of health indicators, health care use and access, and health-related behaviors. Adult receipt of influenza, pneumococcal, herpes zoster, Td/Tdap, hepatitis A, hepatitis B, and at least 1 dose of HPV vaccines was assessed. Estimates were derived for a new composite adult vaccination quality measure and by selected demographic and access-to-care characteristics (e.g., age, race/ethnicity, indication for vaccination, travel history [travel to countries where hepatitis infections are endemic], health insurance status, contacts with physicians, nativity, and citizenship). Trends in adult vaccination were assessed during 2010-2018. RESULTS: Coverage for the adult age-appropriate composite measure was low in all age groups. Racial and ethnic differences in coverage persisted for all vaccinations, with lower coverage for most vaccinations among non-White compared with non-Hispanic White adults. Linear trend tests indicated coverage increased from 2010 to 2018 for most vaccines in this report. Few adults aged ≥19 years had received all age-appropriate vaccines, including influenza vaccination, regardless of whether inclusion of Tdap (13.5%) or inclusion of any tetanus toxoid-containing vaccine (20.2%) receipt was measured. Coverage amo…","author":[{"dropping-particle":"","family":"Lu","given":"Peng Jun","non-dropping-particle":"","parse-names":false,"suffix":""},{"dropping-particle":"","family":"Hung","given":"Mei Chuan","non-dropping-particle":"","parse-names":false,"suffix":""},{"dropping-particle":"","family":"Srivastav","given":"Anup","non-dropping-particle":"","parse-names":false,"suffix":""},{"dropping-particle":"","family":"Grohskopf","given":"Lisa A.","non-dropping-particle":"","parse-names":false,"suffix":""},{"dropping-particle":"","family":"Kobayashi","given":"Miwako","non-dropping-particle":"","parse-names":false,"suffix":""},{"dropping-particle":"","family":"Harris","given":"Aaron M.","non-dropping-particle":"","parse-names":false,"suffix":""},{"dropping-particle":"","family":"Dooling","given":"Kathleen L.","non-dropping-particle":"","parse-names":false,"suffix":""},{"dropping-particle":"","family":"Markowitz","given":"Lauri E.","non-dropping-particle":"","parse-names":false,"suffix":""},{"dropping-particle":"","family":"Rodriguez-Lainz","given":"Alfonso","non-dropping-particle":"","parse-names":false,"suffix":""},{"dropping-particle":"","family":"Williams","given":"Walter W.","non-dropping-particle":"","parse-names":false,"suffix":""}],"container-title":"Morbidity and mortality weekly report. Surveillance summaries (Washington, D.C. : 2002)","id":"ITEM-1","issue":"3","issued":{"date-parts":[["2021"]]},"page":"1-26","title":"Surveillance of Vaccination Coverage Among Adult Populations -United States, 2018","type":"article-journal","volume":"70"},"uris":["http://www.mendeley.com/documents/?uuid=076b1d2e-9c80-4aac-b574-6546a4ba12a7","http://www.mendeley.com/documents/?uuid=df22ffcb-d447-4796-a83f-ac91181d5647","http://www.mendeley.com/documents/?uuid=7618457d-0799-49cf-b5be-79cd799282a2","http://www.mendeley.com/documents/?uuid=835a5598-ea24-4b0d-a62a-c72139ec4818"]}],"mendeley":{"formattedCitation":"(Lu et al., 2021)","plainTextFormattedCitation":"(Lu et al., 2021)","previouslyFormattedCitation":"(Lu et al.,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(Lu et al.,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White adults had the highest coverage (36.7%), followed by Black adults (20.1%), Hispanic adults (20.5%), and Asian adults (25.6%)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{"citationItems":[{"id":"ITEM-1","itemData":{"DOI":"10.15585/mmwr.ss7003a1","ISSN":"15458636","PMID":"33983910","abstract":"PROBLEM/CONDITION: Adults are at risk for illness, hospitalization, disability and, in some cases, death from vaccine-preventable diseases, particularly influenza and pneumococcal disease. CDC recommends vaccinations for adults on the basis of age, health conditions, prior vaccinations, and other considerations. Updated vaccination recommendations from CDC are published annually in the U.S. Adult Immunization Schedule. Despite longstanding recommendations for use of many vaccines, vaccination coverage among U.S. adults remains low. REPORTING PERIOD: August 2017-June 2018 (for influenza vaccination) and January-December 2018 (for pneumococcal, herpes zoster, tetanus and diphtheria [Td]/tetanus toxoid, reduced diphtheria toxoid, and acellular pertussis [Tdap], hepatitis A, hepatitis B, and human papillomavirus [HPV] vaccination). DESCRIPTION OF SYSTEM: The National Health Interview Survey (NHIS) is a continuous, cross-sectional national household survey of the noninstitutionalized U.S. civilian population. In-person interviews are conducted throughout the year in a probability sample of households, and NHIS data are compiled and released annually. NHIS's objective is to monitor the health of the U.S. population and provide estimates of health indicators, health care use and access, and health-related behaviors. Adult receipt of influenza, pneumococcal, herpes zoster, Td/Tdap, hepatitis A, hepatitis B, and at least 1 dose of HPV vaccines was assessed. Estimates were derived for a new composite adult vaccination quality measure and by selected demographic and access-to-care characteristics (e.g., age, race/ethnicity, indication for vaccination, travel history [travel to countries where hepatitis infections are endemic], health insurance status, contacts with physicians, nativity, and citizenship). Trends in adult vaccination were assessed during 2010-2018. RESULTS: Coverage for the adult age-appropriate composite measure was low in all age groups. Racial and ethnic differences in coverage persisted for all vaccinations, with lower coverage for most vaccinations among non-White compared with non-Hispanic White adults. Linear trend tests indicated coverage increased from 2010 to 2018 for most vaccines in this report. Few adults aged ≥19 years had received all age-appropriate vaccines, including influenza vaccination, regardless of whether inclusion of Tdap (13.5%) or inclusion of any tetanus toxoid-containing vaccine (20.2%) receipt was measured. Coverage amo…","author":[{"dropping-particle":"","family":"Lu","given":"Peng Jun","non-dropping-particle":"","parse-names":false,"suffix":""},{"dropping-particle":"","family":"Hung","given":"Mei Chuan","non-dropping-particle":"","parse-names":false,"suffix":""},{"dropping-particle":"","family":"Srivastav","given":"Anup","non-dropping-particle":"","parse-names":false,"suffix":""},{"dropping-particle":"","family":"Grohskopf","given":"Lisa A.","non-dropping-particle":"","parse-names":false,"suffix":""},{"dropping-particle":"","family":"Kobayashi","given":"Miwako","non-dropping-particle":"","parse-names":false,"suffix":""},{"dropping-particle":"","family":"Harris","given":"Aaron M.","non-dropping-particle":"","parse-names":false,"suffix":""},{"dropping-particle":"","family":"Dooling","given":"Kathleen L.","non-dropping-particle":"","parse-names":false,"suffix":""},{"dropping-particle":"","family":"Markowitz","given":"Lauri E.","non-dropping-particle":"","parse-names":false,"suffix":""},{"dropping-particle":"","family":"Rodriguez-Lainz","given":"Alfonso","non-dropping-particle":"","parse-names":false,"suffix":""},{"dropping-particle":"","family":"Williams","given":"Walter W.","non-dropping-particle":"","parse-names":false,"suffix":""}],"container-title":"Morbidity and mortality weekly report. Surveillance summaries (Washington, D.C. : 2002)","id":"ITEM-1","issue":"3","issued":{"date-parts":[["2021"]]},"page":"1-26","title":"Surveillance of Vaccination Coverage Among Adult Populations -United States, 2018","type":"article-journal","volume":"70"},"uris":["http://www.mendeley.com/documents/?uuid=835a5598-ea24-4b0d-a62a-c72139ec4818","http://www.mendeley.com/documents/?uuid=7618457d-0799-49cf-b5be-79cd799282a2","http://www.mendeley.com/documents/?uuid=df22ffcb-d447-4796-a83f-ac91181d5647","http://www.mendeley.com/documents/?uuid=076b1d2e-9c80-4aac-b574-6546a4ba12a7"]}],"mendeley":{"formattedCitation":"(Lu et al., 2021)","plainTextFormattedCitation":"(Lu et al., 2021)","previouslyFormattedCitation":"(Lu et al.,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(Lu et al.,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Between 2010 and 2018, Tdap vaccination coverage increased by 3.2% per year, increasing from 6.9% in 2010 to 31.2% in 2018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{"citationItems":[{"id":"ITEM-1","itemData":{"DOI":"10.15585/mmwr.ss7003a1","ISSN":"15458636","PMID":"33983910","abstract":"PROBLEM/CONDITION: Adults are at risk for illness, hospitalization, disability and, in some cases, death from vaccine-preventable diseases, particularly influenza and pneumococcal disease. CDC recommends vaccinations for adults on the basis of age, health conditions, prior vaccinations, and other considerations. Updated vaccination recommendations from CDC are published annually in the U.S. Adult Immunization Schedule. Despite longstanding recommendations for use of many vaccines, vaccination coverage among U.S. adults remains low. REPORTING PERIOD: August 2017-June 2018 (for influenza vaccination) and January-December 2018 (for pneumococcal, herpes zoster, tetanus and diphtheria [Td]/tetanus toxoid, reduced diphtheria toxoid, and acellular pertussis [Tdap], hepatitis A, hepatitis B, and human papillomavirus [HPV] vaccination). DESCRIPTION OF SYSTEM: The National Health Interview Survey (NHIS) is a continuous, cross-sectional national household survey of the noninstitutionalized U.S. civilian population. In-person interviews are conducted throughout the year in a probability sample of households, and NHIS data are compiled and released annually. NHIS's objective is to monitor the health of the U.S. population and provide estimates of health indicators, health care use and access, and health-related behaviors. Adult receipt of influenza, pneumococcal, herpes zoster, Td/Tdap, hepatitis A, hepatitis B, and at least 1 dose of HPV vaccines was assessed. Estimates were derived for a new composite adult vaccination quality measure and by selected demographic and access-to-care characteristics (e.g., age, race/ethnicity, indication for vaccination, travel history [travel to countries where hepatitis infections are endemic], health insurance status, contacts with physicians, nativity, and citizenship). Trends in adult vaccination were assessed during 2010-2018. RESULTS: Coverage for the adult age-appropriate composite measure was low in all age groups. Racial and ethnic differences in coverage persisted for all vaccinations, with lower coverage for most vaccinations among non-White compared with non-Hispanic White adults. Linear trend tests indicated coverage increased from 2010 to 2018 for most vaccines in this report. Few adults aged ≥19 years had received all age-appropriate vaccines, including influenza vaccination, regardless of whether inclusion of Tdap (13.5%) or inclusion of any tetanus toxoid-containing vaccine (20.2%) receipt was measured. Coverage amo…","author":[{"dropping-particle":"","family":"Lu","given":"Peng Jun","non-dropping-particle":"","parse-names":false,"suffix":""},{"dropping-particle":"","family":"Hung","given":"Mei Chuan","non-dropping-particle":"","parse-names":false,"suffix":""},{"dropping-particle":"","family":"Srivastav","given":"Anup","non-dropping-particle":"","parse-names":false,"suffix":""},{"dropping-particle":"","family":"Grohskopf","given":"Lisa A.","non-dropping-particle":"","parse-names":false,"suffix":""},{"dropping-particle":"","family":"Kobayashi","given":"Miwako","non-dropping-particle":"","parse-names":false,"suffix":""},{"dropping-particle":"","family":"Harris","given":"Aaron M.","non-dropping-particle":"","parse-names":false,"suffix":""},{"dropping-particle":"","family":"Dooling","given":"Kathleen L.","non-dropping-particle":"","parse-names":false,"suffix":""},{"dropping-particle":"","family":"Markowitz","given":"Lauri E.","non-dropping-particle":"","parse-names":false,"suffix":""},{"dropping-particle":"","family":"Rodriguez-Lainz","given":"Alfonso","non-dropping-particle":"","parse-names":false,"suffix":""},{"dropping-particle":"","family":"Williams","given":"Walter W.","non-dropping-particle":"","parse-names":false,"suffix":""}],"container-title":"Morbidity and mortality weekly report. Surveillance summaries (Washington, D.C. : 2002)","id":"ITEM-1","issue":"3","issued":{"date-parts":[["2021"]]},"page":"1-26","title":"Surveillance of Vaccination Coverage Among Adult Populations -United States, 2018","type":"article-journal","volume":"70"},"uris":["http://www.mendeley.com/documents/?uuid=835a5598-ea24-4b0d-a62a-c72139ec4818","http://www.mendeley.com/documents/?uuid=7618457d-0799-49cf-b5be-79cd799282a2","http://www.mendeley.com/documents/?uuid=df22ffcb-d447-4796-a83f-ac91181d5647","http://www.mendeley.com/documents/?uuid=076b1d2e-9c80-4aac-b574-6546a4ba12a7"]}],"mendeley":{"formattedCitation":"(Lu et al., 2021)","plainTextFormattedCitation":"(Lu et al., 2021)","previouslyFormattedCitation":"(Lu et al.,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(Lu et al.,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While these increases are encouraging, they are still well below the levels needed to achieve herd immunity (&gt;95%) necessary to protect vulnerable child and infant populations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{"citationItems":[{"id":"ITEM-1","itemData":{"DOI":"10.3390/vaccines9030256","ISSN":"2076393X","abstract":"In 2012, the World Health Organization (WHO) established the Global Vaccine Action Plan with the objective to promote essential vaccinations in all countries and achieve at least 90% vaccination coverage for all routine vaccines by 2020. The study assessed the mean percentages of vaccination coverage in 2019 for 13 routine vaccines, vaccination coverage variation from 2015 to 2019, and herd immunity levels against measles and pertussis in 2019 in countries and regions of WHO. In 2019, the mean percentages of vaccination coverage were lower than 90% for 10 (78.9%) routine vaccines. The mean percentages of vaccination coverage also decreased from 2015 to 2019 for six (46.2%) routine vaccines. The prevalence of individuals with vaccine-induced measles immunity in the target measles vaccination population was 88.1%, and the prevalence of individuals with vaccine-induced pertussis immunity in the target pertussis vaccination population was 81.1%. Herd immunity against measles viruses with Ro = 18 was established in 63 (32.5%) countries but not established in any region. Herd immunity against pertussis agents was not established in any country and in any region of WHO. National immunization programs must be improved to achieve ≥90% vaccination coverage in all countries and regions. Likewise, it is necessary to achieve ≥95% vaccination coverage with two doses of measles vaccines and three doses of pertussis vaccines in all countries and regions.","author":[{"dropping-particle":"","family":"Plans-Rubió","given":"Pedro","non-dropping-particle":"","parse-names":false,"suffix":""}],"container-title":"Vaccines","id":"ITEM-1","issue":"3","issued":{"date-parts":[["2021"]]},"page":"1-19","title":"Vaccination coverage for routine vaccines and herd immunity levels against measles and pertussis in the world in 2019","type":"article-journal","volume":"9"},"uris":["http://www.mendeley.com/documents/?uuid=9691748a-52f2-4225-ac30-1400c9fa88a3","http://www.mendeley.com/documents/?uuid=7d047952-3597-4527-a2df-edc46ebe8050","http://www.mendeley.com/documents/?uuid=84cf65cd-5749-41da-8688-2621dc0b842a"]}],"mendeley":{"formattedCitation":"(Plans-Rubió, 2021)","plainTextFormattedCitation":"(Plans-Rubió, 2021)","previouslyFormattedCitation":"(Plans-Rubió,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(Plans-Rubió,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115D99DB" w14:textId="77777777" w:rsidR="00340169" w:rsidRPr="003D2D46" w:rsidRDefault="00340169" w:rsidP="00340169">
      <w:pPr>
        <w:spacing w:line="480" w:lineRule="auto"/>
        <w:rPr>
          <w:rFonts w:ascii="Times New Roman" w:hAnsi="Times New Roman" w:cs="Times New Roman"/>
          <w:color w:val="000000" w:themeColor="text1"/>
        </w:rPr>
      </w:pPr>
    </w:p>
    <w:p w14:paraId="4EE4281F" w14:textId="2C73E114" w:rsidR="00340169" w:rsidRPr="003D2D46" w:rsidRDefault="00340169" w:rsidP="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separate report on vaccinations in pregnant women reported that Tdap vaccine receipt during pregnancy in 2019-2020 was 56.6%. Tdap vaccination during pregnancy was </w:t>
      </w:r>
      <w:r w:rsidRPr="003D2D46">
        <w:rPr>
          <w:rFonts w:ascii="Times New Roman" w:hAnsi="Times New Roman" w:cs="Times New Roman"/>
          <w:color w:val="000000" w:themeColor="text1"/>
        </w:rPr>
        <w:lastRenderedPageBreak/>
        <w:t xml:space="preserve">lowest in Black women (38.8%) and Hispanic women (35.8%). Tdap receipt is highest among pregnant women in the Midwest (68.8%) and lowest in the South (50.1%)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{"citationItems":[{"id":"ITEM-1","itemData":{"DOI":"10.15585/mmwr.mm6939a2","ISSN":"0149-2195","PMID":"33001873","abstract":"Vaccination of pregnant women with influenza vaccine and tetanus toxoid, reduced diphtheria toxoid, and acellular pertussis vaccine (Tdap) can decrease the risk for influenza and pertussis among pregnant women and their infants. The Advisory Committee on Immunization Practices (ACIP) recommends that all women who are or might be pregnant during the influenza season receive influenza vaccine, which can be administered at any time during pregnancy (1). ACIP also recommends that women receive Tdap during each pregnancy, preferably during the early part of gestational weeks 27-36 (2,3). Despite these recommendations, vaccination coverage among pregnant women has been found to be suboptimal with racial/ethnic disparities persisting (4-6). To assess influenza and Tdap vaccination coverage among women pregnant during the 2019-20 influenza season, CDC analyzed data from an Internet panel survey conducted during April 2020. Among 1,841 survey respondents who were pregnant anytime during October 2019-January 2020, 61.2% reported receiving influenza vaccine before or during their pregnancy, an increase of 7.5 percentage points compared with the rate during the 2018-19 season. Among 463 respondents who had a live birth by their survey date, 56.6% reported receiving Tdap during pregnancy, similar to the 2018-19 season (4). Vaccination coverage was highest among women who reported receiving a provider offer or referral for vaccination (influenza = 75.2%; Tdap = 72.7%). Compared with the 2018-19 season, increases in influenza vaccination coverage were observed during the 2019-20 season for non-Hispanic Black (Black) women (14.7 percentage points, to 52.7%), Hispanic women (9.9 percentage points, to 67.2%), and women of other non-Hispanic (other) races (7.9 percentage points, to 69.6%), and did not change for non-Hispanic White (White) women (60.6%). As in the 2018-19 season, Hispanic and Black women had the lowest Tdap vaccination coverage (35.8% and 38.8%, respectively), compared with White women (65.5%) and women of other races (54.0%); in addition, a decrease in Tdap vaccination coverage was observed among Hispanic women in 2019-20 compared with the previous season. Racial/ethnic disparities in influenza vaccination coverage decreased but persisted, even among women who received a provider offer or referral for vaccination. Consistent provider offers or referrals, in combination with conversations culturally and linguistically tailored for patients of all races/eth…","author":[{"dropping-particle":"","family":"Razzaghi","given":"Hilda","non-dropping-particle":"","parse-names":false,"suffix":""},{"dropping-particle":"","family":"Kahn","given":"Katherine E.","non-dropping-particle":"","parse-names":false,"suffix":""},{"dropping-particle":"","family":"Black","given":"Carla L.","non-dropping-particle":"","parse-names":false,"suffix":""},{"dropping-particle":"","family":"Lindley","given":"Megan C.","non-dropping-particle":"","parse-names":false,"suffix":""},{"dropping-particle":"","family":"Jatlaoui","given":"Tara C.","non-dropping-particle":"","parse-names":false,"suffix":""},{"dropping-particle":"","family":"Fiebelkorn","given":"Amy Parker","non-dropping-particle":"","parse-names":false,"suffix":""},{"dropping-particle":"","family":"Havers","given":"Fiona P.","non-dropping-particle":"","parse-names":false,"suffix":""},{"dropping-particle":"V.","family":"D’Angelo","given":"Denise","non-dropping-particle":"","parse-names":false,"suffix":""},{"dropping-particle":"","family":"Cheung","given":"Angela","non-dropping-particle":"","parse-names":false,"suffix":""},{"dropping-particle":"","family":"Ruther","given":"Nicholas A.","non-dropping-particle":"","parse-names":false,"suffix":""},{"dropping-particle":"","family":"Williams","given":"Walter W.","non-dropping-particle":"","parse-names":false,"suffix":""}],"container-title":"MMWR. Morbidity and Mortality Weekly Report","id":"ITEM-1","issue":"39","issued":{"date-parts":[["2020"]]},"page":"1391-1397","title":"Influenza and Tdap Vaccination Coverage Among Pregnant Women — United States, April 2020","type":"article-journal","volume":"69"},"uris":["http://www.mendeley.com/documents/?uuid=0b95e534-8e3b-43f1-9e59-32f367d900d8","http://www.mendeley.com/documents/?uuid=788e2a78-1d2c-4f6a-9d2f-8ce478e050bc","http://www.mendeley.com/documents/?uuid=5e4c08be-e338-43a8-bcbb-1f024e6cea59","http://www.mendeley.com/documents/?uuid=644ccd95-ddf4-4c42-9724-58281e6f483a"]}],"mendeley":{"formattedCitation":"(Razzaghi et al., 2020)","plainTextFormattedCitation":"(Razzaghi et al., 2020)","previouslyFormattedCitation":"(Razzaghi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(Razzaghi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1E404A1" w14:textId="77777777" w:rsidR="00340169" w:rsidRPr="003D2D46" w:rsidRDefault="00340169" w:rsidP="00340169">
      <w:pPr>
        <w:spacing w:line="480" w:lineRule="auto"/>
        <w:rPr>
          <w:rFonts w:ascii="Times New Roman" w:hAnsi="Times New Roman" w:cs="Times New Roman"/>
          <w:color w:val="000000" w:themeColor="text1"/>
        </w:rPr>
      </w:pPr>
    </w:p>
    <w:p w14:paraId="43926663" w14:textId="45D26740" w:rsidR="004B759B" w:rsidRPr="003D2D46" w:rsidRDefault="00EA09C6" w:rsidP="000D5D44">
      <w:pPr>
        <w:pStyle w:val="Heading41111"/>
        <w:spacing w:line="480" w:lineRule="auto"/>
        <w:rPr>
          <w:rFonts w:cs="Times New Roman"/>
        </w:rPr>
      </w:pPr>
      <w:bookmarkStart w:id="79" w:name="_Toc87797082"/>
      <w:r w:rsidRPr="003D2D46">
        <w:rPr>
          <w:rFonts w:cs="Times New Roman"/>
        </w:rPr>
        <w:t>2.</w:t>
      </w:r>
      <w:r w:rsidR="000D5D44" w:rsidRPr="003D2D46">
        <w:rPr>
          <w:rFonts w:cs="Times New Roman"/>
        </w:rPr>
        <w:t>7.6</w:t>
      </w:r>
      <w:r w:rsidR="004B759B" w:rsidRPr="003D2D46">
        <w:rPr>
          <w:rFonts w:cs="Times New Roman"/>
        </w:rPr>
        <w:t xml:space="preserve"> Attitudes Towards Vaccinations</w:t>
      </w:r>
      <w:bookmarkEnd w:id="77"/>
      <w:bookmarkEnd w:id="78"/>
      <w:bookmarkEnd w:id="79"/>
    </w:p>
    <w:p w14:paraId="4AC5586B" w14:textId="12EE28C1" w:rsidR="00340169" w:rsidRPr="003D2D46" w:rsidRDefault="00340169" w:rsidP="00340169">
      <w:pPr>
        <w:spacing w:line="480" w:lineRule="auto"/>
        <w:contextualSpacing/>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Attitudes towards immunizations are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complex and are influenced by social and cultural norms, family and peer attitudes, relationship with the medical community, and personal history of immunization experiences, amongst others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{"citationItems":[{"id":"ITEM-1","itemData":{"DOI":"10.1016/j.vaccine.2009.12.022","ISSN":"0264410X","abstract":"The Internet plays a large role in disseminating anti-vaccination information. This paper builds upon previous research by analyzing the arguments proffered on anti-vaccination websites, determining the extent of misinformation present, and examining discourses used to support vaccine objections. Arguments around the themes of safety and effectiveness, alternative medicine, civil liberties, conspiracy theories, and morality were found on the majority of websites analyzed; misinformation was also prevalent. The most commonly proposed method of combating this misinformation is through better education, although this has proven ineffective. Education does not consider the discourses supporting vaccine rejection, such as those involving alternative explanatory models of health, interpretations of parental responsibility, and distrust of expertise. Anti-vaccination protestors make postmodern arguments that reject biomedical and scientific \"facts\" in favour of their own interpretations. Pro-vaccination advocates who focus on correcting misinformation reduce the controversy to merely an \"educational\" problem; rather, these postmodern discourses must be acknowledged in order to begin a dialogue. © 2009 Elsevier Ltd. All rights reserved.","author":[{"dropping-particle":"","family":"Kata","given":"Anna","non-dropping-particle":"","parse-names":false,"suffix":""}],"container-title":"Vaccine","id":"ITEM-1","issue":"7","issued":{"date-parts":[["2010","2"]]},"page":"1709-1716","title":"A postmodern Pandora's box: Anti-vaccination misinformation on the Internet","type":"article-journal","volume":"28"},"uris":["http://www.mendeley.com/documents/?uuid=7d14b10d-cba7-3036-8247-749d7977d3f5","http://www.mendeley.com/documents/?uuid=61afff15-c965-44f3-8544-a3322c20a4f9","http://www.mendeley.com/documents/?uuid=53f8cb3c-ccb6-49a0-8882-3e8c2a776a1d"]},{"id":"ITEM-2","itemData":{"DOI":"10.1016/0002-9343(91)90157-S","ISSN":"00029343","PMID":"1951383","abstract":"purpose: To determine whether patients' demographic, medical, and personal characteristics, including attitudes and beliefs about vaccination, health, and medical providers, are associated with acceptance of influenza vaccine. patients and methods: Nine hundred sixtyfive patients attending a university hospitalbased general medicine clinic during the fall influenza vaccination period, including 624 patients for whom influenza vaccine was indicated, were observed in a prospective cohort study. In addition, 58 patients who refused influenza vaccine and an equal number who accepted it were interviewed over the telephone to examine their beliefs and behaviors in greater detail. results: Seventy-five percent of patients for whom influenza vaccine was indicated received it. Prospectively assessed patient characteristics that were significantly associated with nonvaccination included not believing vaccine prevents \"flu\" (relative risk [RR] 5.3), never received pneumococcal vaccine (RR 3.5), not vaccinated against influenza the previous year (RR 3.5), never vaccinated against influenza (RR 2.3), and felt sick after previous influenza vaccination (RR 2.3). Demographic characteristics and medical diagnoses were not significantly related to vaccination. Almost one half of 58 interviewed subjects who refused influenza vaccine cited fear of a reaction. Among retrospectively determined attitudes and beliefs significantly associated with refusal of influenza vaccine were not believing the vaccine works well (odds ratio [OR] 11.6), concern about a reaction (OR 9.3), and perception that the medical provider had not recommended it (OR 5.8). conclusion: Demographic characteristics of patients and their medical diagnoses were not associated with acceptance of influenza vaccination. Among patients who were not vaccinated, doubts about the efficacy of influenza vaccine and fear of its side effects were common, and their perceptions of the medical provider's recommendation of vaccine appeared to be an important factor in the decision whether to accept it. © 1991.","author":[{"dropping-particle":"","family":"Fiebach","given":"Nicholas H.","non-dropping-particle":"","parse-names":false,"suffix":""},{"dropping-particle":"","family":"Viscoli","given":"Catherine M.","non-dropping-particle":"","parse-names":false,"suffix":""}],"container-title":"The American Journal of Medicine","id":"ITEM-2","issue":"4","issued":{"date-parts":[["1991"]]},"page":"393-400","title":"Patient acceptance of influenza vaccination","type":"article-journal","volume":"91"},"uris":["http://www.mendeley.com/documents/?uuid=90c16fcb-8497-3f71-a64f-b73c757f1c44","http://www.mendeley.com/documents/?uuid=0588dd70-ebf2-4e58-ac45-1d5f062daaf8","http://www.mendeley.com/documents/?uuid=df11d18f-3f95-4871-b2ea-651c835483a1"]},{"id":"ITEM-3","itemData":{"DOI":"10.1037/0278-6133.26.2.146","abstract":"Objective: Accurate measurement of beliefs about risk probability is essential to determine what role these beliefs have in health behavior. This study investigated the ability of several types of risk perception measures and of other constructs from health behavior theories to predict influenza vaccination. Design: Prospective study in which students, faculty, and staff at 3 universities (N 428) were interviewed in the fall, before influenza vaccine was available, and again early in the next calendar year. Main Outcome Measure: Self-reported influenza vaccination. Results: Two interview questions that asked about feeling at risk and feeling vulnerable predicted subsequent behavior better (r .44, p .001) than 2 questions that asked for agreement or disagreement with statements about risk probability (r .25, p .001) or 4 questions that asked respondents to estimate the magnitude of the risk probability (r .30, p .001). Of the 4 perceived risk magnitude scales, a 7-point verbal scale was the best predictor of behavior. Anticipated regret was the strongest predictor of vaccination (r .45, p .001) of all constructs studied, including risk perceptions, worry, and perceived vaccine effectiveness. Conclusion: Risk perceptions predicted subsequent vaccination. However, perceived risk phrased in terms of feelings rather than as a purely cognitive probability judgment predicted better. Because neither feeling at risk nor anticipated regret is represented in the most commonly used theories of health behavior, the data suggest that these theories are missing important constructs.","author":[{"dropping-particle":"","family":"Weinstein","given":"Neil D","non-dropping-particle":"","parse-names":false,"suffix":""},{"dropping-particle":"","family":"Kwitel","given":"Abbie","non-dropping-particle":"","parse-names":false,"suffix":""},{"dropping-particle":"","family":"Mccaul","given":"Kevin D","non-dropping-particle":"","parse-names":false,"suffix":""},{"dropping-particle":"","family":"Magnan","given":"Renee E","non-dropping-particle":"","parse-names":false,"suffix":""},{"dropping-particle":"","family":"Gerrard","given":"Meg","non-dropping-particle":"","parse-names":false,"suffix":""},{"dropping-particle":"","family":"Gibbons","given":"Frederick X","non-dropping-particle":"","parse-names":false,"suffix":""}],"id":"ITEM-3","issued":{"date-parts":[["2007"]]},"title":"Risk Perceptions: Assessment and Relationship to Influenza Vaccination","type":"article-journal"},"uris":["http://www.mendeley.com/documents/?uuid=1e4453ff-361b-36b2-8937-82716c52ca7d","http://www.mendeley.com/documents/?uuid=6b1baa48-2379-4e1c-aa31-0e7ba07aac40","http://www.mendeley.com/documents/?uuid=76971641-2a31-4932-9e05-be205dc48e3a"]},{"id":"ITEM-4","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Medicine","id":"ITEM-4","issued":{"date-parts":[["2014"]]},"page":"1-11","publisher":"Elsevier Ltd","title":"Attitudes to vaccination: A critical review","type":"article-journal","volume":"112"},"uris":["http://www.mendeley.com/documents/?uuid=71e6c0ba-5bee-42af-9943-4691e227afd2","http://www.mendeley.com/documents/?uuid=99dca09f-c852-4a76-a0a4-360d8a457606","http://www.mendeley.com/documents/?uuid=e3af2b51-e803-43a8-95f3-25b8cefff637"]}],"mendeley":{"formattedCitation":"(Fiebach &amp; Viscoli, 1991; Weinstein et al., 2007; Kata, 2010; Yaqub et al., 2014)","plainTextFormattedCitation":"(Fiebach &amp; Viscoli, 1991; Weinstein et al., 2007; Kata, 2010; Yaqub et al., 2014)","previouslyFormattedCitation":"(Fiebach &amp; Viscoli, 1991; Weinstein et al., 2007; Kata, 2010; Yaqub et al., 2014)"},"properties":{"noteIndex":0},"schema":"https://github.com/citation-style-language/schema/raw/master/csl-citation.json"}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(Fiebach &amp; Viscoli, 1991; Weinstein et al., 2007; Kata, 2010; Yaqub et al., 2014)</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r w:rsidR="003C2B32" w:rsidRPr="003D2D46">
        <w:rPr>
          <w:rFonts w:ascii="Times New Roman" w:eastAsia="Calibri" w:hAnsi="Times New Roman" w:cs="Times New Roman"/>
          <w:color w:val="000000" w:themeColor="text1"/>
        </w:rPr>
        <w:t xml:space="preserve">Understanding attitudes towards vaccination and particularly about why people are hesitant or resistant to vaccination is necessary for increasing vaccination coverage, reducing vaccination hesitancy, and ultimately reducing morbidity and mortality from vaccine-preventable diseases such as pertussis. </w:t>
      </w:r>
      <w:r w:rsidRPr="003D2D46">
        <w:rPr>
          <w:rFonts w:ascii="Times New Roman" w:eastAsia="Calibri" w:hAnsi="Times New Roman" w:cs="Times New Roman"/>
          <w:color w:val="000000" w:themeColor="text1"/>
        </w:rPr>
        <w:t>Physician or healthcare professional recommendation of a vaccination has been reported as the most common reason people get vaccinations</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Medicine","id":"ITEM-1","issued":{"date-parts":[["2014"]]},"page":"1-11","publisher":"Elsevier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Yaqub et al., 2014)","plainTextFormattedCitation":"(Yaqub et al., 2014)","previouslyFormattedCitation":"(Yaqub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(Yaqub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However, f</w:t>
      </w:r>
      <w:r w:rsidRPr="003D2D46">
        <w:rPr>
          <w:rFonts w:ascii="Times New Roman" w:eastAsia="Calibri" w:hAnsi="Times New Roman" w:cs="Times New Roman"/>
          <w:color w:val="000000" w:themeColor="text1"/>
        </w:rPr>
        <w:t>ear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negative side-effects and vaccine safety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become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barrier</w:t>
      </w:r>
      <w:r w:rsidR="00D749F1" w:rsidRPr="003D2D46">
        <w:rPr>
          <w:rFonts w:ascii="Times New Roman" w:eastAsia="Calibri" w:hAnsi="Times New Roman" w:cs="Times New Roman"/>
          <w:color w:val="000000" w:themeColor="text1"/>
        </w:rPr>
        <w: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acceptance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adherence to vaccination recommendations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{"citationItems":[{"id":"ITEM-1","itemData":{"DOI":"10.1007/978-1-4614-7438-8_1","author":[{"dropping-particle":"","family":"Jana","given":"Laura A.","non-dropping-particle":"","parse-names":false,"suffix":""},{"dropping-particle":"","family":"Osborn","given":"June E.","non-dropping-particle":"","parse-names":false,"suffix":""}],"container-title":"Vaccinophobia and Vaccine Controversies of the 21st Century","id":"ITEM-1","issued":{"date-parts":[["2013"]]},"page":"1-13","publisher":"Springer New York","publisher-place":"New York, NY","title":"The History of Vaccine Challenges: Conquering Diseases, Plagued by Controversy","type":"chapter"},"uris":["http://www.mendeley.com/documents/?uuid=e4835470-352d-3f62-8582-bd63b3798a74","http://www.mendeley.com/documents/?uuid=50794520-178e-437c-b102-baff26c6d52e","http://www.mendeley.com/documents/?uuid=5c0a05bf-1a08-4d31-8325-ab5f649343e5"]},{"id":"ITEM-2","itemData":{"DOI":"10.7759/cureus.2919","author":[{"dropping-particle":"","family":"Hussain","given":"Azhar","non-dropping-particle":"","parse-names":false,"suffix":""},{"dropping-particle":"","family":"Ali","given":"Syed","non-dropping-particle":"","parse-names":false,"suffix":""},{"dropping-particle":"","family":"Ahmed","given":"Madiha","non-dropping-particle":"","parse-names":false,"suffix":""},{"dropping-particle":"","family":"Hussain","given":"Sheharyar","non-dropping-particle":"","parse-names":false,"suffix":""}],"container-title":"Cureus","id":"ITEM-2","issue":"7","issued":{"date-parts":[["2018"]]},"page":"e2919","title":"The Anti-vaccination Movement: A Regression in Modern Medicine","type":"article-journal","volume":"10"},"uris":["http://www.mendeley.com/documents/?uuid=d73b61a6-3ffd-3dad-b375-9d297fd7ed12","http://www.mendeley.com/documents/?uuid=c8e7e985-9577-4539-932d-b84ab0d1c91c","http://www.mendeley.com/documents/?uuid=cb24c434-04e1-4baa-88ec-aa71f29aa2a1"]},{"id":"ITEM-3","itemData":{"DOI":"10.1016/j.vaccine.2015.04.041","ISSN":"18732518","abstract":"When faced with vaccine hesitancy, public health authorities are looking for effective strategies to address this issue. In this paper, the findings of 15 published literature reviews or meta-analysis that have examined the effectiveness of different interventions to reduce vaccine hesitancy and/or to enhance vaccine acceptance are presented and discussed. From the literature, there is no strong evidence to recommend any specific intervention to address vaccine hesitancy/refusal. The reviewed studies included interventions with diverse content and approaches that were implemented in different settings and targeted various populations. Few interventions were directly targeted to vaccine hesitant individuals. Given the paucity of information on effective strategies to address vaccine hesitancy, when interventions are implemented, planning a rigorous evaluation of their impact on vaccine hesitancy/vaccine acceptance will be essential.","author":[{"dropping-particle":"","family":"Dubé","given":"Eve","non-dropping-particle":"","parse-names":false,"suffix":""},{"dropping-particle":"","family":"Gagnon","given":"Dominique","non-dropping-particle":"","parse-names":false,"suffix":""},{"dropping-particle":"","family":"MacDonald","given":"Noni 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non-dropping-particle":"","parse-names":false,"suffix":""},{"dropping-particle":"","family":"Gellin","given":"Bruce","non-dropping-particle":"","parse-names":false,"suffix":""},{"dropping-particle":"","family":"Goldstein","given":"Susan","non-dropping-particle":"","parse-names":false,"suffix":""},{"dropping-particle":"","family":"Larson","given":"Heidi","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non-dropping-particle":"","parse-names":false,"suffix":""},{"dropping-particle":"","family":"Schuster","given":"Melanie","non-dropping-particle":"","parse-names":false,"suffix":""}],"container-title":"Vaccine","id":"ITEM-3","issue":"34","issued":{"date-parts":[["2015","8"]]},"page":"4191-4203","publisher":"Elsevier Ltd","title":"Strategies intended to address vaccine hesitancy: Review of published reviews","type":"article-journal","volume":"33"},"uris":["http://www.mendeley.com/documents/?uuid=68ed33ef-cf4c-30ef-83fd-f7ef4e028e2c","http://www.mendeley.com/documents/?uuid=4305d102-a667-40b1-9393-9844fff71880","http://www.mendeley.com/documents/?uuid=01a8060d-0d31-474c-a57e-1614894c6df0"]},{"id":"ITEM-4","itemData":{"DOI":"10.1542/peds.2010-1722N","ISSN":"00314005","abstract":"OBJECTIVE: To describe the vaccine-related attitudes, concerns, and information sources of US parents of young children. METHODS: We calculated weighted proportions and 95% confidence intervals for vaccine-related attitudes, concerns, and information sources of parents with at least 1 child aged 6 years or younger who participated in the 2009 HealthStyles survey. RESULTS: The overall response rate for the survey was 65% (4556 of 7004); 475 respondents were parents or guardians (\"parents\") of at least 1 child aged 6 years or younger. Among those respondents, nearly all (93.4%) reported that their youngest child had or would receive all recommended vaccines. The majority of parents reported believing that vaccines were important to children's health (79.8%) and that they were either confident or very confident in vaccine safety (79.0%). The vaccine-related concern listed most often by parents was a child's pain from the shots given in 1 visit (44.2%), followed by a child getting too many vaccines at 1 doctor's visit (34.2%). When asked to list their most important sources of information on vaccines, the most common response was a child's doctor or nurse (81.7%). CONCLUSIONS: To maintain and improve on the success of childhood vaccines in preventing disease, a holistic approach is needed to address parents' concerns in an ongoing manner. Listening and responding in ways and with resources that address specific questions and concerns could help parents make more informed vaccination decisions. Copyright © 2011 by the American Academy of Pediatrics.","author":[{"dropping-particle":"","family":"Kennedy","given":"Allison","non-dropping-particle":"","parse-names":false,"suffix":""},{"dropping-particle":"","family":"Basket","given":"Michelle","non-dropping-particle":"","parse-names":false,"suffix":""},{"dropping-particle":"","family":"Sheedy","given":"Kristine","non-dropping-particle":"","parse-names":false,"suffix":""}],"container-title":"Pediatrics","id":"ITEM-4","issue":"SUPPL. 1","issued":{"date-parts":[["2011"]]},"page":"92-99","title":"Vaccine attitudes, concerns, and information sources reported by parents of young children: Results from the 2009 HealthStyles survey","type":"article-journal","volume":"127"},"uris":["http://www.mendeley.com/documents/?uuid=4b1198e1-5f03-4be0-bba9-26bf4f11b686","http://www.mendeley.com/documents/?uuid=24f00262-9258-40e7-b3ff-f3b94df358f9","http://www.mendeley.com/documents/?uuid=5b91922d-9f21-48bb-9435-09592c2d93af"]},{"id":"ITEM-5","itemData":{"author":[{"dropping-particle":"","family":"Fredrickson","given":"DD","non-dropping-particle":"","parse-names":false,"suffix":""},{"dropping-particle":"","family":"Davis","given":"TC","non-dropping-particle":"","parse-names":false,"suffix":""},{"dropping-particle":"","family":"Arnold","given":"CL","non-dropping-particle":"","parse-names":false,"suffix":""},{"dropping-particle":"","family":"Kennen","given":"EM","non-dropping-particle":"","parse-names":false,"suffix":""},{"dropping-particle":"","family":"Humiston","given":"SG","non-dropping-particle":"","parse-names":false,"suffix":""},{"dropping-particle":"","family":"Cross","given":"JT","non-dropping-particle":"","parse-names":false,"suffix":""},{"dropping-particle":"","family":"Bocchini","given":"JA","non-dropping-particle":"","parse-names":false,"suffix":""}],"id":"ITEM-5","issued":{"date-parts":[["2004"]]},"page":"431-439","title":"Childhood Immunization Refusal: Provider and Parent Perceptions","type":"article-journal"},"uris":["http://www.mendeley.com/documents/?uuid=ee04e68a-3d9e-3d18-8b3c-abded83aac2d","http://www.mendeley.com/documents/?uuid=a1993670-4c04-4f19-88b4-d4f99834e7d3","http://www.mendeley.com/documents/?uuid=986f26f5-9a46-4d56-adb0-87111a55534a"]},{"id":"ITEM-6","itemData":{"DOI":"10.1177/0009922814548838","author":[{"dropping-particle":"","family":"Saada","given":"A","non-dropping-particle":"","parse-names":false,"suffix":""},{"dropping-particle":"","family":"Lieu","given":"TA","non-dropping-particle":"","parse-names":false,"suffix":""},{"dropping-particle":"","family":"Morain","given":"SR","non-dropping-particle":"","parse-names":false,"suffix":""},{"dropping-particle":"","family":"Zikmund-Fisher","given":"BJ","non-dropping-particle":"","parse-names":false,"suffix":""},{"dropping-particle":"","family":"Wittenberg","given":"E","non-dropping-particle":"","parse-names":false,"suffix":""}],"id":"ITEM-6","issued":{"date-parts":[["2015"]]},"page":"236-243","title":"Parents' Choices and Rationales for Alternative Vaccination Schedules: A Qualitative Study","type":"article-journal"},"uris":["http://www.mendeley.com/documents/?uuid=11d50128-4c66-3ff5-a992-805e9c922fea","http://www.mendeley.com/documents/?uuid=2522bf1d-e19f-4061-bd77-0fc1c1d7b9fe","http://www.mendeley.com/documents/?uuid=72c7799e-337c-45eb-bdc3-38323dcffe43"]},{"id":"ITEM-7","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Medicine","id":"ITEM-7","issued":{"date-parts":[["2014"]]},"page":"1-11","publisher":"Elsevier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Fredrickson et al., 2004; Kennedy, Basket &amp; Sheedy, 2011; Jana &amp; Osborn, 2013; Yaqub et al., 2014; Saada et al., 2015; Dubé et al., 2015; Hussain et al., 2018)","plainTextFormattedCitation":"(Fredrickson et al., 2004; Kennedy, Basket &amp; Sheedy, 2011; Jana &amp; Osborn, 2013; Yaqub et al., 2014; Saada et al., 2015; Dubé et al., 2015; Hussain et al., 2018)","previouslyFormattedCitation":"(Fredrickson et al., 2004; Kennedy, Basket &amp; Sheedy, 2011; Jana &amp; Osborn, 2013; Yaqub et al., 2014; Saada et al., 2015; Dubé et al., 2015; Hussain et al., 2018)"},"properties":{"noteIndex":0},"schema":"https://github.com/citation-style-language/schema/raw/master/csl-citation.json"}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(Fredrickson et al., 2004; Kennedy, Basket &amp; Sheedy, 2011; Jana &amp; Osborn, 2013; Yaqub et al., 2014; Saada et al., 2015; Dubé et al., 2015; Hussain et al., 2018)</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A critical analysis of attitudes towards vaccinations reported that safety concerns were the most frequently cited reason</w:t>
      </w:r>
      <w:r w:rsidR="00F26D59"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 xml:space="preserve"> for hesitancy amongst both the general population as well as healthcare practitioners in the United Kingdom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Medicine","id":"ITEM-1","issued":{"date-parts":[["2014"]]},"page":"1-11","publisher":"Elsevier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Yaqub et al., 2014)","plainTextFormattedCitation":"(Yaqub et al., 2014)","previouslyFormattedCitation":"(Yaqub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736C1" w:rsidRPr="003D2D46">
        <w:rPr>
          <w:rFonts w:ascii="Times New Roman" w:hAnsi="Times New Roman" w:cs="Times New Roman"/>
          <w:noProof/>
          <w:color w:val="000000" w:themeColor="text1"/>
        </w:rPr>
        <w:t>(Yaqub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While concerns about safety and side effects are among the most commonly given reasons for vaccine hesitancy, other factors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lastRenderedPageBreak/>
        <w:t>including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distrust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medical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community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{"citationItems":[{"id":"ITEM-1","itemData":{"DOI":"10.1007/s11606-017-4172-1","ISSN":"15251497","abstract":"Background: Decision makers are increasingly tasked with reducing health care costs, but the public may be mistrustful of these efforts. Public deliberation helps gather input on these types of issues by convening a group of diverse individuals to learn about and discuss values-based dilemmas. Objective: To explore public perceptions of health care costs and how they intersect with medical mistrust. Design and Participants: This mixed-methods study analyzed data from a randomized controlled trial including four public deliberation groups (n = 96) and a control group (n = 348) comprising English-speaking adults aged 18 years and older. Data were collected in 2012 in four U.S. regions. Approach: We used data from four survey items to compare attitude shifts about costs among participants in deliberation groups to participants in the control group. We qualitatively analyzed deliberation transcripts to identify themes related to attitude shifts and to provide context for quantitative results about attitude shifts. Key Results: Deliberation participants were significantly more likely than control group participants to agree that doctors and patients should consider cost when making treatment decisions (β = 0.59; p &lt; 0.01) and that people should consider the effect on group premiums when making treatment decisions (β = 0.48; p &lt; 0.01). Qualitatively, participants mistrusted the health care system’s profit motives (e.g., that systems prioritize making money over patient needs); however, after grappling with patient/doctor autonomy and learning about and examining their own views related to costs during the process of deliberation, they largely concluded that payers have the right to set some boundaries to curb costs. Conclusions: Individuals who are informed about costs may be receptive to boundaries that reduce societal health care costs, despite their mistrust of the health care system’s profit motives, especially if decision makers communicate their rationale in a transparent manner. Future work should aim to develop transparent policies and practices that earn public trust.","author":[{"dropping-particle":"","family":"Richmond","given":"Jennifer","non-dropping-particle":"","parse-names":false,"suffix":""},{"dropping-particle":"","family":"Powell","given":"Wizdom","non-dropping-particle":"","parse-names":false,"suffix":""},{"dropping-particle":"","family":"Maurer","given":"Maureen","non-dropping-particle":"","parse-names":false,"suffix":""},{"dropping-particle":"","family":"Mangrum","given":"Rikki","non-dropping-particle":"","parse-names":false,"suffix":""},{"dropping-particle":"","family":"Gold","given":"Marthe R.","non-dropping-particle":"","parse-names":false,"suffix":""},{"dropping-particle":"","family":"Pathak-Sen","given":"Ela","non-dropping-particle":"","parse-names":false,"suffix":""},{"dropping-particle":"","family":"Yang","given":"Manshu","non-dropping-particle":"","parse-names":false,"suffix":""},{"dropping-particle":"","family":"Carman","given":"Kristin L.","non-dropping-particle":"","parse-names":false,"suffix":""}],"container-title":"Journal of General Internal Medicine","id":"ITEM-1","issue":"12","issued":{"date-parts":[["2017","12"]]},"page":"1396-1402","publisher":"Springer New York LLC","title":"Public Mistrust of the U.S. Health Care System’s Profit Motives: Mixed-Methods Results from a Randomized Controlled Trial","type":"article-journal","volume":"32"},"uris":["http://www.mendeley.com/documents/?uuid=3726a984-2294-32af-92bd-405142ecec0a","http://www.mendeley.com/documents/?uuid=56a5d0ae-707f-41ca-b161-d83afae3fbd7","http://www.mendeley.com/documents/?uuid=47f24095-c96e-42b7-8291-9b770574784f"]}],"mendeley":{"formattedCitation":"(Richmond et al., 2017)","plainTextFormattedCitation":"(Richmond et al., 2017)","previouslyFormattedCitation":"(Richmond et al., 2017)"},"properties":{"noteIndex":0},"schema":"https://github.com/citation-style-language/schema/raw/master/csl-citation.json"}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(Richmond et al., 2017)</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governmental vaccination recommendations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{"citationItems":[{"id":"ITEM-1","itemData":{"DOI":"10.1016/j.vaccine.2016.06.048","ISSN":"18732518","abstract":"High rates of nonmedical exemptions (NMEs) from required childhood vaccinations have contributed to outbreaks of vaccine-preventable diseases, such as measles and pertussis. Understanding the parental decision to obtain an NME could help health professionals and public health programs improve vaccination rates in areas with high vaccine refusal. Using a 2002–2003 multi-state survey of parents of school age children (​n = 2445), this study found that parental distrust of the government and of healthcare providers is a significant factor related to a number of vaccine-related beliefs and behaviors. The odds that parents who distrust the government have seen a complementary/alternative medicine (CAM) provider were 2.11 times greater than those of parents who trust the government (70.1% vs 52.6%; OR, 2.11; 95% CI, 1.59–2.84; P &lt; 0.01). Parents who distrust the government had increased odds of trusting vaccine information from CAM providers compared to trusting parents (57.9% vs 46.3%; OR, 1.53; 95% CI, 1.16–2.01; P &lt; 0.01). Parents who distrust the government also had increased odds of distrusting vaccine information acquired at their healthcare providers’ offices (12.6% vs 4.7%; OR, 2.64; 95% CI, 1.64–4.24; P &lt; 0.01). Distrustful parents had increased odds of thinking government sources of information about vaccines were unreliable, categorizing the CDC, the Food and Drug Administration (FDA), or local and state health departments as poor or very poor sources (distrust government vs trust government: 25.2% vs 11.7%; OR, 2.39; 95% CI, 1.70–3.36; P &lt; 0.01; distrust healthcare providers vs trust healthcare providers: 24.4% vs 11.4%; OR, 2.44; 95% CI, 1.75–3.38; P &lt; 0.01). These findings indicate that distrustful parent populations may need to be reached through modalities outside of traditional government and healthcare provider communications. Research into new and more effective techniques for delivering pro-vaccine messages is warranted.","author":[{"dropping-particle":"","family":"Lee","given":"Charlotte","non-dropping-particle":"","parse-names":false,"suffix":""},{"dropping-particle":"","family":"Whetten","given":"Kathryn","non-dropping-particle":"","parse-names":false,"suffix":""},{"dropping-particle":"","family":"Omer","given":"Saad","non-dropping-particle":"","parse-names":false,"suffix":""},{"dropping-particle":"","family":"Pan","given":"William","non-dropping-particle":"","parse-names":false,"suffix":""},{"dropping-particle":"","family":"Salmon","given":"Daniel","non-dropping-particle":"","parse-names":false,"suffix":""}],"container-title":"Vaccine","id":"ITEM-1","issue":"34","issued":{"date-parts":[["2016","7"]]},"page":"3972-3978","publisher":"Elsevier Ltd","title":"Hurdles to herd immunity: Distrust of government and vaccine refusal in the US, 2002–2003","type":"article-journal","volume":"34"},"uris":["http://www.mendeley.com/documents/?uuid=519c461f-dfb9-3d70-976f-91c4d403c620","http://www.mendeley.com/documents/?uuid=8f0ff389-c963-4253-b892-dde731389e53","http://www.mendeley.com/documents/?uuid=48856dcf-cd01-423d-b6d5-7382d6576cb7"]}],"mendeley":{"formattedCitation":"(Lee et al., 2016)","plainTextFormattedCitation":"(Lee et al., 2016)","previouslyFormattedCitation":"(Lee et al., 2016)"},"properties":{"noteIndex":0},"schema":"https://github.com/citation-style-language/schema/raw/master/csl-citation.json"}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(Lee et al., 2016)</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growing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interest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treating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diseases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with</w:t>
      </w:r>
      <w:r w:rsidRPr="003D2D46">
        <w:rPr>
          <w:rFonts w:ascii="Times New Roman" w:hAnsi="Times New Roman" w:cs="Times New Roman"/>
          <w:color w:val="000000" w:themeColor="text1"/>
        </w:rPr>
        <w:t xml:space="preserve"> homeopathic </w:t>
      </w:r>
      <w:r w:rsidRPr="003D2D46">
        <w:rPr>
          <w:rFonts w:ascii="Times New Roman" w:eastAsia="Calibri" w:hAnsi="Times New Roman" w:cs="Times New Roman"/>
          <w:color w:val="000000" w:themeColor="text1"/>
        </w:rPr>
        <w:t>methods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contribute to hesitancy towards</w:t>
      </w:r>
      <w:r w:rsidRPr="003D2D46">
        <w:rPr>
          <w:rFonts w:ascii="Times New Roman" w:hAnsi="Times New Roman" w:cs="Times New Roman"/>
          <w:color w:val="000000" w:themeColor="text1"/>
        </w:rPr>
        <w:t xml:space="preserve"> and rejection of </w:t>
      </w:r>
      <w:r w:rsidRPr="003D2D46">
        <w:rPr>
          <w:rFonts w:ascii="Times New Roman" w:eastAsia="Calibri" w:hAnsi="Times New Roman" w:cs="Times New Roman"/>
          <w:color w:val="000000" w:themeColor="text1"/>
        </w:rPr>
        <w:t xml:space="preserve">vaccines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{"citationItems":[{"id":"ITEM-1","itemData":{"DOI":"10.1371/journal.pone.0113503","abstract":"Background: While immunization is one of the most effective and successful public health interventions, there are still up to 30,000 deaths in major developed economies each year due to vaccine-preventable diseases, almost all in adults. In the UK, despite comparatively high vaccination rates among §65 s (73%) and, to a lesser extent, at-risk #65 s (52%) in 2013/2014, over 10,000 excess deaths were reported the previous influenza season. Adult tetanus vaccines are not routinely recommended in the UK, but may be overly administered. Social influences and risk-perceptions of diseases and vaccines are known to affect vaccine uptake. We aimed to explore the socio-psychological factors that drive adult vaccination in the UK, specifically influenza and tetanus, and to evaluate whether these factors are comparable between vaccines. Methods: 20 in-depth, face-to-face interviews were conducted with members of the UK public who represented a range of socio-demographic characteristics associated with vaccination uptake. We employed qualitative interviewing approaches to reach a comprehensive understanding of the factors influencing adult vaccination decisions. Thematic analysis was used to analyze the data. Results: Participants were classified according to their vaccination status as regular, intermittent and non-vaccinators for influenza, and preventative, injury-led, mixed (both preventative and injury-led) and as non-vaccinators for tetanus. We present our finding around five overarching themes: 1) perceived health and health behaviors; 2) knowledge; 3) vaccination influences; 4) disease appraisal; and 5) vaccination appraisal. Conclusion: The uptake of influenza and tetanus vaccines was largely driven by participants' risk perception of these diseases. The tetanus vaccine is perceived as safe and sufficiently tested, whereas the changing composition of the influenza vaccine is a cause of uncertainty and distrust. To maximize the public health impact","author":[{"dropping-particle":"","family":"Wheelock","given":"Ana","non-dropping-particle":"","parse-names":false,"suffix":""},{"dropping-particle":"","family":"Parand","given":"Anam","non-dropping-particle":"","parse-names":false,"suffix":""},{"dropping-particle":"","family":"Rigole","given":"Bruno","non-dropping-particle":"","parse-names":false,"suffix":""},{"dropping-particle":"","family":"Thomson","given":"Angus","non-dropping-particle":"","parse-names":false,"suffix":""},{"dropping-particle":"","family":"Miraldo","given":"Marisa","non-dropping-particle":"","parse-names":false,"suffix":""},{"dropping-particle":"","family":"Vincent","given":"Charles","non-dropping-particle":"","parse-names":false,"suffix":""},{"dropping-particle":"","family":"Sevdalis","given":"Nick","non-dropping-particle":"","parse-names":false,"suffix":""}],"container-title":"PLoS ONE","id":"ITEM-1","issue":"12","issued":{"date-parts":[["2014"]]},"page":"e113503","title":"Socio-Psychological Factors Driving Adult Vaccination: A Qualitative Study","type":"article-journal","volume":"9"},"uris":["http://www.mendeley.com/documents/?uuid=959c3881-54f6-34ae-8986-e5885b3eae65","http://www.mendeley.com/documents/?uuid=df3f031e-d9d8-4930-ad1f-e5975c56a5b8","http://www.mendeley.com/documents/?uuid=42b1f976-c4b9-4d9d-9e10-589c3272f358"]}],"mendeley":{"formattedCitation":"(Wheelock et al., 2014)","plainTextFormattedCitation":"(Wheelock et al., 2014)","previouslyFormattedCitation":"(Wheelock et al., 2014)"},"properties":{"noteIndex":0},"schema":"https://github.com/citation-style-language/schema/raw/master/csl-citation.json"}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(Wheelock et al., 2014)</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w:t>
      </w:r>
    </w:p>
    <w:p w14:paraId="66532F7B" w14:textId="77777777" w:rsidR="00E225FE" w:rsidRPr="003D2D46" w:rsidRDefault="00E225FE" w:rsidP="00340169">
      <w:pPr>
        <w:spacing w:line="480" w:lineRule="auto"/>
        <w:contextualSpacing/>
        <w:rPr>
          <w:rFonts w:ascii="Times New Roman" w:eastAsia="Calibri" w:hAnsi="Times New Roman" w:cs="Times New Roman"/>
          <w:color w:val="000000" w:themeColor="text1"/>
        </w:rPr>
      </w:pPr>
    </w:p>
    <w:p w14:paraId="0FDDCDC0" w14:textId="3D95C553" w:rsidR="00340169" w:rsidRPr="003D2D46" w:rsidRDefault="00340169" w:rsidP="00340169">
      <w:pPr>
        <w:pStyle w:val="Heading41111"/>
        <w:spacing w:line="480" w:lineRule="auto"/>
        <w:rPr>
          <w:rFonts w:cs="Times New Roman"/>
          <w:color w:val="000000" w:themeColor="text1"/>
        </w:rPr>
      </w:pPr>
      <w:bookmarkStart w:id="80" w:name="_Toc81647082"/>
      <w:bookmarkStart w:id="81" w:name="_Toc82352678"/>
      <w:bookmarkStart w:id="82" w:name="_Toc83461149"/>
      <w:bookmarkStart w:id="83" w:name="_Toc87797083"/>
      <w:r w:rsidRPr="003D2D46">
        <w:rPr>
          <w:rFonts w:cs="Times New Roman"/>
          <w:color w:val="000000" w:themeColor="text1"/>
        </w:rPr>
        <w:t>2.</w:t>
      </w:r>
      <w:r w:rsidR="000D5D44" w:rsidRPr="003D2D46">
        <w:rPr>
          <w:rFonts w:cs="Times New Roman"/>
          <w:color w:val="000000" w:themeColor="text1"/>
        </w:rPr>
        <w:t>7</w:t>
      </w:r>
      <w:r w:rsidRPr="003D2D46">
        <w:rPr>
          <w:rFonts w:cs="Times New Roman"/>
          <w:color w:val="000000" w:themeColor="text1"/>
        </w:rPr>
        <w:t>.</w:t>
      </w:r>
      <w:r w:rsidR="000D5D44" w:rsidRPr="003D2D46">
        <w:rPr>
          <w:rFonts w:cs="Times New Roman"/>
          <w:color w:val="000000" w:themeColor="text1"/>
        </w:rPr>
        <w:t>7</w:t>
      </w:r>
      <w:r w:rsidRPr="003D2D46">
        <w:rPr>
          <w:rFonts w:cs="Times New Roman"/>
          <w:color w:val="000000" w:themeColor="text1"/>
        </w:rPr>
        <w:t xml:space="preserve"> Vaccination Exemptions in the United States</w:t>
      </w:r>
      <w:bookmarkEnd w:id="80"/>
      <w:bookmarkEnd w:id="81"/>
      <w:bookmarkEnd w:id="82"/>
      <w:bookmarkEnd w:id="83"/>
    </w:p>
    <w:p w14:paraId="4B2B0029" w14:textId="0E096033" w:rsidR="00340169" w:rsidRPr="003D2D46" w:rsidRDefault="00340169" w:rsidP="00340169">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In the United States, state-level policies requiring vaccination of school-going children have been identified as important strategies for improving vaccination coverage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{"citationItems":[{"id":"ITEM-1","itemData":{"author":[{"dropping-particle":"","family":"Omer","given":"Saad B","non-dropping-particle":"","parse-names":false,"suffix":""},{"dropping-particle":"","family":"Salmon","given":"Daniel A","non-dropping-particle":"","parse-names":false,"suffix":""},{"dropping-particle":"","family":"Orenstein","given":"Walter A","non-dropping-particle":"","parse-names":false,"suffix":""},{"dropping-particle":"","family":"Halsey","given":"Neal","non-dropping-particle":"","parse-names":false,"suffix":""}],"container-title":"New England Journal of Medicine","id":"ITEM-1","issued":{"date-parts":[["2009"]]},"page":"1981-8","title":"Vaccine Refusal, Mandatory Immunization, and the Risks of Vaccine-Preventable Diseases","type":"article-journal","volume":"360"},"uris":["http://www.mendeley.com/documents/?uuid=8cf94a71-50f2-4ba5-adc0-db394bae522f","http://www.mendeley.com/documents/?uuid=5be624db-664c-4b0b-9d8f-5cb96c78c129","http://www.mendeley.com/documents/?uuid=e938e6fe-a14e-4c66-bfdd-591b8b6ea4fe"]}],"mendeley":{"formattedCitation":"(Omer et al., 2009)","plainTextFormattedCitation":"(Omer et al., 2009)","previouslyFormattedCitation":"(Omer et al., 2009)"},"properties":{"noteIndex":0},"schema":"https://github.com/citation-style-language/schema/raw/master/csl-citation.json"}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(Omer et al., 2009)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However, vaccination exemptions can be granted for medical, religious, or philosophical reasons depending on state policy. Currently all states and Washington, D.C. allow exemptions for medical reasons, 48 states allow religious exemptions, and 20 states allow philosophical or personal belief exemptions </w:t>
      </w:r>
      <w:r w:rsidRPr="003D2D46">
        <w:rPr>
          <w:rFonts w:ascii="Times New Roman" w:eastAsia="Calibri" w:hAnsi="Times New Roman" w:cs="Times New Roman"/>
          <w:color w:val="000000" w:themeColor="text1"/>
        </w:rPr>
        <w:fldChar w:fldCharType="begin" w:fldLock="1"/>
      </w:r>
      <w:r w:rsidR="00201EA9" w:rsidRPr="003D2D46">
        <w:rPr>
          <w:rFonts w:ascii="Times New Roman" w:eastAsia="Calibri" w:hAnsi="Times New Roman" w:cs="Times New Roman"/>
          <w:color w:val="000000" w:themeColor="text1"/>
        </w:rPr>
        <w:instrText>ADDIN CSL_CITATION {"citationItems":[{"id":"ITEM-1","itemData":{"URL":"https://www.ncsl.org/research/health/school-immunization-exemption-state-laws.aspx","accessed":{"date-parts":[["2021","11","14"]]},"author":[{"dropping-particle":"","family":"National Conference of State Legislatures (NCSL)","given":"","non-dropping-particle":"","parse-names":false,"suffix":""}],"id":"ITEM-1","issued":{"date-parts":[["2021"]]},"title":"States With Religious and Philosophical Exemptions From School Immunization Requirements","type":"webpage"},"uris":["http://www.mendeley.com/documents/?uuid=0bce8b1b-4e3d-48df-b1bd-7885904aad8c"]}],"mendeley":{"formattedCitation":"(National Conference of State Legislatures (NCSL), 2021)","plainTextFormattedCitation":"(National Conference of State Legislatures (NCSL), 2021)","previouslyFormattedCitation":"(National Conference of State Legislatures (NCSL), 2021)"},"properties":{"noteIndex":0},"schema":"https://github.com/citation-style-language/schema/raw/master/csl-citation.json"}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16B8D" w:rsidRPr="003D2D46">
        <w:rPr>
          <w:rFonts w:ascii="Times New Roman" w:eastAsia="Calibri" w:hAnsi="Times New Roman" w:cs="Times New Roman"/>
          <w:noProof/>
          <w:color w:val="000000" w:themeColor="text1"/>
        </w:rPr>
        <w:t>(National Conference of State Legislatures (NCSL), 2021)</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Increases in vaccination exemptions have been associated with increased risk of vaccine-preventable diseases like pertussis. Omer et al. (2006) reported that philosophical/personal belief exemptions were associated with increased pertussis incidence (Incidence Risk Ratio [IRR])=1.48) between 2000 and 2004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A.","non-dropping-particle":"","parse-names":false,"suffix":""}],"container-title":"Jama","id":"ITEM-1","issue":"14","issued":{"date-parts":[["2006"]]},"page":"1757","title":"Nonmedical Exemptions to School Immunization Requirements","type":"article-journal","volume":"296"},"uris":["http://www.mendeley.com/documents/?uuid=63cf2c52-42f3-4e7f-bb8d-fd5244a0e858"]}],"mendeley":{"formattedCitation":"(Omer et al., 2006)","plainTextFormattedCitation":"(Omer et al., 2006)","previouslyFormattedCitation":"(Omer et al., 2006)"},"properties":{"noteIndex":0},"schema":"https://github.com/citation-style-language/schema/raw/master/csl-citation.json"}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(Omer et al., 2006)</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Similarly, Atwell et al.’s geographic analysis of nonmedical exemptions and pertussis risk in California reported that clusters of non-medical exemptions at the census tract level were associated with higher pertussis risk (IRR=1.20)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{"citationItems":[{"id":"ITEM-1","itemData":{"DOI":"10.1542/peds.2013-0878","ISSN":"00314005","abstract":"Background: In 2010, 9120 cases of pertussis were reported in California, more than any year since 1947. Although this resurgence has been widely attributed to waning immunity of the acellular vaccine, the role of vaccine refusal has not been explored in the published literature. Many factors likely contributed to the outbreak, includingthe cyclical nature of pertussis, improved diagnosis, and waning immunity; however, itis important to understand if clustering of unvaccinated individuals also played a role. Methods: We analyzed nonmedical exemptions (NMEs) for children entering kindergarten from 2005 through 2010 and pertussis cases with onset in 2010 in California to determine if NMEs increased in that period, if children obtaining NMEs clustered spatially, if pertussis cases clustered spatially and temporally, and if there was statistically significant overlap between clusters of NMEs and cases. Results: Kulldorff's scan statistics identified 39 statistically significant clusters of high NME rates and 2 statistically significant clusters of pertussis cases in this time period. Census tracts within an exemptions cluster were 2.5 times more likely to be in a pertussis cluster (odds ratio = 2.47, 95% confidence interval: 2.22-2.75). More cases occurred within as compared with outside exemptions clusters (incident rate ratios = 1.20, 95% confidence interval: 1.10-1.30). The association remained significant after adjustment for demographic factors. NMEs clustered spatially and were associated with clusters of pertussiscases. Conclusions: Our data suggest clustering of NMEs may have been 1 of several factors in the 2010 California pertussis resurgence. © 2013 by the American Academy of Pediatrics.","author":[{"dropping-particle":"","family":"Atwell","given":"Jessica E.","non-dropping-particle":"","parse-names":false,"suffix":""},{"dropping-particle":"","family":"Otterloo","given":"Josh","non-dropping-particle":"Van","parse-names":false,"suffix":""},{"dropping-particle":"","family":"Zipprich","given":"Jennifer","non-dropping-particle":"","parse-names":false,"suffix":""},{"dropping-particle":"","family":"Winter","given":"Kathleen","non-dropping-particle":"","parse-names":false,"suffix":""},{"dropping-particle":"","family":"Harriman","given":"Kathleen","non-dropping-particle":"","parse-names":false,"suffix":""},{"dropping-particle":"","family":"Salmon","given":"Daniel A.","non-dropping-particle":"","parse-names":false,"suffix":""},{"dropping-particle":"","family":"Halsey","given":"Neal A.","non-dropping-particle":"","parse-names":false,"suffix":""},{"dropping-particle":"","family":"Omer","given":"Saad B.","non-dropping-particle":"","parse-names":false,"suffix":""}],"container-title":"Pediatrics","id":"ITEM-1","issue":"4","issued":{"date-parts":[["2013"]]},"page":"624-630","title":"Nonmedical vaccine exemptions and pertussis in California, 2010","type":"article-journal","volume":"132"},"uris":["http://www.mendeley.com/documents/?uuid=0c05451c-1436-423b-9a47-6baa9d857108"]}],"mendeley":{"formattedCitation":"(Atwell et al., 2013)","plainTextFormattedCitation":"(Atwell et al., 2013)","previouslyFormattedCitation":"(Atwell et al., 2013)"},"properties":{"noteIndex":0},"schema":"https://github.com/citation-style-language/schema/raw/master/csl-citation.json"}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C736C1" w:rsidRPr="003D2D46">
        <w:rPr>
          <w:rFonts w:ascii="Times New Roman" w:eastAsia="Calibri" w:hAnsi="Times New Roman" w:cs="Times New Roman"/>
          <w:noProof/>
          <w:color w:val="000000" w:themeColor="text1"/>
        </w:rPr>
        <w:t>(Atwell et al., 2013)</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p>
    <w:p w14:paraId="4BB214B0" w14:textId="03F9AD28" w:rsidR="00D71E10" w:rsidRPr="003D2D46" w:rsidRDefault="00D71E10">
      <w:pPr>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br w:type="page"/>
      </w:r>
    </w:p>
    <w:p w14:paraId="05DA089C" w14:textId="1DDF16D6" w:rsidR="00E225FE" w:rsidRPr="003D2D46" w:rsidRDefault="00340169" w:rsidP="00E403C2">
      <w:pPr>
        <w:pStyle w:val="Heading3"/>
        <w:spacing w:line="480" w:lineRule="auto"/>
        <w:rPr>
          <w:rFonts w:ascii="Times New Roman" w:hAnsi="Times New Roman" w:cs="Times New Roman"/>
          <w:color w:val="000000" w:themeColor="text1"/>
          <w:szCs w:val="24"/>
        </w:rPr>
      </w:pPr>
      <w:bookmarkStart w:id="84" w:name="_Toc83461150"/>
      <w:bookmarkStart w:id="85" w:name="_Toc87797084"/>
      <w:r w:rsidRPr="003D2D46">
        <w:rPr>
          <w:rFonts w:ascii="Times New Roman" w:hAnsi="Times New Roman" w:cs="Times New Roman"/>
          <w:color w:val="000000" w:themeColor="text1"/>
        </w:rPr>
        <w:lastRenderedPageBreak/>
        <w:t>2.</w:t>
      </w:r>
      <w:r w:rsidR="000D5D44" w:rsidRPr="003D2D46">
        <w:rPr>
          <w:rFonts w:ascii="Times New Roman" w:hAnsi="Times New Roman" w:cs="Times New Roman"/>
          <w:color w:val="000000" w:themeColor="text1"/>
        </w:rPr>
        <w:t>8</w:t>
      </w:r>
      <w:r w:rsidRPr="003D2D46">
        <w:rPr>
          <w:rFonts w:ascii="Times New Roman" w:hAnsi="Times New Roman" w:cs="Times New Roman"/>
          <w:color w:val="000000" w:themeColor="text1"/>
        </w:rPr>
        <w:t xml:space="preserve"> Conclusions</w:t>
      </w:r>
      <w:bookmarkEnd w:id="84"/>
      <w:bookmarkEnd w:id="85"/>
    </w:p>
    <w:p w14:paraId="6AF5E0AE" w14:textId="1EFE4723" w:rsidR="00340169" w:rsidRPr="003D2D46" w:rsidRDefault="00340169">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is a serious disease that has high morbidity and mortality, particularly in infants. As pertussis is preventable through vaccination, strategies to increase vaccination coverage are critical to reducing burden of the disease. Research focusing on barriers to vaccination, including vaccination hesitancy and policies regarding vaccination exemptions is necessary to develop more effective vaccination strategies. Additionally, understanding local socioeconomic and demographic risk factors for pertussis are needed to guide disease control programs. </w:t>
      </w:r>
    </w:p>
    <w:p w14:paraId="65096CA3" w14:textId="77777777" w:rsidR="003D07F7" w:rsidRPr="003D2D46" w:rsidRDefault="004B759B"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br w:type="page"/>
      </w:r>
    </w:p>
    <w:p w14:paraId="1D2B07CD" w14:textId="127BC638" w:rsidR="007F3568" w:rsidRPr="003D2D46" w:rsidRDefault="00CF36A2" w:rsidP="00580A15">
      <w:pPr>
        <w:pStyle w:val="Heading1"/>
        <w:spacing w:line="480" w:lineRule="auto"/>
        <w:rPr>
          <w:rFonts w:ascii="Times New Roman" w:hAnsi="Times New Roman" w:cs="Times New Roman"/>
          <w:color w:val="000000" w:themeColor="text1"/>
          <w:sz w:val="24"/>
        </w:rPr>
      </w:pPr>
      <w:bookmarkStart w:id="86" w:name="_Toc87797085"/>
      <w:bookmarkStart w:id="87" w:name="_Toc82445523"/>
      <w:r w:rsidRPr="003D2D46">
        <w:rPr>
          <w:rFonts w:ascii="Times New Roman" w:hAnsi="Times New Roman" w:cs="Times New Roman"/>
          <w:color w:val="000000" w:themeColor="text1"/>
          <w:sz w:val="24"/>
        </w:rPr>
        <w:lastRenderedPageBreak/>
        <w:t>CHAP</w:t>
      </w:r>
      <w:bookmarkStart w:id="88" w:name="START"/>
      <w:bookmarkEnd w:id="88"/>
      <w:r w:rsidRPr="003D2D46">
        <w:rPr>
          <w:rFonts w:ascii="Times New Roman" w:hAnsi="Times New Roman" w:cs="Times New Roman"/>
          <w:color w:val="000000" w:themeColor="text1"/>
          <w:sz w:val="24"/>
        </w:rPr>
        <w:t xml:space="preserve">TER </w:t>
      </w:r>
      <w:r w:rsidR="00EA09C6" w:rsidRPr="003D2D46">
        <w:rPr>
          <w:rFonts w:ascii="Times New Roman" w:hAnsi="Times New Roman" w:cs="Times New Roman"/>
          <w:color w:val="000000" w:themeColor="text1"/>
          <w:sz w:val="24"/>
        </w:rPr>
        <w:t>3</w:t>
      </w:r>
      <w:bookmarkEnd w:id="86"/>
    </w:p>
    <w:p w14:paraId="291C0EFB" w14:textId="77777777" w:rsidR="00722150" w:rsidRPr="003D2D46" w:rsidRDefault="00722150" w:rsidP="004F0890">
      <w:pPr>
        <w:jc w:val="center"/>
        <w:rPr>
          <w:rFonts w:ascii="Times New Roman" w:hAnsi="Times New Roman" w:cs="Times New Roman"/>
        </w:rPr>
      </w:pPr>
    </w:p>
    <w:p w14:paraId="359995F0" w14:textId="14730F9F" w:rsidR="00003F6A" w:rsidRPr="003D2D46" w:rsidRDefault="00043F0A" w:rsidP="00580A15">
      <w:pPr>
        <w:pStyle w:val="Heading1"/>
        <w:spacing w:line="480" w:lineRule="auto"/>
        <w:rPr>
          <w:rFonts w:ascii="Times New Roman" w:hAnsi="Times New Roman" w:cs="Times New Roman"/>
          <w:color w:val="000000" w:themeColor="text1"/>
          <w:sz w:val="24"/>
        </w:rPr>
      </w:pPr>
      <w:bookmarkStart w:id="89" w:name="_Toc87797086"/>
      <w:r w:rsidRPr="003D2D46">
        <w:rPr>
          <w:rFonts w:ascii="Times New Roman" w:hAnsi="Times New Roman" w:cs="Times New Roman"/>
          <w:color w:val="000000" w:themeColor="text1"/>
          <w:sz w:val="24"/>
        </w:rPr>
        <w:t xml:space="preserve">Attitudes of </w:t>
      </w:r>
      <w:r w:rsidR="00371213" w:rsidRPr="003D2D46">
        <w:rPr>
          <w:rFonts w:ascii="Times New Roman" w:hAnsi="Times New Roman" w:cs="Times New Roman"/>
          <w:color w:val="000000" w:themeColor="text1"/>
          <w:sz w:val="24"/>
        </w:rPr>
        <w:t>E</w:t>
      </w:r>
      <w:r w:rsidRPr="003D2D46">
        <w:rPr>
          <w:rFonts w:ascii="Times New Roman" w:hAnsi="Times New Roman" w:cs="Times New Roman"/>
          <w:color w:val="000000" w:themeColor="text1"/>
          <w:sz w:val="24"/>
        </w:rPr>
        <w:t xml:space="preserve">ast </w:t>
      </w:r>
      <w:r w:rsidR="00371213" w:rsidRPr="003D2D46">
        <w:rPr>
          <w:rFonts w:ascii="Times New Roman" w:hAnsi="Times New Roman" w:cs="Times New Roman"/>
          <w:color w:val="000000" w:themeColor="text1"/>
          <w:sz w:val="24"/>
        </w:rPr>
        <w:t>T</w:t>
      </w:r>
      <w:r w:rsidRPr="003D2D46">
        <w:rPr>
          <w:rFonts w:ascii="Times New Roman" w:hAnsi="Times New Roman" w:cs="Times New Roman"/>
          <w:color w:val="000000" w:themeColor="text1"/>
          <w:sz w:val="24"/>
        </w:rPr>
        <w:t xml:space="preserve">ennessee </w:t>
      </w:r>
      <w:r w:rsidR="00371213" w:rsidRPr="003D2D46">
        <w:rPr>
          <w:rFonts w:ascii="Times New Roman" w:hAnsi="Times New Roman" w:cs="Times New Roman"/>
          <w:color w:val="000000" w:themeColor="text1"/>
          <w:sz w:val="24"/>
        </w:rPr>
        <w:t>R</w:t>
      </w:r>
      <w:r w:rsidRPr="003D2D46">
        <w:rPr>
          <w:rFonts w:ascii="Times New Roman" w:hAnsi="Times New Roman" w:cs="Times New Roman"/>
          <w:color w:val="000000" w:themeColor="text1"/>
          <w:sz w:val="24"/>
        </w:rPr>
        <w:t xml:space="preserve">esidents </w:t>
      </w:r>
      <w:r w:rsidR="00371213" w:rsidRPr="003D2D46">
        <w:rPr>
          <w:rFonts w:ascii="Times New Roman" w:hAnsi="Times New Roman" w:cs="Times New Roman"/>
          <w:color w:val="000000" w:themeColor="text1"/>
          <w:sz w:val="24"/>
        </w:rPr>
        <w:t>T</w:t>
      </w:r>
      <w:r w:rsidRPr="003D2D46">
        <w:rPr>
          <w:rFonts w:ascii="Times New Roman" w:hAnsi="Times New Roman" w:cs="Times New Roman"/>
          <w:color w:val="000000" w:themeColor="text1"/>
          <w:sz w:val="24"/>
        </w:rPr>
        <w:t xml:space="preserve">oward </w:t>
      </w:r>
      <w:r w:rsidR="00371213" w:rsidRPr="003D2D46">
        <w:rPr>
          <w:rFonts w:ascii="Times New Roman" w:hAnsi="Times New Roman" w:cs="Times New Roman"/>
          <w:color w:val="000000" w:themeColor="text1"/>
          <w:sz w:val="24"/>
        </w:rPr>
        <w:t>G</w:t>
      </w:r>
      <w:r w:rsidRPr="003D2D46">
        <w:rPr>
          <w:rFonts w:ascii="Times New Roman" w:hAnsi="Times New Roman" w:cs="Times New Roman"/>
          <w:color w:val="000000" w:themeColor="text1"/>
          <w:sz w:val="24"/>
        </w:rPr>
        <w:t xml:space="preserve">eneral and </w:t>
      </w:r>
      <w:r w:rsidR="00371213" w:rsidRPr="003D2D46">
        <w:rPr>
          <w:rFonts w:ascii="Times New Roman" w:hAnsi="Times New Roman" w:cs="Times New Roman"/>
          <w:color w:val="000000" w:themeColor="text1"/>
          <w:sz w:val="24"/>
        </w:rPr>
        <w:t>P</w:t>
      </w:r>
      <w:r w:rsidRPr="003D2D46">
        <w:rPr>
          <w:rFonts w:ascii="Times New Roman" w:hAnsi="Times New Roman" w:cs="Times New Roman"/>
          <w:color w:val="000000" w:themeColor="text1"/>
          <w:sz w:val="24"/>
        </w:rPr>
        <w:t xml:space="preserve">ertussis </w:t>
      </w:r>
      <w:r w:rsidR="00371213" w:rsidRPr="003D2D46">
        <w:rPr>
          <w:rFonts w:ascii="Times New Roman" w:hAnsi="Times New Roman" w:cs="Times New Roman"/>
          <w:color w:val="000000" w:themeColor="text1"/>
          <w:sz w:val="24"/>
        </w:rPr>
        <w:t>V</w:t>
      </w:r>
      <w:r w:rsidRPr="003D2D46">
        <w:rPr>
          <w:rFonts w:ascii="Times New Roman" w:hAnsi="Times New Roman" w:cs="Times New Roman"/>
          <w:color w:val="000000" w:themeColor="text1"/>
          <w:sz w:val="24"/>
        </w:rPr>
        <w:t xml:space="preserve">accination: </w:t>
      </w:r>
      <w:r w:rsidR="00371213" w:rsidRPr="003D2D46">
        <w:rPr>
          <w:rFonts w:ascii="Times New Roman" w:hAnsi="Times New Roman" w:cs="Times New Roman"/>
          <w:color w:val="000000" w:themeColor="text1"/>
          <w:sz w:val="24"/>
        </w:rPr>
        <w:t>A</w:t>
      </w:r>
      <w:r w:rsidRPr="003D2D46">
        <w:rPr>
          <w:rFonts w:ascii="Times New Roman" w:hAnsi="Times New Roman" w:cs="Times New Roman"/>
          <w:color w:val="000000" w:themeColor="text1"/>
          <w:sz w:val="24"/>
        </w:rPr>
        <w:t xml:space="preserve"> </w:t>
      </w:r>
      <w:r w:rsidR="00371213" w:rsidRPr="003D2D46">
        <w:rPr>
          <w:rFonts w:ascii="Times New Roman" w:hAnsi="Times New Roman" w:cs="Times New Roman"/>
          <w:color w:val="000000" w:themeColor="text1"/>
          <w:sz w:val="24"/>
        </w:rPr>
        <w:t>Q</w:t>
      </w:r>
      <w:r w:rsidRPr="003D2D46">
        <w:rPr>
          <w:rFonts w:ascii="Times New Roman" w:hAnsi="Times New Roman" w:cs="Times New Roman"/>
          <w:color w:val="000000" w:themeColor="text1"/>
          <w:sz w:val="24"/>
        </w:rPr>
        <w:t xml:space="preserve">ualitative </w:t>
      </w:r>
      <w:r w:rsidR="00371213" w:rsidRPr="003D2D46">
        <w:rPr>
          <w:rFonts w:ascii="Times New Roman" w:hAnsi="Times New Roman" w:cs="Times New Roman"/>
          <w:color w:val="000000" w:themeColor="text1"/>
          <w:sz w:val="24"/>
        </w:rPr>
        <w:t>S</w:t>
      </w:r>
      <w:r w:rsidRPr="003D2D46">
        <w:rPr>
          <w:rFonts w:ascii="Times New Roman" w:hAnsi="Times New Roman" w:cs="Times New Roman"/>
          <w:color w:val="000000" w:themeColor="text1"/>
          <w:sz w:val="24"/>
        </w:rPr>
        <w:t>tudy</w:t>
      </w:r>
      <w:bookmarkEnd w:id="87"/>
      <w:bookmarkEnd w:id="89"/>
    </w:p>
    <w:p w14:paraId="565AEA50" w14:textId="77777777" w:rsidR="00003F6A" w:rsidRPr="003D2D46" w:rsidRDefault="00003F6A" w:rsidP="00EE2A89">
      <w:pPr>
        <w:pStyle w:val="Heading3"/>
        <w:rPr>
          <w:rFonts w:ascii="Times New Roman" w:hAnsi="Times New Roman" w:cs="Times New Roman"/>
          <w:color w:val="000000" w:themeColor="text1"/>
          <w:szCs w:val="24"/>
        </w:rPr>
      </w:pPr>
      <w:r w:rsidRPr="003D2D46">
        <w:rPr>
          <w:rFonts w:ascii="Times New Roman" w:hAnsi="Times New Roman" w:cs="Times New Roman"/>
          <w:color w:val="000000" w:themeColor="text1"/>
          <w:szCs w:val="24"/>
        </w:rPr>
        <w:br w:type="page"/>
      </w:r>
    </w:p>
    <w:p w14:paraId="78DBF320" w14:textId="77777777" w:rsidR="000D1486" w:rsidRPr="003D2D46" w:rsidRDefault="000D1486">
      <w:pPr>
        <w:pStyle w:val="Heading2"/>
        <w:spacing w:line="480" w:lineRule="auto"/>
        <w:rPr>
          <w:rFonts w:cs="Times New Roman"/>
          <w:color w:val="000000" w:themeColor="text1"/>
          <w:szCs w:val="24"/>
        </w:rPr>
      </w:pPr>
      <w:bookmarkStart w:id="90" w:name="_Toc82445524"/>
      <w:bookmarkStart w:id="91" w:name="_Toc87797087"/>
      <w:r w:rsidRPr="003D2D46">
        <w:rPr>
          <w:rFonts w:cs="Times New Roman"/>
          <w:color w:val="000000" w:themeColor="text1"/>
          <w:szCs w:val="24"/>
        </w:rPr>
        <w:lastRenderedPageBreak/>
        <w:t>3.1 Disclosure</w:t>
      </w:r>
      <w:bookmarkEnd w:id="90"/>
      <w:bookmarkEnd w:id="91"/>
    </w:p>
    <w:p w14:paraId="290AFA54" w14:textId="4FDF7EC3" w:rsidR="000D1486" w:rsidRPr="003D2D46" w:rsidRDefault="00C81385" w:rsidP="00E547A1">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version of this chapter was published </w:t>
      </w:r>
      <w:r w:rsidR="00EF6B30" w:rsidRPr="003D2D46">
        <w:rPr>
          <w:rFonts w:ascii="Times New Roman" w:hAnsi="Times New Roman" w:cs="Times New Roman"/>
          <w:color w:val="000000" w:themeColor="text1"/>
        </w:rPr>
        <w:t>in BMC Public Health</w:t>
      </w:r>
      <w:r w:rsidRPr="003D2D46">
        <w:rPr>
          <w:rFonts w:ascii="Times New Roman" w:hAnsi="Times New Roman" w:cs="Times New Roman"/>
          <w:color w:val="000000" w:themeColor="text1"/>
        </w:rPr>
        <w:t>.</w:t>
      </w:r>
      <w:r w:rsidR="000D1486" w:rsidRPr="003D2D46">
        <w:rPr>
          <w:rFonts w:ascii="Times New Roman" w:hAnsi="Times New Roman" w:cs="Times New Roman"/>
          <w:color w:val="000000" w:themeColor="text1"/>
        </w:rPr>
        <w:t xml:space="preserve"> The full citation is: </w:t>
      </w:r>
    </w:p>
    <w:p w14:paraId="25322AFB" w14:textId="77777777" w:rsidR="000D1486" w:rsidRPr="003D2D46" w:rsidRDefault="000D1486" w:rsidP="00580A15">
      <w:pPr>
        <w:spacing w:line="480" w:lineRule="auto"/>
        <w:rPr>
          <w:rFonts w:ascii="Times New Roman" w:hAnsi="Times New Roman" w:cs="Times New Roman"/>
          <w:color w:val="000000" w:themeColor="text1"/>
        </w:rPr>
      </w:pPr>
    </w:p>
    <w:p w14:paraId="10A79715" w14:textId="16D6B168" w:rsidR="00C81385" w:rsidRPr="003D2D46" w:rsidRDefault="00C81385" w:rsidP="00580A15">
      <w:pPr>
        <w:spacing w:line="480" w:lineRule="auto"/>
        <w:rPr>
          <w:rFonts w:ascii="Times New Roman" w:hAnsi="Times New Roman" w:cs="Times New Roman"/>
          <w:color w:val="333333"/>
          <w:shd w:val="clear" w:color="auto" w:fill="FFFFFF"/>
        </w:rPr>
      </w:pPr>
      <w:r w:rsidRPr="003D2D46">
        <w:rPr>
          <w:rFonts w:ascii="Times New Roman" w:hAnsi="Times New Roman" w:cs="Times New Roman"/>
          <w:color w:val="000000" w:themeColor="text1"/>
        </w:rPr>
        <w:t xml:space="preserve">Corinne B. Tandy, Jennifer M. Jabson Tree. Attitudes of East Tennessee residents towards general and pertussis vaccination: a qualitative study. </w:t>
      </w:r>
      <w:r w:rsidRPr="003D2D46">
        <w:rPr>
          <w:rFonts w:ascii="Times New Roman" w:hAnsi="Times New Roman" w:cs="Times New Roman"/>
          <w:i/>
          <w:color w:val="000000" w:themeColor="text1"/>
        </w:rPr>
        <w:t xml:space="preserve">BMC Public Health </w:t>
      </w:r>
      <w:r w:rsidRPr="003D2D46">
        <w:rPr>
          <w:rFonts w:ascii="Times New Roman" w:hAnsi="Times New Roman" w:cs="Times New Roman"/>
          <w:color w:val="000000" w:themeColor="text1"/>
        </w:rPr>
        <w:t>21:446 (2021)</w:t>
      </w:r>
      <w:r w:rsidR="00217173" w:rsidRPr="003D2D46">
        <w:rPr>
          <w:rFonts w:ascii="Times New Roman" w:hAnsi="Times New Roman" w:cs="Times New Roman"/>
          <w:color w:val="000000" w:themeColor="text1"/>
        </w:rPr>
        <w:t xml:space="preserve">. </w:t>
      </w:r>
      <w:hyperlink r:id="rId9" w:history="1">
        <w:r w:rsidR="00217173" w:rsidRPr="003D2D46">
          <w:rPr>
            <w:rStyle w:val="Hyperlink"/>
            <w:rFonts w:ascii="Times New Roman" w:hAnsi="Times New Roman" w:cs="Times New Roman"/>
            <w:shd w:val="clear" w:color="auto" w:fill="FFFFFF"/>
          </w:rPr>
          <w:t>https://doi.org/10.1186/s12889-021-10465-w</w:t>
        </w:r>
      </w:hyperlink>
      <w:r w:rsidR="00217173" w:rsidRPr="003D2D46">
        <w:rPr>
          <w:rFonts w:ascii="Times New Roman" w:hAnsi="Times New Roman" w:cs="Times New Roman"/>
          <w:color w:val="000000" w:themeColor="text1"/>
        </w:rPr>
        <w:t>.</w:t>
      </w:r>
    </w:p>
    <w:p w14:paraId="2C9F0F7A" w14:textId="77777777" w:rsidR="00217173" w:rsidRPr="003D2D46" w:rsidRDefault="00217173" w:rsidP="00580A15">
      <w:pPr>
        <w:spacing w:line="480" w:lineRule="auto"/>
        <w:rPr>
          <w:rFonts w:ascii="Times New Roman" w:hAnsi="Times New Roman" w:cs="Times New Roman"/>
          <w:color w:val="000000" w:themeColor="text1"/>
        </w:rPr>
      </w:pPr>
    </w:p>
    <w:p w14:paraId="085BC771" w14:textId="77777777" w:rsidR="00C81385" w:rsidRPr="003D2D46" w:rsidRDefault="00C81385" w:rsidP="00580A15">
      <w:pPr>
        <w:spacing w:line="480" w:lineRule="auto"/>
        <w:rPr>
          <w:rFonts w:ascii="Times New Roman" w:hAnsi="Times New Roman" w:cs="Times New Roman"/>
          <w:color w:val="000000" w:themeColor="text1"/>
        </w:rPr>
      </w:pPr>
    </w:p>
    <w:p w14:paraId="43FEE01D" w14:textId="77777777" w:rsidR="000D1486" w:rsidRPr="003D2D46" w:rsidRDefault="000D148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My primary contribution to this paper included data collection, data analysis, interpretation of results, and the preparation of the manuscript. Dr. Jennifer Jabson Tree was involved in the development of study design, research materials, and preparation of the manuscript. </w:t>
      </w:r>
    </w:p>
    <w:p w14:paraId="23E89CDE" w14:textId="77777777" w:rsidR="00FA75A5" w:rsidRPr="003D2D46" w:rsidRDefault="000D148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FA242F2" w14:textId="294E0729" w:rsidR="00FF1665" w:rsidRPr="003D2D46" w:rsidRDefault="005529ED" w:rsidP="004F0890">
      <w:pPr>
        <w:pStyle w:val="Heading2"/>
        <w:spacing w:line="480" w:lineRule="auto"/>
        <w:rPr>
          <w:rFonts w:cs="Times New Roman"/>
        </w:rPr>
      </w:pPr>
      <w:bookmarkStart w:id="92" w:name="_Toc289175826"/>
      <w:bookmarkStart w:id="93" w:name="_Toc82445525"/>
      <w:bookmarkStart w:id="94" w:name="_Toc87797088"/>
      <w:r w:rsidRPr="003D2D46">
        <w:rPr>
          <w:rFonts w:cs="Times New Roman"/>
          <w:color w:val="000000" w:themeColor="text1"/>
          <w:szCs w:val="24"/>
        </w:rPr>
        <w:lastRenderedPageBreak/>
        <w:t>3</w:t>
      </w:r>
      <w:r w:rsidR="004B759B" w:rsidRPr="003D2D46">
        <w:rPr>
          <w:rFonts w:cs="Times New Roman"/>
          <w:color w:val="000000" w:themeColor="text1"/>
          <w:szCs w:val="24"/>
        </w:rPr>
        <w:t>.</w:t>
      </w:r>
      <w:r w:rsidR="000D1486" w:rsidRPr="003D2D46">
        <w:rPr>
          <w:rFonts w:cs="Times New Roman"/>
          <w:color w:val="000000" w:themeColor="text1"/>
          <w:szCs w:val="24"/>
        </w:rPr>
        <w:t>2</w:t>
      </w:r>
      <w:r w:rsidR="004B759B" w:rsidRPr="003D2D46">
        <w:rPr>
          <w:rFonts w:cs="Times New Roman"/>
          <w:color w:val="000000" w:themeColor="text1"/>
          <w:szCs w:val="24"/>
        </w:rPr>
        <w:t xml:space="preserve"> </w:t>
      </w:r>
      <w:r w:rsidR="00FA75A5" w:rsidRPr="003D2D46">
        <w:rPr>
          <w:rFonts w:cs="Times New Roman"/>
          <w:color w:val="000000" w:themeColor="text1"/>
          <w:szCs w:val="24"/>
        </w:rPr>
        <w:t>A</w:t>
      </w:r>
      <w:r w:rsidR="00FF1665" w:rsidRPr="003D2D46">
        <w:rPr>
          <w:rFonts w:cs="Times New Roman"/>
          <w:color w:val="000000" w:themeColor="text1"/>
          <w:szCs w:val="24"/>
        </w:rPr>
        <w:t>bstract</w:t>
      </w:r>
      <w:bookmarkEnd w:id="92"/>
      <w:bookmarkEnd w:id="93"/>
      <w:bookmarkEnd w:id="94"/>
      <w:r w:rsidR="003C7FC5" w:rsidRPr="003D2D46">
        <w:rPr>
          <w:rFonts w:cs="Times New Roman"/>
          <w:color w:val="000000" w:themeColor="text1"/>
          <w:szCs w:val="24"/>
        </w:rPr>
        <w:tab/>
      </w:r>
    </w:p>
    <w:p w14:paraId="2EEEF3DD" w14:textId="69DC9C0B" w:rsidR="002D463A" w:rsidRPr="003D2D46" w:rsidRDefault="002D463A">
      <w:pPr>
        <w:spacing w:line="480" w:lineRule="auto"/>
        <w:rPr>
          <w:rFonts w:ascii="Times New Roman" w:hAnsi="Times New Roman" w:cs="Times New Roman"/>
          <w:color w:val="000000" w:themeColor="text1"/>
        </w:rPr>
      </w:pPr>
      <w:bookmarkStart w:id="95" w:name="_Toc289175827"/>
      <w:r w:rsidRPr="003D2D46">
        <w:rPr>
          <w:rFonts w:ascii="Times New Roman" w:hAnsi="Times New Roman" w:cs="Times New Roman"/>
          <w:b/>
          <w:bCs/>
          <w:color w:val="000000" w:themeColor="text1"/>
        </w:rPr>
        <w:t>Background.</w:t>
      </w:r>
      <w:r w:rsidRPr="003D2D46">
        <w:rPr>
          <w:rFonts w:ascii="Times New Roman" w:hAnsi="Times New Roman" w:cs="Times New Roman"/>
          <w:color w:val="000000" w:themeColor="text1"/>
        </w:rPr>
        <w:t xml:space="preserve"> Despite vaccination being one of the safest and most successful public health tools to control infectious diseases, some people still doubt the efficacy and safety of vaccines. In order to address vaccine hesitancy and anti-vaccination sentiment</w:t>
      </w:r>
      <w:r w:rsidR="00217173"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 xml:space="preserve">, it is necessary to understand vaccination attitude development and vaccination behaviors. The objective of this project was to </w:t>
      </w:r>
      <w:r w:rsidRPr="003D2D46">
        <w:rPr>
          <w:rFonts w:ascii="Times New Roman" w:eastAsia="Calibri" w:hAnsi="Times New Roman" w:cs="Times New Roman"/>
          <w:color w:val="000000" w:themeColor="text1"/>
        </w:rPr>
        <w:t xml:space="preserve">qualitatively investigate general vaccination attitudes and behavior with an additional emphasis on pertussis vaccination. </w:t>
      </w:r>
    </w:p>
    <w:p w14:paraId="200E36BC" w14:textId="77777777"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b/>
          <w:bCs/>
          <w:color w:val="000000" w:themeColor="text1"/>
        </w:rPr>
        <w:t>Methods.</w:t>
      </w:r>
      <w:r w:rsidRPr="003D2D46">
        <w:rPr>
          <w:rFonts w:ascii="Times New Roman" w:hAnsi="Times New Roman" w:cs="Times New Roman"/>
          <w:color w:val="000000" w:themeColor="text1"/>
        </w:rPr>
        <w:t xml:space="preserve"> To identify factors that influence attitudes toward vaccination and behaviors in East Tennessee, eleven one-on-one interviews were conducted with participants recruited through convenience and purposive sampling. Interview protocol and deductive codes were developed using the Triadic Theory of Influence as a theoretical framework. Interview transcripts were analyzed qualitatively and themes were identified through constant comparison of interviews, considering both deductively and inductively coded data. </w:t>
      </w:r>
    </w:p>
    <w:p w14:paraId="5C568EC8" w14:textId="31758B15"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b/>
          <w:bCs/>
          <w:color w:val="000000" w:themeColor="text1"/>
        </w:rPr>
        <w:t>Results.</w:t>
      </w:r>
      <w:r w:rsidRPr="003D2D46">
        <w:rPr>
          <w:rFonts w:ascii="Times New Roman" w:hAnsi="Times New Roman" w:cs="Times New Roman"/>
          <w:color w:val="000000" w:themeColor="text1"/>
        </w:rPr>
        <w:t xml:space="preserve"> Most participants (8) held positive attitudes towards vaccination. Participants (8) comfortable with vaccinating themselves or their children said they followed recommendations of doctors. Vaccine hesitant participants’ (3) most frequently cited concern was safety concern</w:t>
      </w:r>
      <w:r w:rsidR="00217173"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 xml:space="preserve"> about side effects. These participants also reported that they referenced non-academic or professional sources and felt confident about their knowledge of vaccines and diseases. Vaccine hesitant participants had low perception of risk of vaccine-preventable diseases, particularly pertussis. Participants with children </w:t>
      </w:r>
      <w:r w:rsidRPr="003D2D46">
        <w:rPr>
          <w:rFonts w:ascii="Times New Roman" w:hAnsi="Times New Roman" w:cs="Times New Roman"/>
          <w:color w:val="000000" w:themeColor="text1"/>
        </w:rPr>
        <w:lastRenderedPageBreak/>
        <w:t xml:space="preserve">reported that friends and family were influential when deciding to vaccinate their children. </w:t>
      </w:r>
    </w:p>
    <w:p w14:paraId="7FB0693E" w14:textId="694B3C5E" w:rsidR="002D463A" w:rsidRPr="003D2D46" w:rsidRDefault="002D463A" w:rsidP="000F5D77">
      <w:pPr>
        <w:spacing w:line="480" w:lineRule="auto"/>
        <w:rPr>
          <w:rFonts w:ascii="Times New Roman" w:eastAsia="Calibri" w:hAnsi="Times New Roman" w:cs="Times New Roman"/>
          <w:color w:val="000000" w:themeColor="text1"/>
        </w:rPr>
      </w:pPr>
      <w:r w:rsidRPr="003D2D46">
        <w:rPr>
          <w:rFonts w:ascii="Times New Roman" w:hAnsi="Times New Roman" w:cs="Times New Roman"/>
          <w:b/>
          <w:bCs/>
          <w:color w:val="000000" w:themeColor="text1"/>
        </w:rPr>
        <w:t>Conclusions.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This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study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identified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themes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attitudes towards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 participants recruited 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East Tennessee</w:t>
      </w:r>
      <w:r w:rsidRPr="003D2D46">
        <w:rPr>
          <w:rFonts w:ascii="Times New Roman" w:hAnsi="Times New Roman" w:cs="Times New Roman"/>
          <w:color w:val="000000" w:themeColor="text1"/>
        </w:rPr>
        <w:t xml:space="preserve">. We found that </w:t>
      </w:r>
      <w:r w:rsidRPr="003D2D46">
        <w:rPr>
          <w:rFonts w:ascii="Times New Roman" w:eastAsia="Calibri" w:hAnsi="Times New Roman" w:cs="Times New Roman"/>
          <w:color w:val="000000" w:themeColor="text1"/>
        </w:rPr>
        <w:t xml:space="preserve">risk perception and family and social group attitudes were the primary influences on vaccination decision making. We recommend that future </w:t>
      </w:r>
      <w:r w:rsidR="00217173" w:rsidRPr="003D2D46">
        <w:rPr>
          <w:rFonts w:ascii="Times New Roman" w:eastAsia="Calibri" w:hAnsi="Times New Roman" w:cs="Times New Roman"/>
          <w:color w:val="000000" w:themeColor="text1"/>
        </w:rPr>
        <w:t xml:space="preserve">studies </w:t>
      </w:r>
      <w:r w:rsidRPr="003D2D46">
        <w:rPr>
          <w:rFonts w:ascii="Times New Roman" w:eastAsia="Calibri" w:hAnsi="Times New Roman" w:cs="Times New Roman"/>
          <w:color w:val="000000" w:themeColor="text1"/>
        </w:rPr>
        <w:t xml:space="preserve">include anti-vaccination participants and </w:t>
      </w:r>
      <w:r w:rsidR="008820EB" w:rsidRPr="003D2D46">
        <w:rPr>
          <w:rFonts w:ascii="Times New Roman" w:eastAsia="Calibri" w:hAnsi="Times New Roman" w:cs="Times New Roman"/>
          <w:color w:val="000000" w:themeColor="text1"/>
        </w:rPr>
        <w:t xml:space="preserve">should </w:t>
      </w:r>
      <w:r w:rsidRPr="003D2D46">
        <w:rPr>
          <w:rFonts w:ascii="Times New Roman" w:eastAsia="Calibri" w:hAnsi="Times New Roman" w:cs="Times New Roman"/>
          <w:color w:val="000000" w:themeColor="text1"/>
        </w:rPr>
        <w:t>further explore the relationship between perception of one’s own knowledge and health behaviors.</w:t>
      </w:r>
    </w:p>
    <w:p w14:paraId="2DC26084" w14:textId="77777777" w:rsidR="001800FD" w:rsidRPr="003D2D46" w:rsidRDefault="001800FD" w:rsidP="008C0934">
      <w:pPr>
        <w:spacing w:line="480" w:lineRule="auto"/>
        <w:rPr>
          <w:rFonts w:ascii="Times New Roman" w:hAnsi="Times New Roman" w:cs="Times New Roman"/>
          <w:color w:val="000000" w:themeColor="text1"/>
        </w:rPr>
      </w:pPr>
    </w:p>
    <w:p w14:paraId="14FD7E80" w14:textId="77777777" w:rsidR="00FF1665" w:rsidRPr="003D2D46" w:rsidRDefault="005529ED" w:rsidP="005043F7">
      <w:pPr>
        <w:pStyle w:val="Heading2"/>
        <w:spacing w:before="0" w:after="0" w:line="480" w:lineRule="auto"/>
        <w:rPr>
          <w:rFonts w:cs="Times New Roman"/>
          <w:color w:val="000000" w:themeColor="text1"/>
          <w:szCs w:val="24"/>
        </w:rPr>
      </w:pPr>
      <w:bookmarkStart w:id="96" w:name="_Toc82445526"/>
      <w:bookmarkStart w:id="97" w:name="_Toc87797089"/>
      <w:bookmarkEnd w:id="95"/>
      <w:r w:rsidRPr="003D2D46">
        <w:rPr>
          <w:rFonts w:cs="Times New Roman"/>
          <w:color w:val="000000" w:themeColor="text1"/>
          <w:szCs w:val="24"/>
        </w:rPr>
        <w:t>3</w:t>
      </w:r>
      <w:r w:rsidR="004B759B" w:rsidRPr="003D2D46">
        <w:rPr>
          <w:rFonts w:cs="Times New Roman"/>
          <w:color w:val="000000" w:themeColor="text1"/>
          <w:szCs w:val="24"/>
        </w:rPr>
        <w:t>.</w:t>
      </w:r>
      <w:r w:rsidR="000D1486" w:rsidRPr="003D2D46">
        <w:rPr>
          <w:rFonts w:cs="Times New Roman"/>
          <w:color w:val="000000" w:themeColor="text1"/>
          <w:szCs w:val="24"/>
        </w:rPr>
        <w:t>3</w:t>
      </w:r>
      <w:r w:rsidR="004B759B" w:rsidRPr="003D2D46">
        <w:rPr>
          <w:rFonts w:cs="Times New Roman"/>
          <w:color w:val="000000" w:themeColor="text1"/>
          <w:szCs w:val="24"/>
        </w:rPr>
        <w:t xml:space="preserve"> </w:t>
      </w:r>
      <w:r w:rsidR="002D463A" w:rsidRPr="003D2D46">
        <w:rPr>
          <w:rFonts w:cs="Times New Roman"/>
          <w:color w:val="000000" w:themeColor="text1"/>
          <w:szCs w:val="24"/>
        </w:rPr>
        <w:t>Background</w:t>
      </w:r>
      <w:bookmarkEnd w:id="96"/>
      <w:bookmarkEnd w:id="97"/>
    </w:p>
    <w:p w14:paraId="5BEAA01B" w14:textId="093418D7" w:rsidR="002D463A" w:rsidRPr="003D2D46" w:rsidRDefault="002D463A" w:rsidP="00580A15">
      <w:pPr>
        <w:spacing w:line="480" w:lineRule="auto"/>
        <w:contextualSpacing/>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The United States and Europe are experiencing a return of vaccine-preventable diseases which has been attributed to anti-vaccine movements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{"citationItems":[{"id":"ITEM-1","itemData":{"DOI":"10.1038/s41390-019-0354-3","ISSN":"15300447","author":[{"dropping-particle":"","family":"Hotez","given":"Peter","non-dropping-particle":"","parse-names":false,"suffix":""}],"container-title":"Pediatric Research","id":"ITEM-1","issue":"7","issued":{"date-parts":[["2019","6"]]},"page":"912-914","publisher":"Nature Publishing Group","title":"America and Europe’s new normal: the return of vaccine-preventable diseases","type":"article","volume":"85"},"uris":["http://www.mendeley.com/documents/?uuid=be327a4c-20c6-44c0-b5ca-391e13c9a9dd"]}],"mendeley":{"formattedCitation":"(Hotez, 2019)","plainTextFormattedCitation":"(Hotez, 2019)","previouslyFormattedCitation":"(Hotez,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(Hotez,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The United States has experienced multiple measles outbreaks among mostly unvaccinated persons. Additionally, in 2018, the United States had one of the worst influenza seasons in decades; it is estimated that 80,000 people died, including many children who were not vaccinated despite ACIP recommendations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{"citationItems":[{"id":"ITEM-1","itemData":{"DOI":"10.1038/s41390-019-0354-3","ISSN":"15300447","author":[{"dropping-particle":"","family":"Hotez","given":"Peter","non-dropping-particle":"","parse-names":false,"suffix":""}],"container-title":"Pediatric Research","id":"ITEM-1","issue":"7","issued":{"date-parts":[["2019","6"]]},"page":"912-914","publisher":"Nature Publishing Group","title":"America and Europe’s new normal: the return of vaccine-preventable diseases","type":"article","volume":"85"},"uris":["http://www.mendeley.com/documents/?uuid=be327a4c-20c6-44c0-b5ca-391e13c9a9dd"]}],"mendeley":{"formattedCitation":"(Hotez, 2019)","plainTextFormattedCitation":"(Hotez, 2019)","previouslyFormattedCitation":"(Hotez,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(Hotez,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w:t>
      </w:r>
    </w:p>
    <w:p w14:paraId="530D2112" w14:textId="77777777" w:rsidR="002D463A" w:rsidRPr="003D2D46" w:rsidRDefault="002D463A" w:rsidP="00580A15">
      <w:pPr>
        <w:spacing w:line="480" w:lineRule="auto"/>
        <w:rPr>
          <w:rFonts w:ascii="Times New Roman" w:eastAsia="Calibri" w:hAnsi="Times New Roman" w:cs="Times New Roman"/>
          <w:color w:val="000000" w:themeColor="text1"/>
        </w:rPr>
      </w:pPr>
    </w:p>
    <w:p w14:paraId="39BA93A5" w14:textId="673F09C7"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Vaccines are one of the safest and most successful tools to control and prevent infectious diseases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{"citationItems":[{"id":"ITEM-1","itemData":{"DOI":"10.1016/j.vaccine.2015.04.040","ISSN":"18732518","PMID":"25896383","abstract":"The SAGE Working Group on Vaccine Hesitancy concluded that vaccine hesitancy refers to delay in acceptance or refusal of vaccination despite availability of vaccination services. Vaccine hesitancy is complex and context specific, varying across time, place and vaccines. It is influenced by factors such as complacency, convenience and confidence. The Working Group retained the term 'vaccine' rather than 'vaccination' hesitancy, although the latter more correctly implies the broader range of immunization concerns, as vaccine hesitancy is the more commonly used term. While high levels of hesitancy lead to low vaccine demand, low levels of hesitancy do not necessarily mean high vaccine demand. The Vaccine Hesitancy Determinants Matrix displays the factors influencing the behavioral decision to accept, delay or reject some or all vaccines under three categories: contextual, individual and group, and vaccine/vaccination-specific influences.","author":[{"dropping-particle":"","family":"SAGE Working Group","given":"","non-dropping-particle":"","parse-names":false,"suffix":""}],"container-title":"Vaccine","id":"ITEM-1","issue":"34","issued":{"date-parts":[["2015"]]},"page":"4180-4190","publisher":"Elsevier Ltd","title":"Health communication and vaccine hesitancy","type":"article-journal","volume":"33"},"uris":["http://www.mendeley.com/documents/?uuid=68e58472-a6c0-4637-8681-c3d58a89a706","http://www.mendeley.com/documents/?uuid=8ffe1cd6-2033-4308-8cce-4b96096bf04f","http://www.mendeley.com/documents/?uuid=56741aa3-9593-479f-b40d-b5cd9e3374f0"]}],"mendeley":{"formattedCitation":"(SAGE Working Group, 2015)","plainTextFormattedCitation":"(SAGE Working Group, 2015)","previouslyFormattedCitation":"(SAGE Working Group, 2015)"},"properties":{"noteIndex":0},"schema":"https://github.com/citation-style-language/schema/raw/master/csl-citation.json"}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B804DB" w:rsidRPr="003D2D46">
        <w:rPr>
          <w:rFonts w:ascii="Times New Roman" w:eastAsia="Calibri" w:hAnsi="Times New Roman" w:cs="Times New Roman"/>
          <w:noProof/>
          <w:color w:val="000000" w:themeColor="text1"/>
        </w:rPr>
        <w:t>(SAGE Working Group, 2015)</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Despite this public health and medical truth evidenced by extensive empirical literature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{"citationItems":[{"id":"ITEM-1","itemData":{"DOI":"10.2471/BLT.07.040089","ISSN":"00429686","PMID":"18297169","abstract":"In low-income countries, infectious diseases still account for a large proportion of deaths, highlighting health inequities largely caused by economic differences. Vaccination can cut health-care costs and reduce these inequities. Disease control, elimination or eradication can save billions of US dollars for communities and countries. Vaccines have lowered the incidence of hepatocellular carcinoma and will control cervical cancer. Travellers can be protected against \"exotic\" diseases by appropriate vaccination. Vaccines are considered indispensable against bioterrorism. They can combat resistance to antibiotics in some pathogens. Noncommunicable diseases, such as ischaemic heart disease, could also be reduced by influenza vaccination. Immunization programmes have improved the primary care infrastructure in developing countries, lowered mortality in childhood and empowered women to better plan their families, with consequent health, social and economic benefits. Vaccination helps economic growth everywhere, because of lower morbidity and mortality. The annual return on investment in vaccination has been calculated to be between 12% and 18%. Vaccination leads to increased life expectancy. Long healthy lives are now recognized as a prerequisite for wealth, and wealth promotes health. Vaccines are thus efficient tools to reduce disparities in wealth and inequities in health.","author":[{"dropping-particle":"","family":"Andre","given":"F. E.","non-dropping-particle":"","parse-names":false,"suffix":""},{"dropping-particle":"","family":"Booy","given":"R.","non-dropping-particle":"","parse-names":false,"suffix":""},{"dropping-particle":"","family":"Bock","given":"H. L.","non-dropping-particle":"","parse-names":false,"suffix":""},{"dropping-particle":"","family":"Clemens","given":"J.","non-dropping-particle":"","parse-names":false,"suffix":""},{"dropping-particle":"","family":"Datta","given":"S. K.","non-dropping-particle":"","parse-names":false,"suffix":""},{"dropping-particle":"","family":"John","given":"T. J.","non-dropping-particle":"","parse-names":false,"suffix":""},{"dropping-particle":"","family":"Lee","given":"B. W.","non-dropping-particle":"","parse-names":false,"suffix":""},{"dropping-particle":"","family":"Lolekha","given":"S.","non-dropping-particle":"","parse-names":false,"suffix":""},{"dropping-particle":"","family":"Peltola","given":"H.","non-dropping-particle":"","parse-names":false,"suffix":""},{"dropping-particle":"","family":"Ruff","given":"T. A.","non-dropping-particle":"","parse-names":false,"suffix":""},{"dropping-particle":"","family":"Santosham","given":"M.","non-dropping-particle":"","parse-names":false,"suffix":""},{"dropping-particle":"","family":"Schmitt","given":"H. J.","non-dropping-particle":"","parse-names":false,"suffix":""}],"container-title":"Bulletin of the World Health Organization","id":"ITEM-1","issue":"2","issued":{"date-parts":[["2008"]]},"page":"140-146","title":"Vaccination greatly reduces disease, disability, death and inequity worldwide","type":"article-journal","volume":"86"},"uris":["http://www.mendeley.com/documents/?uuid=32f43a25-8021-4548-b382-023e7adedb2d","http://www.mendeley.com/documents/?uuid=d0420f26-56c2-4635-833b-900f361f4bc6","http://www.mendeley.com/documents/?uuid=c92b3c7f-17b2-4136-afaa-a1d418eb0b15"]}],"mendeley":{"formattedCitation":"(Andre et al., 2008)","plainTextFormattedCitation":"(Andre et al., 2008)","previouslyFormattedCitation":"(Andre et al., 2008)"},"properties":{"noteIndex":0},"schema":"https://github.com/citation-style-language/schema/raw/master/csl-citation.json"}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(Andre et al., 2008)</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doubt of vaccine efficacy as well as concerns over side effects by the general public has increased and has resulted in considerably lower vaccination coverage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{"citationItems":[{"id":"ITEM-1","itemData":{"DOI":"10.1016/j.vaccine.2015.04.040","ISSN":"18732518","PMID":"25896383","abstract":"The SAGE Working Group on Vaccine Hesitancy concluded that vaccine hesitancy refers to delay in acceptance or refusal of vaccination despite availability of vaccination services. Vaccine hesitancy is complex and context specific, varying across time, place and vaccines. It is influenced by factors such as complacency, convenience and confidence. The Working Group retained the term 'vaccine' rather than 'vaccination' hesitancy, although the latter more correctly implies the broader range of immunization concerns, as vaccine hesitancy is the more commonly used term. While high levels of hesitancy lead to low vaccine demand, low levels of hesitancy do not necessarily mean high vaccine demand. The Vaccine Hesitancy Determinants Matrix displays the factors influencing the behavioral decision to accept, delay or reject some or all vaccines under three categories: contextual, individual and group, and vaccine/vaccination-specific influences.","author":[{"dropping-particle":"","family":"SAGE Working Group","given":"","non-dropping-particle":"","parse-names":false,"suffix":""}],"container-title":"Vaccine","id":"ITEM-1","issue":"34","issued":{"date-parts":[["2015"]]},"page":"4180-4190","publisher":"Elsevier Ltd","title":"Health communication and vaccine hesitancy","type":"article-journal","volume":"33"},"uris":["http://www.mendeley.com/documents/?uuid=56741aa3-9593-479f-b40d-b5cd9e3374f0","http://www.mendeley.com/documents/?uuid=8ffe1cd6-2033-4308-8cce-4b96096bf04f","http://www.mendeley.com/documents/?uuid=68e58472-a6c0-4637-8681-c3d58a89a706"]}],"mendeley":{"formattedCitation":"(SAGE Working Group, 2015)","plainTextFormattedCitation":"(SAGE Working Group, 2015)","previouslyFormattedCitation":"(SAGE Working Group, 2015)"},"properties":{"noteIndex":0},"schema":"https://github.com/citation-style-language/schema/raw/master/csl-citation.json"}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B804DB" w:rsidRPr="003D2D46">
        <w:rPr>
          <w:rFonts w:ascii="Times New Roman" w:eastAsia="Calibri" w:hAnsi="Times New Roman" w:cs="Times New Roman"/>
          <w:noProof/>
          <w:color w:val="000000" w:themeColor="text1"/>
        </w:rPr>
        <w:t>(SAGE Working Group, 2015)</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This rise in </w:t>
      </w:r>
      <w:r w:rsidRPr="003D2D46">
        <w:rPr>
          <w:rFonts w:ascii="Times New Roman" w:eastAsia="Calibri" w:hAnsi="Times New Roman" w:cs="Times New Roman"/>
          <w:color w:val="000000" w:themeColor="text1"/>
        </w:rPr>
        <w:lastRenderedPageBreak/>
        <w:t>anti-vaccine sentiment has resulted in the World Health Organization (WHO) declaring vaccine hesitancy, defined as “</w:t>
      </w:r>
      <w:r w:rsidRPr="003D2D46">
        <w:rPr>
          <w:rFonts w:ascii="Times New Roman" w:hAnsi="Times New Roman" w:cs="Times New Roman"/>
          <w:color w:val="000000" w:themeColor="text1"/>
        </w:rPr>
        <w:t>the reluctance or refusal to vaccinate despite the availability of vaccines</w:t>
      </w:r>
      <w:r w:rsidRPr="003D2D46">
        <w:rPr>
          <w:rFonts w:ascii="Times New Roman" w:eastAsia="Calibri" w:hAnsi="Times New Roman" w:cs="Times New Roman"/>
          <w:color w:val="000000" w:themeColor="text1"/>
        </w:rPr>
        <w:t xml:space="preserve">”, as one of the top ten threats to global health in 2019 </w:t>
      </w:r>
      <w:r w:rsidRPr="003D2D46">
        <w:rPr>
          <w:rFonts w:ascii="Times New Roman" w:eastAsia="Calibri" w:hAnsi="Times New Roman" w:cs="Times New Roman"/>
          <w:color w:val="000000" w:themeColor="text1"/>
        </w:rPr>
        <w:fldChar w:fldCharType="begin" w:fldLock="1"/>
      </w:r>
      <w:r w:rsidR="00C607E9" w:rsidRPr="003D2D46">
        <w:rPr>
          <w:rFonts w:ascii="Times New Roman" w:eastAsia="Calibri" w:hAnsi="Times New Roman" w:cs="Times New Roman"/>
          <w:color w:val="000000" w:themeColor="text1"/>
        </w:rPr>
        <w:instrText>ADDIN CSL_CITATION {"citationItems":[{"id":"ITEM-1","itemData":{"URL":"https://www.who.int/news-room/spotlight/ten-threats-to-global-health-in-2019","accessed":{"date-parts":[["2021","11","14"]]},"author":[{"dropping-particle":"","family":"World Health Organization (WHO)","given":"","non-dropping-particle":"","parse-names":false,"suffix":""}],"id":"ITEM-1","issued":{"date-parts":[["2019"]]},"title":"Ten threats to global health in 2019","type":"webpage"},"uris":["http://www.mendeley.com/documents/?uuid=c8b077c4-2809-3913-bf58-85628249a218","http://www.mendeley.com/documents/?uuid=66878006-4ab5-43b2-9b8b-89d98732570a","http://www.mendeley.com/documents/?uuid=23b819d9-6c09-466c-af9e-ce5bcb4d96ba"]}],"mendeley":{"formattedCitation":"(World Health Organization (WHO), 2019)","plainTextFormattedCitation":"(World Health Organization (WHO), 2019)","previouslyFormattedCitation":"(World Health Organization (WHO),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4773FF" w:rsidRPr="003D2D46">
        <w:rPr>
          <w:rFonts w:ascii="Times New Roman" w:eastAsia="Calibri" w:hAnsi="Times New Roman" w:cs="Times New Roman"/>
          <w:noProof/>
          <w:color w:val="000000" w:themeColor="text1"/>
        </w:rPr>
        <w:t>(World Health Organization (WHO),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Efforts to understand the contributors to and the context within people make decisions about vaccinations is necessary for understanding how to address vaccine hesitancy. </w:t>
      </w:r>
    </w:p>
    <w:p w14:paraId="45BEEE31" w14:textId="77777777" w:rsidR="002D463A" w:rsidRPr="003D2D46" w:rsidRDefault="002D463A" w:rsidP="00580A15">
      <w:pPr>
        <w:spacing w:line="480" w:lineRule="auto"/>
        <w:contextualSpacing/>
        <w:rPr>
          <w:rFonts w:ascii="Times New Roman" w:eastAsia="Calibri" w:hAnsi="Times New Roman" w:cs="Times New Roman"/>
          <w:color w:val="000000" w:themeColor="text1"/>
        </w:rPr>
      </w:pPr>
    </w:p>
    <w:p w14:paraId="3CEF9E46" w14:textId="3225F52F" w:rsidR="004F499F" w:rsidRPr="003D2D46" w:rsidRDefault="005529ED" w:rsidP="004F0890">
      <w:pPr>
        <w:pStyle w:val="Heading41111"/>
        <w:spacing w:line="480" w:lineRule="auto"/>
        <w:rPr>
          <w:rFonts w:eastAsia="Calibri" w:cs="Times New Roman"/>
          <w:color w:val="000000" w:themeColor="text1"/>
        </w:rPr>
      </w:pPr>
      <w:bookmarkStart w:id="98" w:name="_Toc82445527"/>
      <w:bookmarkStart w:id="99" w:name="_Toc87797090"/>
      <w:r w:rsidRPr="003D2D46">
        <w:rPr>
          <w:rFonts w:eastAsia="Calibri" w:cs="Times New Roman"/>
          <w:color w:val="000000" w:themeColor="text1"/>
        </w:rPr>
        <w:t>3.</w:t>
      </w:r>
      <w:r w:rsidR="000D1486" w:rsidRPr="003D2D46">
        <w:rPr>
          <w:rFonts w:eastAsia="Calibri" w:cs="Times New Roman"/>
          <w:color w:val="000000" w:themeColor="text1"/>
        </w:rPr>
        <w:t>3</w:t>
      </w:r>
      <w:r w:rsidRPr="003D2D46">
        <w:rPr>
          <w:rFonts w:eastAsia="Calibri" w:cs="Times New Roman"/>
          <w:color w:val="000000" w:themeColor="text1"/>
        </w:rPr>
        <w:t xml:space="preserve">.1 </w:t>
      </w:r>
      <w:r w:rsidR="002D463A" w:rsidRPr="003D2D46">
        <w:rPr>
          <w:rFonts w:cs="Times New Roman"/>
          <w:color w:val="000000" w:themeColor="text1"/>
        </w:rPr>
        <w:t>Vaccination</w:t>
      </w:r>
      <w:r w:rsidR="002D463A" w:rsidRPr="003D2D46">
        <w:rPr>
          <w:rFonts w:eastAsia="Calibri" w:cs="Times New Roman"/>
          <w:color w:val="000000" w:themeColor="text1"/>
        </w:rPr>
        <w:t xml:space="preserve"> Attitudes</w:t>
      </w:r>
      <w:bookmarkEnd w:id="98"/>
      <w:bookmarkEnd w:id="99"/>
    </w:p>
    <w:p w14:paraId="4F97BF71" w14:textId="1F1D514C" w:rsidR="002D463A" w:rsidRPr="003D2D46" w:rsidRDefault="002D463A">
      <w:pPr>
        <w:spacing w:line="480" w:lineRule="auto"/>
        <w:contextualSpacing/>
        <w:rPr>
          <w:rFonts w:ascii="Times New Roman" w:hAnsi="Times New Roman" w:cs="Times New Roman"/>
          <w:color w:val="000000" w:themeColor="text1"/>
        </w:rPr>
      </w:pPr>
      <w:r w:rsidRPr="003D2D46">
        <w:rPr>
          <w:rFonts w:ascii="Times New Roman" w:eastAsia="Calibri" w:hAnsi="Times New Roman" w:cs="Times New Roman"/>
          <w:color w:val="000000" w:themeColor="text1"/>
        </w:rPr>
        <w:t>Immunization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complicated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difficult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assess</w:t>
      </w:r>
      <w:r w:rsidRPr="003D2D46">
        <w:rPr>
          <w:rFonts w:ascii="Times New Roman" w:hAnsi="Times New Roman" w:cs="Times New Roman"/>
          <w:color w:val="000000" w:themeColor="text1"/>
        </w:rPr>
        <w:t xml:space="preserve">. The most commonly cited reason for receiving vaccines given by those who support vaccination is that they are recommended by healthcare professionals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Medicine","id":"ITEM-1","issued":{"date-parts":[["2014"]]},"page":"1-11","publisher":"Elsevier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Yaqub et al., 2014)","plainTextFormattedCitation":"(Yaqub et al., 2014)","previouslyFormattedCitation":"(Yaqub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(Yaqub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However, f</w:t>
      </w:r>
      <w:r w:rsidRPr="003D2D46">
        <w:rPr>
          <w:rFonts w:ascii="Times New Roman" w:eastAsia="Calibri" w:hAnsi="Times New Roman" w:cs="Times New Roman"/>
          <w:color w:val="000000" w:themeColor="text1"/>
        </w:rPr>
        <w:t>ear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induced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illness and side-effects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become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major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barrier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acceptance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adherence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{"citationItems":[{"id":"ITEM-1","itemData":{"DOI":"10.1007/978-1-4614-7438-8_1","author":[{"dropping-particle":"","family":"Jana","given":"Laura A.","non-dropping-particle":"","parse-names":false,"suffix":""},{"dropping-particle":"","family":"Osborn","given":"June E.","non-dropping-particle":"","parse-names":false,"suffix":""}],"container-title":"Vaccinophobia and Vaccine Controversies of the 21st Century","id":"ITEM-1","issued":{"date-parts":[["2013"]]},"page":"1-13","publisher":"Springer New York","publisher-place":"New York, NY","title":"The History of Vaccine Challenges: Conquering Diseases, Plagued by Controversy","type":"chapter"},"uris":["http://www.mendeley.com/documents/?uuid=5c0a05bf-1a08-4d31-8325-ab5f649343e5","http://www.mendeley.com/documents/?uuid=50794520-178e-437c-b102-baff26c6d52e","http://www.mendeley.com/documents/?uuid=e4835470-352d-3f62-8582-bd63b3798a74"]},{"id":"ITEM-2","itemData":{"DOI":"10.7759/cureus.2919","author":[{"dropping-particle":"","family":"Hussain","given":"Azhar","non-dropping-particle":"","parse-names":false,"suffix":""},{"dropping-particle":"","family":"Ali","given":"Syed","non-dropping-particle":"","parse-names":false,"suffix":""},{"dropping-particle":"","family":"Ahmed","given":"Madiha","non-dropping-particle":"","parse-names":false,"suffix":""},{"dropping-particle":"","family":"Hussain","given":"Sheharyar","non-dropping-particle":"","parse-names":false,"suffix":""}],"container-title":"Cureus","id":"ITEM-2","issue":"7","issued":{"date-parts":[["2018"]]},"page":"e2919","title":"The Anti-vaccination Movement: A Regression in Modern Medicine","type":"article-journal","volume":"10"},"uris":["http://www.mendeley.com/documents/?uuid=cb24c434-04e1-4baa-88ec-aa71f29aa2a1","http://www.mendeley.com/documents/?uuid=c8e7e985-9577-4539-932d-b84ab0d1c91c","http://www.mendeley.com/documents/?uuid=d73b61a6-3ffd-3dad-b375-9d297fd7ed12","http://www.mendeley.com/documents/?uuid=92205490-649c-4ce7-a9d5-ccc1caa78940","http://www.mendeley.com/documents/?uuid=17e2aec2-1150-47ef-87f5-c7cd966c7091"]},{"id":"ITEM-3","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Medicine","id":"ITEM-3","issued":{"date-parts":[["2014"]]},"page":"1-11","publisher":"Elsevier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http://www.mendeley.com/documents/?uuid=5849cbba-b2ac-43a3-8bd3-ed358256bfb8","http://www.mendeley.com/documents/?uuid=b804aa7d-a251-450a-900d-230172a7b6a6"]}],"mendeley":{"formattedCitation":"(Jana &amp; Osborn, 2013; Yaqub et al., 2014; Hussain et al., 2018)","plainTextFormattedCitation":"(Jana &amp; Osborn, 2013; Yaqub et al., 2014; Hussain et al., 2018)","previouslyFormattedCitation":"(Jana &amp; Osborn, 2013; Yaqub et al., 2014; Hussain et al., 2018)"},"properties":{"noteIndex":0},"schema":"https://github.com/citation-style-language/schema/raw/master/csl-citation.json"}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0C1FD1" w:rsidRPr="003D2D46">
        <w:rPr>
          <w:rFonts w:ascii="Times New Roman" w:eastAsia="Calibri" w:hAnsi="Times New Roman" w:cs="Times New Roman"/>
          <w:noProof/>
          <w:color w:val="000000" w:themeColor="text1"/>
        </w:rPr>
        <w:t>(Jana &amp; Osborn, 2013; Yaqub et al., 2014; Hussain et al., 2018)</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xml:space="preserve">. There is evidence that safety is a major concern of parents when deciding to vaccinate their children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{"citationItems":[{"id":"ITEM-1","itemData":{"DOI":"10.1016/j.vaccine.2015.04.041","ISSN":"18732518","abstract":"When faced with vaccine hesitancy, public health authorities are looking for effective strategies to address this issue. In this paper, the findings of 15 published literature reviews or meta-analysis that have examined the effectiveness of different interventions to reduce vaccine hesitancy and/or to enhance vaccine acceptance are presented and discussed. From the literature, there is no strong evidence to recommend any specific intervention to address vaccine hesitancy/refusal. The reviewed studies included interventions with diverse content and approaches that were implemented in different settings and targeted various populations. Few interventions were directly targeted to vaccine hesitant individuals. Given the paucity of information on effective strategies to address vaccine hesitancy, when interventions are implemented, planning a rigorous evaluation of their impact on vaccine hesitancy/vaccine acceptance will be essential.","author":[{"dropping-particle":"","family":"Dubé","given":"Eve","non-dropping-particle":"","parse-names":false,"suffix":""},{"dropping-particle":"","family":"Gagnon","given":"Dominique","non-dropping-particle":"","parse-names":false,"suffix":""},{"dropping-particle":"","family":"MacDonald","given":"Noni 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non-dropping-particle":"","parse-names":false,"suffix":""},{"dropping-particle":"","family":"Gellin","given":"Bruce","non-dropping-particle":"","parse-names":false,"suffix":""},{"dropping-particle":"","family":"Goldstein","given":"Susan","non-dropping-particle":"","parse-names":false,"suffix":""},{"dropping-particle":"","family":"Larson","given":"Heidi","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non-dropping-particle":"","parse-names":false,"suffix":""},{"dropping-particle":"","family":"Schuster","given":"Melanie","non-dropping-particle":"","parse-names":false,"suffix":""}],"container-title":"Vaccine","id":"ITEM-1","issue":"34","issued":{"date-parts":[["2015","8"]]},"page":"4191-4203","publisher":"Elsevier Ltd","title":"Strategies intended to address vaccine hesitancy: Review of published reviews","type":"article-journal","volume":"33"},"uris":["http://www.mendeley.com/documents/?uuid=01a8060d-0d31-474c-a57e-1614894c6df0","http://www.mendeley.com/documents/?uuid=4305d102-a667-40b1-9393-9844fff71880","http://www.mendeley.com/documents/?uuid=68ed33ef-cf4c-30ef-83fd-f7ef4e028e2c"]},{"id":"ITEM-2","itemData":{"DOI":"10.1542/peds.2010-1722N","ISSN":"00314005","abstract":"OBJECTIVE: To describe the vaccine-related attitudes, concerns, and information sources of US parents of young children. METHODS: We calculated weighted proportions and 95% confidence intervals for vaccine-related attitudes, concerns, and information sources of parents with at least 1 child aged 6 years or younger who participated in the 2009 HealthStyles survey. RESULTS: The overall response rate for the survey was 65% (4556 of 7004); 475 respondents were parents or guardians (\"parents\") of at least 1 child aged 6 years or younger. Among those respondents, nearly all (93.4%) reported that their youngest child had or would receive all recommended vaccines. The majority of parents reported believing that vaccines were important to children's health (79.8%) and that they were either confident or very confident in vaccine safety (79.0%). The vaccine-related concern listed most often by parents was a child's pain from the shots given in 1 visit (44.2%), followed by a child getting too many vaccines at 1 doctor's visit (34.2%). When asked to list their most important sources of information on vaccines, the most common response was a child's doctor or nurse (81.7%). CONCLUSIONS: To maintain and improve on the success of childhood vaccines in preventing disease, a holistic approach is needed to address parents' concerns in an ongoing manner. Listening and responding in ways and with resources that address specific questions and concerns could help parents make more informed vaccination decisions. Copyright © 2011 by the American Academy of Pediatrics.","author":[{"dropping-particle":"","family":"Kennedy","given":"Allison","non-dropping-particle":"","parse-names":false,"suffix":""},{"dropping-particle":"","family":"Basket","given":"Michelle","non-dropping-particle":"","parse-names":false,"suffix":""},{"dropping-particle":"","family":"Sheedy","given":"Kristine","non-dropping-particle":"","parse-names":false,"suffix":""}],"container-title":"Pediatrics","id":"ITEM-2","issue":"SUPPL. 1","issued":{"date-parts":[["2011"]]},"page":"92-99","title":"Vaccine attitudes, concerns, and information sources reported by parents of young children: Results from the 2009 HealthStyles survey","type":"article-journal","volume":"127"},"uris":["http://www.mendeley.com/documents/?uuid=5b91922d-9f21-48bb-9435-09592c2d93af","http://www.mendeley.com/documents/?uuid=24f00262-9258-40e7-b3ff-f3b94df358f9","http://www.mendeley.com/documents/?uuid=4b1198e1-5f03-4be0-bba9-26bf4f11b686","http://www.mendeley.com/documents/?uuid=93bbf5ee-a7e7-4843-b9ff-d00e4a9a1402","http://www.mendeley.com/documents/?uuid=0e6b38a3-3421-4a14-b41f-473bab13f505"]},{"id":"ITEM-3","itemData":{"author":[{"dropping-particle":"","family":"Fredrickson","given":"DD","non-dropping-particle":"","parse-names":false,"suffix":""},{"dropping-particle":"","family":"Davis","given":"TC","non-dropping-particle":"","parse-names":false,"suffix":""},{"dropping-particle":"","family":"Arnold","given":"CL","non-dropping-particle":"","parse-names":false,"suffix":""},{"dropping-particle":"","family":"Kennen","given":"EM","non-dropping-particle":"","parse-names":false,"suffix":""},{"dropping-particle":"","family":"Humiston","given":"SG","non-dropping-particle":"","parse-names":false,"suffix":""},{"dropping-particle":"","family":"Cross","given":"JT","non-dropping-particle":"","parse-names":false,"suffix":""},{"dropping-particle":"","family":"Bocchini","given":"JA","non-dropping-particle":"","parse-names":false,"suffix":""}],"id":"ITEM-3","issued":{"date-parts":[["2004"]]},"page":"431-439","title":"Childhood Immunization Refusal: Provider and Parent Perceptions","type":"article-journal"},"uris":["http://www.mendeley.com/documents/?uuid=986f26f5-9a46-4d56-adb0-87111a55534a","http://www.mendeley.com/documents/?uuid=a1993670-4c04-4f19-88b4-d4f99834e7d3","http://www.mendeley.com/documents/?uuid=ee04e68a-3d9e-3d18-8b3c-abded83aac2d","http://www.mendeley.com/documents/?uuid=c71d4fff-291a-44db-8c9a-3b58d0131fa8","http://www.mendeley.com/documents/?uuid=c86fba9c-2505-497a-8173-a81527ad289d"]},{"id":"ITEM-4","itemData":{"DOI":"10.1177/0009922814548838","author":[{"dropping-particle":"","family":"Saada","given":"A","non-dropping-particle":"","parse-names":false,"suffix":""},{"dropping-particle":"","family":"Lieu","given":"TA","non-dropping-particle":"","parse-names":false,"suffix":""},{"dropping-particle":"","family":"Morain","given":"SR","non-dropping-particle":"","parse-names":false,"suffix":""},{"dropping-particle":"","family":"Zikmund-Fisher","given":"BJ","non-dropping-particle":"","parse-names":false,"suffix":""},{"dropping-particle":"","family":"Wittenberg","given":"E","non-dropping-particle":"","parse-names":false,"suffix":""}],"id":"ITEM-4","issued":{"date-parts":[["2015"]]},"page":"236-243","title":"Parents' Choices and Rationales for Alternative Vaccination Schedules: A Qualitative Study","type":"article-journal"},"uris":["http://www.mendeley.com/documents/?uuid=72c7799e-337c-45eb-bdc3-38323dcffe43","http://www.mendeley.com/documents/?uuid=2522bf1d-e19f-4061-bd77-0fc1c1d7b9fe","http://www.mendeley.com/documents/?uuid=11d50128-4c66-3ff5-a992-805e9c922fea","http://www.mendeley.com/documents/?uuid=b8390ffc-3ade-4b88-b102-1e1e41f1f0b2","http://www.mendeley.com/documents/?uuid=90380ca1-a771-40f9-a774-18a8cf61b6c8"]}],"mendeley":{"formattedCitation":"(Fredrickson et al., 2004; Kennedy, Basket &amp; Sheedy, 2011; Saada et al., 2015; Dubé et al., 2015)","plainTextFormattedCitation":"(Fredrickson et al., 2004; Kennedy, Basket &amp; Sheedy, 2011; Saada et al., 2015; Dubé et al., 2015)","previouslyFormattedCitation":"(Fredrickson et al., 2004; Kennedy, Basket &amp; Sheedy, 2011; Saada et al., 2015; Dubé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(Fredrickson et al., 2004; Kennedy, Basket &amp; Sheedy, 2011; Saada et al., 2015; Dubé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has also been identified as the most important consideration when making vaccine decisions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Fredrickson","given":"DD","non-dropping-particle":"","parse-names":false,"suffix":""},{"dropping-particle":"","family":"Davis","given":"TC","non-dropping-particle":"","parse-names":false,"suffix":""},{"dropping-particle":"","family":"Arnold","given":"CL","non-dropping-particle":"","parse-names":false,"suffix":""},{"dropping-particle":"","family":"Kennen","given":"EM","non-dropping-particle":"","parse-names":false,"suffix":""},{"dropping-particle":"","family":"Humiston","given":"SG","non-dropping-particle":"","parse-names":false,"suffix":""},{"dropping-particle":"","family":"Cross","given":"JT","non-dropping-particle":"","parse-names":false,"suffix":""},{"dropping-particle":"","family":"Bocchini","given":"JA","non-dropping-particle":"","parse-names":false,"suffix":""}],"id":"ITEM-1","issued":{"date-parts":[["2004"]]},"page":"431-439","title":"Childhood Immunization Refusal: Provider and Parent Perceptions","type":"article-journal"},"uris":["http://www.mendeley.com/documents/?uuid=986f26f5-9a46-4d56-adb0-87111a55534a","http://www.mendeley.com/documents/?uuid=a1993670-4c04-4f19-88b4-d4f99834e7d3","http://www.mendeley.com/documents/?uuid=ee04e68a-3d9e-3d18-8b3c-abded83aac2d"]},{"id":"ITEM-2","itemData":{"DOI":"10.1177/0009922814548838","author":[{"dropping-particle":"","family":"Saada","given":"A","non-dropping-particle":"","parse-names":false,"suffix":""},{"dropping-particle":"","family":"Lieu","given":"TA","non-dropping-particle":"","parse-names":false,"suffix":""},{"dropping-particle":"","family":"Morain","given":"SR","non-dropping-particle":"","parse-names":false,"suffix":""},{"dropping-particle":"","family":"Zikmund-Fisher","given":"BJ","non-dropping-particle":"","parse-names":false,"suffix":""},{"dropping-particle":"","family":"Wittenberg","given":"E","non-dropping-particle":"","parse-names":false,"suffix":""}],"id":"ITEM-2","issued":{"date-parts":[["2015"]]},"page":"236-243","title":"Parents' Choices and Rationales for Alternative Vaccination Schedules: A Qualitative Study","type":"article-journal"},"uris":["http://www.mendeley.com/documents/?uuid=72c7799e-337c-45eb-bdc3-38323dcffe43","http://www.mendeley.com/documents/?uuid=2522bf1d-e19f-4061-bd77-0fc1c1d7b9fe","http://www.mendeley.com/documents/?uuid=11d50128-4c66-3ff5-a992-805e9c922fea","http://www.mendeley.com/documents/?uuid=91603fa5-ee28-4275-8c4f-5830d00791f3","http://www.mendeley.com/documents/?uuid=8ae32ae1-a311-4f2d-9119-3a11275bec23"]},{"id":"ITEM-3","itemData":{"DOI":"10.1542/peds.2010-1722N","ISSN":"00314005","abstract":"OBJECTIVE: To describe the vaccine-related attitudes, concerns, and information sources of US parents of young children. METHODS: We calculated weighted proportions and 95% confidence intervals for vaccine-related attitudes, concerns, and information sources of parents with at least 1 child aged 6 years or younger who participated in the 2009 HealthStyles survey. RESULTS: The overall response rate for the survey was 65% (4556 of 7004); 475 respondents were parents or guardians (\"parents\") of at least 1 child aged 6 years or younger. Among those respondents, nearly all (93.4%) reported that their youngest child had or would receive all recommended vaccines. The majority of parents reported believing that vaccines were important to children's health (79.8%) and that they were either confident or very confident in vaccine safety (79.0%). The vaccine-related concern listed most often by parents was a child's pain from the shots given in 1 visit (44.2%), followed by a child getting too many vaccines at 1 doctor's visit (34.2%). When asked to list their most important sources of information on vaccines, the most common response was a child's doctor or nurse (81.7%). CONCLUSIONS: To maintain and improve on the success of childhood vaccines in preventing disease, a holistic approach is needed to address parents' concerns in an ongoing manner. Listening and responding in ways and with resources that address specific questions and concerns could help parents make more informed vaccination decisions. Copyright © 2011 by the American Academy of Pediatrics.","author":[{"dropping-particle":"","family":"Kennedy","given":"Allison","non-dropping-particle":"","parse-names":false,"suffix":""},{"dropping-particle":"","family":"Basket","given":"Michelle","non-dropping-particle":"","parse-names":false,"suffix":""},{"dropping-particle":"","family":"Sheedy","given":"Kristine","non-dropping-particle":"","parse-names":false,"suffix":""}],"container-title":"Pediatrics","id":"ITEM-3","issue":"SUPPL. 1","issued":{"date-parts":[["2011"]]},"page":"92-99","title":"Vaccine attitudes, concerns, and information sources reported by parents of young children: Results from the 2009 HealthStyles survey","type":"article-journal","volume":"127"},"uris":["http://www.mendeley.com/documents/?uuid=5b91922d-9f21-48bb-9435-09592c2d93af","http://www.mendeley.com/documents/?uuid=24f00262-9258-40e7-b3ff-f3b94df358f9","http://www.mendeley.com/documents/?uuid=4b1198e1-5f03-4be0-bba9-26bf4f11b686","http://www.mendeley.com/documents/?uuid=48fd9938-d2c8-4681-bdb8-33171e0434a4","http://www.mendeley.com/documents/?uuid=53c9e9b5-1aa6-42fb-b6bd-9470ad917e43"]}],"mendeley":{"formattedCitation":"(Fredrickson et al., 2004; Kennedy, Basket &amp; Sheedy, 2011; Saada et al., 2015)","plainTextFormattedCitation":"(Fredrickson et al., 2004; Kennedy, Basket &amp; Sheedy, 2011; Saada et al., 2015)","previouslyFormattedCitation":"(Fredrickson et al., 2004; Kennedy, Basket &amp; Sheedy, 2011; Saada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(Fredrickson et al., 2004; Kennedy, Basket &amp; Sheedy, 2011; Saada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fact, according to Yaqub and colleagues’ (2014) critical analysis ‘safety concerns’ were the most frequently cited reason for hesitancy amongst both the general population as well as healthcare practitioners in the United Kingdom. </w:t>
      </w:r>
    </w:p>
    <w:p w14:paraId="0B982DFE" w14:textId="77777777" w:rsidR="002D463A" w:rsidRPr="003D2D46" w:rsidRDefault="002D463A" w:rsidP="00580A15">
      <w:pPr>
        <w:spacing w:line="480" w:lineRule="auto"/>
        <w:contextualSpacing/>
        <w:rPr>
          <w:rFonts w:ascii="Times New Roman" w:hAnsi="Times New Roman" w:cs="Times New Roman"/>
          <w:color w:val="000000" w:themeColor="text1"/>
        </w:rPr>
      </w:pPr>
    </w:p>
    <w:p w14:paraId="682917E0" w14:textId="642BF28F" w:rsidR="002D463A" w:rsidRPr="003D2D46" w:rsidRDefault="002D463A" w:rsidP="00580A15">
      <w:pPr>
        <w:spacing w:line="480" w:lineRule="auto"/>
        <w:contextualSpacing/>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lastRenderedPageBreak/>
        <w:t>Recently</w:t>
      </w:r>
      <w:r w:rsidR="00D03BBD" w:rsidRPr="003D2D46">
        <w:rPr>
          <w:rFonts w:ascii="Times New Roman" w:eastAsia="Calibri" w:hAnsi="Times New Roman" w:cs="Times New Roman"/>
          <w:color w:val="000000" w:themeColor="text1"/>
        </w:rPr>
        <w:t>,</w:t>
      </w:r>
      <w:r w:rsidRPr="003D2D46">
        <w:rPr>
          <w:rFonts w:ascii="Times New Roman" w:hAnsi="Times New Roman" w:cs="Times New Roman"/>
          <w:color w:val="000000" w:themeColor="text1"/>
        </w:rPr>
        <w:t xml:space="preserve"> public </w:t>
      </w:r>
      <w:r w:rsidRPr="003D2D46">
        <w:rPr>
          <w:rFonts w:ascii="Times New Roman" w:eastAsia="Calibri" w:hAnsi="Times New Roman" w:cs="Times New Roman"/>
          <w:color w:val="000000" w:themeColor="text1"/>
        </w:rPr>
        <w:t>concern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regarding</w:t>
      </w:r>
      <w:r w:rsidRPr="003D2D46">
        <w:rPr>
          <w:rFonts w:ascii="Times New Roman" w:hAnsi="Times New Roman" w:cs="Times New Roman"/>
          <w:color w:val="000000" w:themeColor="text1"/>
        </w:rPr>
        <w:t xml:space="preserve"> adverse </w:t>
      </w:r>
      <w:r w:rsidRPr="003D2D46">
        <w:rPr>
          <w:rFonts w:ascii="Times New Roman" w:eastAsia="Calibri" w:hAnsi="Times New Roman" w:cs="Times New Roman"/>
          <w:color w:val="000000" w:themeColor="text1"/>
        </w:rPr>
        <w:t>outcomes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such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autism </w:t>
      </w:r>
      <w:r w:rsidRPr="003D2D46">
        <w:rPr>
          <w:rFonts w:ascii="Times New Roman" w:hAnsi="Times New Roman" w:cs="Times New Roman"/>
          <w:color w:val="000000" w:themeColor="text1"/>
        </w:rPr>
        <w:t xml:space="preserve">and </w:t>
      </w:r>
      <w:r w:rsidRPr="003D2D46">
        <w:rPr>
          <w:rFonts w:ascii="Times New Roman" w:eastAsia="Calibri" w:hAnsi="Times New Roman" w:cs="Times New Roman"/>
          <w:color w:val="000000" w:themeColor="text1"/>
        </w:rPr>
        <w:t>Guillain</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Barré</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syndrome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risen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{"citationItems":[{"id":"ITEM-1","itemData":{"DOI":"10.1007/978-1-4614-7438-8_25","ISBN":"9781461474388","abstract":"Achieving and maintaining high immunization rates requires high vaccine acceptance. Most parents or members of a targeted population need to believe in the value and benefits associated with an immunization recommendation and understand the basis for the recommendation. This puts forward a framework for understanding and fostering vaccine acceptance. Drawing upon published studies, the framework identifies six categories of cognitive factors that affect vaccine acceptance: vaccination recommendation awareness and knowledge; assumptions, expectations, and understanding; risk-related beliefs and perceptions; benefit-related beliefs and perceptions; beliefs and perceptions regarding vaccination recommendations; and confidence/trust related to the vaccine, immunization recommendation and health professionals, including government health officials. Along with examining how these categories can impact vaccine acceptance, the framework links them to a vaccine acceptance continuum that ranges from vaccine refusal to strong vaccine acceptance. The overall framework provides the basis for identifying strategies and approaches to achieve or extend vaccine acceptance.","author":[{"dropping-particle":"","family":"Nowak","given":"Glen J.","non-dropping-particle":"","parse-names":false,"suffix":""},{"dropping-particle":"","family":"Lavail","given":"Kate","non-dropping-particle":"","parse-names":false,"suffix":""},{"dropping-particle":"","family":"Kennedy","given":"Allison","non-dropping-particle":"","parse-names":false,"suffix":""},{"dropping-particle":"","family":"Sheedy","given":"Kristine","non-dropping-particle":"","parse-names":false,"suffix":""}],"container-title":"Vaccinophobia and Vaccine Controversies of the 21st Century","id":"ITEM-1","issued":{"date-parts":[["2013","11"]]},"page":"459-479","publisher":"Springer New York","title":"Insights from public health: A framework for understanding and fostering vaccine acceptance","type":"chapter"},"uris":["http://www.mendeley.com/documents/?uuid=06f30d82-4b04-3f2f-bda0-b751f7414b2d","http://www.mendeley.com/documents/?uuid=4f35001b-303c-49cc-821a-93d2d71bd41d","http://www.mendeley.com/documents/?uuid=0fd78d50-dcbe-488e-8beb-f88bb7724bbb"]},{"id":"ITEM-2","itemData":{"DOI":"10.1093/cid/ciz135","ISSN":"1058-4838","abstract":"Concerns about vaccine safety can lead to decreased acceptance of vaccines and resurgence of vaccine-preventable diseases. We summarize the key evidence on some of the main current vaccine safety controversies in the United States, including (1) measles, mumps, and rubella vaccine and autism; (2) thimerosal, a mercury-based vaccine preservative and the risk of neurodevelopmental disorders; (3) vaccine-induced Guillain-Barré syndrome (GBS); (4) vaccine-induced autoimmune diseases; (5) safety of human papillomavirus vaccine; (6) aluminum adjuvant-induced autoimmune diseases and other disorders; and (7) too many vaccines given early in life predisposing children to health and developmental problems. A possible small increased risk of GBS following influenza vaccination has been identified, but the magnitude of the increase is less than the risk of GBS following influenza infection. Otherwise, the biological and epidemiologic evidence does not support any of the reviewed vaccine safety concerns.","author":[{"dropping-particle":"","family":"DeStefano","given":"Frank","non-dropping-particle":"","parse-names":false,"suffix":""},{"dropping-particle":"","family":"Bodenstab","given":"Heather Monk","non-dropping-particle":"","parse-names":false,"suffix":""},{"dropping-particle":"","family":"Offit","given":"Paul A","non-dropping-particle":"","parse-names":false,"suffix":""}],"container-title":"Clinical Infectious Diseases","id":"ITEM-2","issue":"4","issued":{"date-parts":[["2019","8"]]},"page":"726-731","publisher":"Oxford University Press (OUP)","title":"Principal Controversies in Vaccine Safety in the United States","type":"article-journal","volume":"69"},"uris":["http://www.mendeley.com/documents/?uuid=e6da0485-d781-30b0-86bb-e351ee83d650","http://www.mendeley.com/documents/?uuid=298e2cfd-66b4-4530-ae44-f744108bb442","http://www.mendeley.com/documents/?uuid=3f2615c8-7eaa-498a-a906-a4036f03d4a0"]},{"id":"ITEM-3","itemData":{"DOI":"10.7759/cureus.2919","author":[{"dropping-particle":"","family":"Hussain","given":"Azhar","non-dropping-particle":"","parse-names":false,"suffix":""},{"dropping-particle":"","family":"Ali","given":"Syed","non-dropping-particle":"","parse-names":false,"suffix":""},{"dropping-particle":"","family":"Ahmed","given":"Madiha","non-dropping-particle":"","parse-names":false,"suffix":""},{"dropping-particle":"","family":"Hussain","given":"Sheharyar","non-dropping-particle":"","parse-names":false,"suffix":""}],"container-title":"Cureus","id":"ITEM-3","issue":"7","issued":{"date-parts":[["2018"]]},"page":"e2919","title":"The Anti-vaccination Movement: A Regression in Modern Medicine","type":"article-journal","volume":"10"},"uris":["http://www.mendeley.com/documents/?uuid=cb24c434-04e1-4baa-88ec-aa71f29aa2a1","http://www.mendeley.com/documents/?uuid=c8e7e985-9577-4539-932d-b84ab0d1c91c","http://www.mendeley.com/documents/?uuid=d73b61a6-3ffd-3dad-b375-9d297fd7ed12"]}],"mendeley":{"formattedCitation":"(Nowak et al., 2013; Hussain et al., 2018; DeStefano, Bodenstab &amp; Offit, 2019)","plainTextFormattedCitation":"(Nowak et al., 2013; Hussain et al., 2018; DeStefano, Bodenstab &amp; Offit, 2019)","previouslyFormattedCitation":"(Nowak et al., 2013; Hussain et al., 2018; DeStefano, Bodenstab &amp; Offit,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(Nowak et al., 2013; Hussain et al., 2018; DeStefano, Bodenstab &amp; Offit,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r w:rsidRPr="003D2D46">
        <w:rPr>
          <w:rFonts w:ascii="Times New Roman" w:hAnsi="Times New Roman" w:cs="Times New Roman"/>
          <w:color w:val="000000" w:themeColor="text1"/>
        </w:rPr>
        <w:t xml:space="preserve">Concern regarding autism as an adverse outcome after vaccination rose after Wakefield et al.’s 1998 study investigating the relationship between the measles, mumps, and rubella (MMR) vaccine and autism and diarrhea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{"citationItems":[{"id":"ITEM-1","itemData":{"DOI":"10.2105/AJPH.2007.113159","ISSN":"1541-0048","PMID":"18172138","abstract":"The controversy regarding the once widely used mercury-containing preservative thimerosal in childhood vaccines has raised many historical questions that have not been adequately explored. Why was this preservative incorporated in the first place? Was there any real evidence that it caused harm? And how did thimerosal become linked in the public mind to the \"autism epidemic\"? I examine the origins of the thimerosal controversy and their legacy for the debate that has followed. More specifically, I explore the parallel histories of three factors that converged to create the crisis: vaccine preservatives, mercury poisoning, and autism. An understanding of this history provides important lessons for physicians and policymakers seeking to preserve the public's trust in the nation's vaccine system.","author":[{"dropping-particle":"","family":"Baker","given":"Jeffrey P","non-dropping-particle":"","parse-names":false,"suffix":""}],"container-title":"American journal of public health","id":"ITEM-1","issue":"2","issued":{"date-parts":[["2008","2"]]},"page":"244-53","title":"Mercury, vaccines, and autism: one controversy, three histories.","type":"article-journal","volume":"98"},"uris":["http://www.mendeley.com/documents/?uuid=86b2cc5a-8020-3385-9e94-f652bd51822e","http://www.mendeley.com/documents/?uuid=42e12b30-b146-4b01-8ffa-9c34a729c009","http://www.mendeley.com/documents/?uuid=ab15612b-a015-4158-b6de-c2fffb555a0a"]}],"mendeley":{"formattedCitation":"(Baker, 2008)","plainTextFormattedCitation":"(Baker, 2008)","previouslyFormattedCitation":"(Baker, 2008)"},"properties":{"noteIndex":0},"schema":"https://github.com/citation-style-language/schema/raw/master/csl-citation.json"}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(Baker, 2008)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Despite a complete lack of confirmation by large epidemiologic studies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{"citationItems":[{"id":"ITEM-1","itemData":{"author":[{"dropping-particle":"","family":"Fitzpatrick","given":"Michael","non-dropping-particle":"","parse-names":false,"suffix":""}],"id":"ITEM-1","issued":{"date-parts":[["2004"]]},"publisher":"Routledge","publisher-place":"New York, NY","title":"MMR and Autism: What Parents Need to Know","type":"book"},"uris":["http://www.mendeley.com/documents/?uuid=5c502c76-9725-400f-b2e7-23406d9f6df1","http://www.mendeley.com/documents/?uuid=f675ff8c-deaf-4a40-904f-92b629cf129d","http://www.mendeley.com/documents/?uuid=5b8880a0-9318-4486-ac5b-48f31e4afcf2"]}],"mendeley":{"formattedCitation":"(Fitzpatrick, 2004)","plainTextFormattedCitation":"(Fitzpatrick, 2004)","previouslyFormattedCitation":"(Fitzpatrick, 2004)"},"properties":{"noteIndex":0},"schema":"https://github.com/citation-style-language/schema/raw/master/csl-citation.json"}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(Fitzpatrick, 2004)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 a retraction of the article on the grounds of research misconduct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10.1503/cmaj.109-3179","ISSN":"14882329","author":[{"dropping-particle":"","family":"Eggertson","given":"Laura","non-dropping-particle":"","parse-names":false,"suffix":""}],"container-title":"CMAJ","id":"ITEM-1","issue":"4","issued":{"date-parts":[["2010","3"]]},"title":"Lancet retracts 12-year-old article linking autism to MMR vaccines.","type":"article-journal","volume":"182"},"uris":["http://www.mendeley.com/documents/?uuid=edcb987f-3431-30c3-9a1e-9b123573dfb8","http://www.mendeley.com/documents/?uuid=87fe56c5-b321-40de-b3b1-03d999ea1796","http://www.mendeley.com/documents/?uuid=d69dc1a1-3d22-453b-a059-566009ad0ba2"]}],"mendeley":{"formattedCitation":"(Eggertson, 2010)","plainTextFormattedCitation":"(Eggertson, 2010)","previouslyFormattedCitation":"(Eggertson,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(Eggertson,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the scientific consensus being that there is no causal relationship between the MMR vaccine and autism, public concern and controversy about the risk for autism after vaccination has persisted. </w:t>
      </w:r>
      <w:r w:rsidRPr="003D2D46">
        <w:rPr>
          <w:rFonts w:ascii="Times New Roman" w:eastAsia="Calibri" w:hAnsi="Times New Roman" w:cs="Times New Roman"/>
          <w:color w:val="000000" w:themeColor="text1"/>
        </w:rPr>
        <w:t>While concerns about safety and side effects, particularly those discussed here, are among the most commonly given reason</w:t>
      </w:r>
      <w:r w:rsidR="00D03BBD" w:rsidRPr="003D2D46">
        <w:rPr>
          <w:rFonts w:ascii="Times New Roman" w:eastAsia="Calibri" w:hAnsi="Times New Roman" w:cs="Times New Roman"/>
          <w:color w:val="000000" w:themeColor="text1"/>
        </w:rPr>
        <w:t>s</w:t>
      </w:r>
      <w:r w:rsidRPr="003D2D46">
        <w:rPr>
          <w:rFonts w:ascii="Times New Roman" w:eastAsia="Calibri" w:hAnsi="Times New Roman" w:cs="Times New Roman"/>
          <w:color w:val="000000" w:themeColor="text1"/>
        </w:rPr>
        <w:t xml:space="preserve"> for vaccine hesitancy, other factors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such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00D03BBD" w:rsidRPr="003D2D46">
        <w:rPr>
          <w:rFonts w:ascii="Times New Roman" w:eastAsia="Calibri" w:hAnsi="Times New Roman" w:cs="Times New Roman"/>
          <w:color w:val="000000" w:themeColor="text1"/>
        </w:rPr>
        <w: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general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distrust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medical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community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{"citationItems":[{"id":"ITEM-1","itemData":{"DOI":"10.1007/s11606-017-4172-1","ISSN":"15251497","abstract":"Background: Decision makers are increasingly tasked with reducing health care costs, but the public may be mistrustful of these efforts. Public deliberation helps gather input on these types of issues by convening a group of diverse individuals to learn about and discuss values-based dilemmas. Objective: To explore public perceptions of health care costs and how they intersect with medical mistrust. Design and Participants: This mixed-methods study analyzed data from a randomized controlled trial including four public deliberation groups (n = 96) and a control group (n = 348) comprising English-speaking adults aged 18 years and older. Data were collected in 2012 in four U.S. regions. Approach: We used data from four survey items to compare attitude shifts about costs among participants in deliberation groups to participants in the control group. We qualitatively analyzed deliberation transcripts to identify themes related to attitude shifts and to provide context for quantitative results about attitude shifts. Key Results: Deliberation participants were significantly more likely than control group participants to agree that doctors and patients should consider cost when making treatment decisions (β = 0.59; p &lt; 0.01) and that people should consider the effect on group premiums when making treatment decisions (β = 0.48; p &lt; 0.01). Qualitatively, participants mistrusted the health care system’s profit motives (e.g., that systems prioritize making money over patient needs); however, after grappling with patient/doctor autonomy and learning about and examining their own views related to costs during the process of deliberation, they largely concluded that payers have the right to set some boundaries to curb costs. Conclusions: Individuals who are informed about costs may be receptive to boundaries that reduce societal health care costs, despite their mistrust of the health care system’s profit motives, especially if decision makers communicate their rationale in a transparent manner. Future work should aim to develop transparent policies and practices that earn public trust.","author":[{"dropping-particle":"","family":"Richmond","given":"Jennifer","non-dropping-particle":"","parse-names":false,"suffix":""},{"dropping-particle":"","family":"Powell","given":"Wizdom","non-dropping-particle":"","parse-names":false,"suffix":""},{"dropping-particle":"","family":"Maurer","given":"Maureen","non-dropping-particle":"","parse-names":false,"suffix":""},{"dropping-particle":"","family":"Mangrum","given":"Rikki","non-dropping-particle":"","parse-names":false,"suffix":""},{"dropping-particle":"","family":"Gold","given":"Marthe R.","non-dropping-particle":"","parse-names":false,"suffix":""},{"dropping-particle":"","family":"Pathak-Sen","given":"Ela","non-dropping-particle":"","parse-names":false,"suffix":""},{"dropping-particle":"","family":"Yang","given":"Manshu","non-dropping-particle":"","parse-names":false,"suffix":""},{"dropping-particle":"","family":"Carman","given":"Kristin L.","non-dropping-particle":"","parse-names":false,"suffix":""}],"container-title":"Journal of General Internal Medicine","id":"ITEM-1","issue":"12","issued":{"date-parts":[["2017","12"]]},"page":"1396-1402","publisher":"Springer New York LLC","title":"Public Mistrust of the U.S. Health Care System’s Profit Motives: Mixed-Methods Results from a Randomized Controlled Trial","type":"article-journal","volume":"32"},"uris":["http://www.mendeley.com/documents/?uuid=47f24095-c96e-42b7-8291-9b770574784f","http://www.mendeley.com/documents/?uuid=56a5d0ae-707f-41ca-b161-d83afae3fbd7","http://www.mendeley.com/documents/?uuid=3726a984-2294-32af-92bd-405142ecec0a"]}],"mendeley":{"formattedCitation":"(Richmond et al., 2017)","plainTextFormattedCitation":"(Richmond et al., 2017)","previouslyFormattedCitation":"(Richmond et al., 2017)"},"properties":{"noteIndex":0},"schema":"https://github.com/citation-style-language/schema/raw/master/csl-citation.json"}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(Richmond et al., 2017)</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government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agencies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recommending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vaccines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{"citationItems":[{"id":"ITEM-1","itemData":{"DOI":"10.1016/j.vaccine.2016.06.048","ISSN":"18732518","abstract":"High rates of nonmedical exemptions (NMEs) from required childhood vaccinations have contributed to outbreaks of vaccine-preventable diseases, such as measles and pertussis. Understanding the parental decision to obtain an NME could help health professionals and public health programs improve vaccination rates in areas with high vaccine refusal. Using a 2002–2003 multi-state survey of parents of school age children (​n = 2445), this study found that parental distrust of the government and of healthcare providers is a significant factor related to a number of vaccine-related beliefs and behaviors. The odds that parents who distrust the government have seen a complementary/alternative medicine (CAM) provider were 2.11 times greater than those of parents who trust the government (70.1% vs 52.6%; OR, 2.11; 95% CI, 1.59–2.84; P &lt; 0.01). Parents who distrust the government had increased odds of trusting vaccine information from CAM providers compared to trusting parents (57.9% vs 46.3%; OR, 1.53; 95% CI, 1.16–2.01; P &lt; 0.01). Parents who distrust the government also had increased odds of distrusting vaccine information acquired at their healthcare providers’ offices (12.6% vs 4.7%; OR, 2.64; 95% CI, 1.64–4.24; P &lt; 0.01). Distrustful parents had increased odds of thinking government sources of information about vaccines were unreliable, categorizing the CDC, the Food and Drug Administration (FDA), or local and state health departments as poor or very poor sources (distrust government vs trust government: 25.2% vs 11.7%; OR, 2.39; 95% CI, 1.70–3.36; P &lt; 0.01; distrust healthcare providers vs trust healthcare providers: 24.4% vs 11.4%; OR, 2.44; 95% CI, 1.75–3.38; P &lt; 0.01). These findings indicate that distrustful parent populations may need to be reached through modalities outside of traditional government and healthcare provider communications. Research into new and more effective techniques for delivering pro-vaccine messages is warranted.","author":[{"dropping-particle":"","family":"Lee","given":"Charlotte","non-dropping-particle":"","parse-names":false,"suffix":""},{"dropping-particle":"","family":"Whetten","given":"Kathryn","non-dropping-particle":"","parse-names":false,"suffix":""},{"dropping-particle":"","family":"Omer","given":"Saad","non-dropping-particle":"","parse-names":false,"suffix":""},{"dropping-particle":"","family":"Pan","given":"William","non-dropping-particle":"","parse-names":false,"suffix":""},{"dropping-particle":"","family":"Salmon","given":"Daniel","non-dropping-particle":"","parse-names":false,"suffix":""}],"container-title":"Vaccine","id":"ITEM-1","issue":"34","issued":{"date-parts":[["2016","7"]]},"page":"3972-3978","publisher":"Elsevier Ltd","title":"Hurdles to herd immunity: Distrust of government and vaccine refusal in the US, 2002–2003","type":"article-journal","volume":"34"},"uris":["http://www.mendeley.com/documents/?uuid=48856dcf-cd01-423d-b6d5-7382d6576cb7","http://www.mendeley.com/documents/?uuid=8f0ff389-c963-4253-b892-dde731389e53","http://www.mendeley.com/documents/?uuid=519c461f-dfb9-3d70-976f-91c4d403c620"]}],"mendeley":{"formattedCitation":"(Lee et al., 2016)","plainTextFormattedCitation":"(Lee et al., 2016)","previouslyFormattedCitation":"(Lee et al., 2016)"},"properties":{"noteIndex":0},"schema":"https://github.com/citation-style-language/schema/raw/master/csl-citation.json"}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(Lee et al., 2016)</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growing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interest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homeopathic </w:t>
      </w:r>
      <w:r w:rsidRPr="003D2D46">
        <w:rPr>
          <w:rFonts w:ascii="Times New Roman" w:eastAsia="Calibri" w:hAnsi="Times New Roman" w:cs="Times New Roman"/>
          <w:color w:val="000000" w:themeColor="text1"/>
        </w:rPr>
        <w:t>treatments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obtaining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natural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immunity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through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exposure</w:t>
      </w:r>
      <w:r w:rsidRPr="003D2D46">
        <w:rPr>
          <w:rFonts w:ascii="Times New Roman" w:hAnsi="Times New Roman" w:cs="Times New Roman"/>
          <w:color w:val="000000" w:themeColor="text1"/>
        </w:rPr>
        <w:t xml:space="preserve"> to the disease, </w:t>
      </w:r>
      <w:r w:rsidRPr="003D2D46">
        <w:rPr>
          <w:rFonts w:ascii="Times New Roman" w:eastAsia="Calibri" w:hAnsi="Times New Roman" w:cs="Times New Roman"/>
          <w:color w:val="000000" w:themeColor="text1"/>
        </w:rPr>
        <w:t>contribute to hesitancy towards</w:t>
      </w:r>
      <w:r w:rsidRPr="003D2D46">
        <w:rPr>
          <w:rFonts w:ascii="Times New Roman" w:hAnsi="Times New Roman" w:cs="Times New Roman"/>
          <w:color w:val="000000" w:themeColor="text1"/>
        </w:rPr>
        <w:t xml:space="preserve"> and rejection of </w:t>
      </w:r>
      <w:r w:rsidRPr="003D2D46">
        <w:rPr>
          <w:rFonts w:ascii="Times New Roman" w:eastAsia="Calibri" w:hAnsi="Times New Roman" w:cs="Times New Roman"/>
          <w:color w:val="000000" w:themeColor="text1"/>
        </w:rPr>
        <w:t xml:space="preserve">vaccines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{"citationItems":[{"id":"ITEM-1","itemData":{"DOI":"10.1371/journal.pone.0113503","abstract":"Background: While immunization is one of the most effective and successful public health interventions, there are still up to 30,000 deaths in major developed economies each year due to vaccine-preventable diseases, almost all in adults. In the UK, despite comparatively high vaccination rates among §65 s (73%) and, to a lesser extent, at-risk #65 s (52%) in 2013/2014, over 10,000 excess deaths were reported the previous influenza season. Adult tetanus vaccines are not routinely recommended in the UK, but may be overly administered. Social influences and risk-perceptions of diseases and vaccines are known to affect vaccine uptake. We aimed to explore the socio-psychological factors that drive adult vaccination in the UK, specifically influenza and tetanus, and to evaluate whether these factors are comparable between vaccines. Methods: 20 in-depth, face-to-face interviews were conducted with members of the UK public who represented a range of socio-demographic characteristics associated with vaccination uptake. We employed qualitative interviewing approaches to reach a comprehensive understanding of the factors influencing adult vaccination decisions. Thematic analysis was used to analyze the data. Results: Participants were classified according to their vaccination status as regular, intermittent and non-vaccinators for influenza, and preventative, injury-led, mixed (both preventative and injury-led) and as non-vaccinators for tetanus. We present our finding around five overarching themes: 1) perceived health and health behaviors; 2) knowledge; 3) vaccination influences; 4) disease appraisal; and 5) vaccination appraisal. Conclusion: The uptake of influenza and tetanus vaccines was largely driven by participants' risk perception of these diseases. The tetanus vaccine is perceived as safe and sufficiently tested, whereas the changing composition of the influenza vaccine is a cause of uncertainty and distrust. To maximize the public health impact","author":[{"dropping-particle":"","family":"Wheelock","given":"Ana","non-dropping-particle":"","parse-names":false,"suffix":""},{"dropping-particle":"","family":"Parand","given":"Anam","non-dropping-particle":"","parse-names":false,"suffix":""},{"dropping-particle":"","family":"Rigole","given":"Bruno","non-dropping-particle":"","parse-names":false,"suffix":""},{"dropping-particle":"","family":"Thomson","given":"Angus","non-dropping-particle":"","parse-names":false,"suffix":""},{"dropping-particle":"","family":"Miraldo","given":"Marisa","non-dropping-particle":"","parse-names":false,"suffix":""},{"dropping-particle":"","family":"Vincent","given":"Charles","non-dropping-particle":"","parse-names":false,"suffix":""},{"dropping-particle":"","family":"Sevdalis","given":"Nick","non-dropping-particle":"","parse-names":false,"suffix":""}],"container-title":"PLoS ONE","id":"ITEM-1","issue":"12","issued":{"date-parts":[["2014"]]},"page":"e113503","title":"Socio-Psychological Factors Driving Adult Vaccination: A Qualitative Study","type":"article-journal","volume":"9"},"uris":["http://www.mendeley.com/documents/?uuid=42b1f976-c4b9-4d9d-9e10-589c3272f358","http://www.mendeley.com/documents/?uuid=df3f031e-d9d8-4930-ad1f-e5975c56a5b8","http://www.mendeley.com/documents/?uuid=959c3881-54f6-34ae-8986-e5885b3eae65"]}],"mendeley":{"formattedCitation":"(Wheelock et al., 2014)","plainTextFormattedCitation":"(Wheelock et al., 2014)","previouslyFormattedCitation":"(Wheelock et al., 2014)"},"properties":{"noteIndex":0},"schema":"https://github.com/citation-style-language/schema/raw/master/csl-citation.json"}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(Wheelock et al., 2014)</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w:t>
      </w:r>
    </w:p>
    <w:p w14:paraId="0B85EBD5" w14:textId="77777777" w:rsidR="00F951DA" w:rsidRPr="003D2D46" w:rsidRDefault="00F951DA" w:rsidP="00580A15">
      <w:pPr>
        <w:spacing w:line="480" w:lineRule="auto"/>
        <w:contextualSpacing/>
        <w:rPr>
          <w:rFonts w:ascii="Times New Roman" w:eastAsia="Calibri" w:hAnsi="Times New Roman" w:cs="Times New Roman"/>
          <w:color w:val="000000" w:themeColor="text1"/>
        </w:rPr>
      </w:pPr>
    </w:p>
    <w:p w14:paraId="59506E2B" w14:textId="1318D467" w:rsidR="004F499F" w:rsidRPr="003D2D46" w:rsidRDefault="005529ED" w:rsidP="004F0890">
      <w:pPr>
        <w:pStyle w:val="Heading41111"/>
        <w:spacing w:line="480" w:lineRule="auto"/>
        <w:rPr>
          <w:rFonts w:cs="Times New Roman"/>
          <w:color w:val="000000" w:themeColor="text1"/>
        </w:rPr>
      </w:pPr>
      <w:bookmarkStart w:id="100" w:name="_Toc82445528"/>
      <w:bookmarkStart w:id="101" w:name="_Toc87797091"/>
      <w:r w:rsidRPr="003D2D46">
        <w:rPr>
          <w:rFonts w:eastAsia="Calibri" w:cs="Times New Roman"/>
          <w:color w:val="000000" w:themeColor="text1"/>
        </w:rPr>
        <w:t>3.</w:t>
      </w:r>
      <w:r w:rsidR="000D1486" w:rsidRPr="003D2D46">
        <w:rPr>
          <w:rFonts w:eastAsia="Calibri" w:cs="Times New Roman"/>
          <w:color w:val="000000" w:themeColor="text1"/>
        </w:rPr>
        <w:t>3</w:t>
      </w:r>
      <w:r w:rsidRPr="003D2D46">
        <w:rPr>
          <w:rFonts w:eastAsia="Calibri" w:cs="Times New Roman"/>
          <w:color w:val="000000" w:themeColor="text1"/>
        </w:rPr>
        <w:t xml:space="preserve">.2 </w:t>
      </w:r>
      <w:r w:rsidR="002D463A" w:rsidRPr="003D2D46">
        <w:rPr>
          <w:rFonts w:eastAsia="Calibri" w:cs="Times New Roman"/>
          <w:color w:val="000000" w:themeColor="text1"/>
        </w:rPr>
        <w:t>Attitudes towards pertussis-containing vaccines</w:t>
      </w:r>
      <w:bookmarkEnd w:id="100"/>
      <w:bookmarkEnd w:id="101"/>
    </w:p>
    <w:p w14:paraId="7D9F5876" w14:textId="4F430570" w:rsidR="002D463A" w:rsidRPr="003D2D46" w:rsidRDefault="002D463A">
      <w:pPr>
        <w:spacing w:line="480" w:lineRule="auto"/>
        <w:contextualSpacing/>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The majority of literature regarding vaccine hesitancy focuses on </w:t>
      </w:r>
      <w:r w:rsidRPr="003D2D46">
        <w:rPr>
          <w:rFonts w:ascii="Times New Roman" w:eastAsia="Calibri" w:hAnsi="Times New Roman" w:cs="Times New Roman"/>
          <w:b/>
          <w:bCs/>
          <w:color w:val="000000" w:themeColor="text1"/>
        </w:rPr>
        <w:t>m</w:t>
      </w:r>
      <w:r w:rsidRPr="003D2D46">
        <w:rPr>
          <w:rFonts w:ascii="Times New Roman" w:eastAsia="Calibri" w:hAnsi="Times New Roman" w:cs="Times New Roman"/>
          <w:color w:val="000000" w:themeColor="text1"/>
        </w:rPr>
        <w:t xml:space="preserve">easles, </w:t>
      </w:r>
      <w:r w:rsidRPr="003D2D46">
        <w:rPr>
          <w:rFonts w:ascii="Times New Roman" w:eastAsia="Calibri" w:hAnsi="Times New Roman" w:cs="Times New Roman"/>
          <w:b/>
          <w:bCs/>
          <w:color w:val="000000" w:themeColor="text1"/>
        </w:rPr>
        <w:t>m</w:t>
      </w:r>
      <w:r w:rsidRPr="003D2D46">
        <w:rPr>
          <w:rFonts w:ascii="Times New Roman" w:eastAsia="Calibri" w:hAnsi="Times New Roman" w:cs="Times New Roman"/>
          <w:color w:val="000000" w:themeColor="text1"/>
        </w:rPr>
        <w:t xml:space="preserve">umps, and </w:t>
      </w:r>
      <w:r w:rsidRPr="003D2D46">
        <w:rPr>
          <w:rFonts w:ascii="Times New Roman" w:eastAsia="Calibri" w:hAnsi="Times New Roman" w:cs="Times New Roman"/>
          <w:b/>
          <w:bCs/>
          <w:color w:val="000000" w:themeColor="text1"/>
        </w:rPr>
        <w:t>r</w:t>
      </w:r>
      <w:r w:rsidRPr="003D2D46">
        <w:rPr>
          <w:rFonts w:ascii="Times New Roman" w:eastAsia="Calibri" w:hAnsi="Times New Roman" w:cs="Times New Roman"/>
          <w:color w:val="000000" w:themeColor="text1"/>
        </w:rPr>
        <w:t xml:space="preserve">ubella (MMR), </w:t>
      </w:r>
      <w:r w:rsidRPr="003D2D46">
        <w:rPr>
          <w:rFonts w:ascii="Times New Roman" w:eastAsia="Calibri" w:hAnsi="Times New Roman" w:cs="Times New Roman"/>
          <w:b/>
          <w:bCs/>
          <w:color w:val="000000" w:themeColor="text1"/>
        </w:rPr>
        <w:t>h</w:t>
      </w:r>
      <w:r w:rsidRPr="003D2D46">
        <w:rPr>
          <w:rFonts w:ascii="Times New Roman" w:eastAsia="Calibri" w:hAnsi="Times New Roman" w:cs="Times New Roman"/>
          <w:color w:val="000000" w:themeColor="text1"/>
        </w:rPr>
        <w:t xml:space="preserve">uman </w:t>
      </w:r>
      <w:r w:rsidRPr="003D2D46">
        <w:rPr>
          <w:rFonts w:ascii="Times New Roman" w:eastAsia="Calibri" w:hAnsi="Times New Roman" w:cs="Times New Roman"/>
          <w:b/>
          <w:bCs/>
          <w:color w:val="000000" w:themeColor="text1"/>
        </w:rPr>
        <w:t>p</w:t>
      </w:r>
      <w:r w:rsidRPr="003D2D46">
        <w:rPr>
          <w:rFonts w:ascii="Times New Roman" w:eastAsia="Calibri" w:hAnsi="Times New Roman" w:cs="Times New Roman"/>
          <w:color w:val="000000" w:themeColor="text1"/>
        </w:rPr>
        <w:t>apilloma</w:t>
      </w:r>
      <w:r w:rsidRPr="003D2D46">
        <w:rPr>
          <w:rFonts w:ascii="Times New Roman" w:eastAsia="Calibri" w:hAnsi="Times New Roman" w:cs="Times New Roman"/>
          <w:b/>
          <w:bCs/>
          <w:color w:val="000000" w:themeColor="text1"/>
        </w:rPr>
        <w:t>v</w:t>
      </w:r>
      <w:r w:rsidRPr="003D2D46">
        <w:rPr>
          <w:rFonts w:ascii="Times New Roman" w:eastAsia="Calibri" w:hAnsi="Times New Roman" w:cs="Times New Roman"/>
          <w:color w:val="000000" w:themeColor="text1"/>
        </w:rPr>
        <w:t>irus (HPV), and influenza vaccine attitudes</w:t>
      </w:r>
      <w:r w:rsidRPr="003D2D46">
        <w:rPr>
          <w:rFonts w:ascii="Times New Roman" w:hAnsi="Times New Roman" w:cs="Times New Roman"/>
          <w:color w:val="000000" w:themeColor="text1"/>
        </w:rPr>
        <w:t xml:space="preserve">. However, there </w:t>
      </w:r>
      <w:r w:rsidR="00214C31" w:rsidRPr="003D2D46">
        <w:rPr>
          <w:rFonts w:ascii="Times New Roman" w:hAnsi="Times New Roman" w:cs="Times New Roman"/>
          <w:color w:val="000000" w:themeColor="text1"/>
        </w:rPr>
        <w:t xml:space="preserve">are </w:t>
      </w:r>
      <w:r w:rsidRPr="003D2D46">
        <w:rPr>
          <w:rFonts w:ascii="Times New Roman" w:hAnsi="Times New Roman" w:cs="Times New Roman"/>
          <w:color w:val="000000" w:themeColor="text1"/>
        </w:rPr>
        <w:t xml:space="preserve">only a few empirical publications </w:t>
      </w:r>
      <w:r w:rsidR="00214C31" w:rsidRPr="003D2D46">
        <w:rPr>
          <w:rFonts w:ascii="Times New Roman" w:hAnsi="Times New Roman" w:cs="Times New Roman"/>
          <w:color w:val="000000" w:themeColor="text1"/>
        </w:rPr>
        <w:t xml:space="preserve">that </w:t>
      </w:r>
      <w:r w:rsidRPr="003D2D46">
        <w:rPr>
          <w:rFonts w:ascii="Times New Roman" w:hAnsi="Times New Roman" w:cs="Times New Roman"/>
          <w:color w:val="000000" w:themeColor="text1"/>
        </w:rPr>
        <w:t xml:space="preserve">address attitudes and barriers to pertussis vaccination. For example, </w:t>
      </w:r>
      <w:r w:rsidRPr="003D2D46">
        <w:rPr>
          <w:rFonts w:ascii="Times New Roman" w:eastAsia="Calibri" w:hAnsi="Times New Roman" w:cs="Times New Roman"/>
          <w:color w:val="000000" w:themeColor="text1"/>
        </w:rPr>
        <w:t>Miller et al.’s 2011 study investigated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lastRenderedPageBreak/>
        <w:t>about</w:t>
      </w:r>
      <w:r w:rsidRPr="003D2D46">
        <w:rPr>
          <w:rFonts w:ascii="Times New Roman" w:hAnsi="Times New Roman" w:cs="Times New Roman"/>
          <w:color w:val="000000" w:themeColor="text1"/>
        </w:rPr>
        <w:t xml:space="preserve"> receipt of the </w:t>
      </w:r>
      <w:r w:rsidRPr="003D2D46">
        <w:rPr>
          <w:rFonts w:ascii="Times New Roman" w:eastAsia="Calibri" w:hAnsi="Times New Roman" w:cs="Times New Roman"/>
          <w:color w:val="000000" w:themeColor="text1"/>
        </w:rPr>
        <w:t>pertussis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shortly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after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 adult booster was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introduced</w:t>
      </w:r>
      <w:r w:rsidRPr="003D2D46">
        <w:rPr>
          <w:rFonts w:ascii="Times New Roman" w:hAnsi="Times New Roman" w:cs="Times New Roman"/>
          <w:color w:val="000000" w:themeColor="text1"/>
        </w:rPr>
        <w:t xml:space="preserve"> and </w:t>
      </w:r>
      <w:r w:rsidRPr="003D2D46">
        <w:rPr>
          <w:rFonts w:ascii="Times New Roman" w:eastAsia="Calibri" w:hAnsi="Times New Roman" w:cs="Times New Roman"/>
          <w:color w:val="000000" w:themeColor="text1"/>
        </w:rPr>
        <w:t>found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general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willingness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adults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receive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but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lack</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awareness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existence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usefulness</w:t>
      </w:r>
      <w:r w:rsidRPr="003D2D46">
        <w:rPr>
          <w:rFonts w:ascii="Times New Roman" w:hAnsi="Times New Roman" w:cs="Times New Roman"/>
          <w:color w:val="000000" w:themeColor="text1"/>
        </w:rPr>
        <w:t xml:space="preserve">. </w:t>
      </w:r>
      <w:r w:rsidR="00214C31" w:rsidRPr="003D2D46">
        <w:rPr>
          <w:rFonts w:ascii="Times New Roman" w:eastAsia="Calibri" w:hAnsi="Times New Roman" w:cs="Times New Roman"/>
          <w:color w:val="000000" w:themeColor="text1"/>
        </w:rPr>
        <w:t>R</w:t>
      </w:r>
      <w:r w:rsidRPr="003D2D46">
        <w:rPr>
          <w:rFonts w:ascii="Times New Roman" w:eastAsia="Calibri" w:hAnsi="Times New Roman" w:cs="Times New Roman"/>
          <w:color w:val="000000" w:themeColor="text1"/>
        </w:rPr>
        <w:t>espondents</w:t>
      </w:r>
      <w:r w:rsidRPr="003D2D46">
        <w:rPr>
          <w:rFonts w:ascii="Times New Roman" w:hAnsi="Times New Roman" w:cs="Times New Roman"/>
          <w:color w:val="000000" w:themeColor="text1"/>
        </w:rPr>
        <w:t xml:space="preserve"> </w:t>
      </w:r>
      <w:r w:rsidR="00214C31" w:rsidRPr="003D2D46">
        <w:rPr>
          <w:rFonts w:ascii="Times New Roman" w:hAnsi="Times New Roman" w:cs="Times New Roman"/>
          <w:color w:val="000000" w:themeColor="text1"/>
        </w:rPr>
        <w:t xml:space="preserve">that were </w:t>
      </w:r>
      <w:r w:rsidRPr="003D2D46">
        <w:rPr>
          <w:rFonts w:ascii="Times New Roman" w:eastAsia="Calibri" w:hAnsi="Times New Roman" w:cs="Times New Roman"/>
          <w:color w:val="000000" w:themeColor="text1"/>
        </w:rPr>
        <w:t>not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interested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receiving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Tdap</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(55%)</w:t>
      </w:r>
      <w:r w:rsidR="00214C31" w:rsidRPr="003D2D46">
        <w:rPr>
          <w:rFonts w:ascii="Times New Roman" w:hAnsi="Times New Roman" w:cs="Times New Roman"/>
          <w:color w:val="000000" w:themeColor="text1"/>
        </w:rPr>
        <w:t xml:space="preserve"> gave the following reasons for their decisions</w:t>
      </w:r>
      <w:r w:rsidRPr="003D2D46">
        <w:rPr>
          <w:rFonts w:ascii="Times New Roman" w:eastAsia="Calibri" w:hAnsi="Times New Roman" w:cs="Times New Roman"/>
          <w:color w:val="000000" w:themeColor="text1"/>
        </w:rPr>
        <w: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low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perceived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risk</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getting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disease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fear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needles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general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distrust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more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information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needed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before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could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make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decision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{"citationItems":[{"id":"ITEM-1","itemData":{"DOI":"10.1016/j.vaccine.2011.03.058","ISSN":"18732518","abstract":"Background: The tetanus, diphtheria and acellular pertussis vaccine (Tdap) was recommended by the Advisory Committee on Immunization Practices (ACIP) for U.S. adults in 2005. Our objective was to identify barriers to early uptake of Tdap among adult populations. Methods: The 2007 National Immunization Survey (NIS)-Adult was a telephone survey sponsored by the Centers for Disease Control and Prevention (CDC). Immunization information was collected for persons aged ≥18 years on all ACIP-recommended vaccines. A weighted analysis accounted for the complex survey design and non-response. Results: Overall, 3.6% of adults aged 18-64 years reported receipt of a Tdap vaccination. Of unvaccinated respondents, 18.8% had heard of Tdap, of which 9.4% reported that a healthcare provider had recommended it. A low perceived risk of contracting pertussis was the single most common reason for either not vaccinating with Tdap or being unwilling to do so (44.7%). Most unvaccinated respondents (81.8%) indicated a willingness to receive Tdap if it was recommended by a provider. Conclusions: During the first two years of availability, Tdap uptake was likely inhibited by a low collective awareness of Tdap and a low perceived risk of contracting pertussis among U.S. adults, as well as a paucity of provider-to-patient vaccination recommendations. Significant potential exists for improved coverage, as many adults were receptive to vaccination.","author":[{"dropping-particle":"","family":"Miller","given":"Brady L.","non-dropping-particle":"","parse-names":false,"suffix":""},{"dropping-particle":"","family":"Kretsinger","given":"Katrina","non-dropping-particle":"","parse-names":false,"suffix":""},{"dropping-particle":"","family":"Euler","given":"Gary L.","non-dropping-particle":"","parse-names":false,"suffix":""},{"dropping-particle":"","family":"Lu","given":"Peng Jun","non-dropping-particle":"","parse-names":false,"suffix":""},{"dropping-particle":"","family":"Ahmed","given":"Faruque","non-dropping-particle":"","parse-names":false,"suffix":""}],"container-title":"Vaccine","id":"ITEM-1","issue":"22","issued":{"date-parts":[["2011"]]},"page":"3850-3856","publisher":"Elsevier Ltd","title":"Barriers to early uptake of tetanus, diphtheria and acellular pertussis vaccine (Tdap) among adults-United States, 2005-2007","type":"article-journal","volume":"29"},"uris":["http://www.mendeley.com/documents/?uuid=fee9af2f-3fa0-431e-8829-4698c680471e","http://www.mendeley.com/documents/?uuid=aaacf604-74ca-4f80-82dd-8cebfdbafab0","http://www.mendeley.com/documents/?uuid=7b4e4634-5f7e-4dbc-b19e-530c16e1958c"]}],"mendeley":{"formattedCitation":"(Miller et al., 2011)","plainTextFormattedCitation":"(Miller et al., 2011)","previouslyFormattedCitation":"(Miller et al., 2011)"},"properties":{"noteIndex":0},"schema":"https://github.com/citation-style-language/schema/raw/master/csl-citation.json"}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(Miller et al., 2011)</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Another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study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conducted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during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large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pertussis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outbreak</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San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Diego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found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w:t>
      </w:r>
      <w:r w:rsidRPr="003D2D46">
        <w:rPr>
          <w:rFonts w:ascii="Times New Roman" w:hAnsi="Times New Roman" w:cs="Times New Roman"/>
          <w:color w:val="000000" w:themeColor="text1"/>
        </w:rPr>
        <w:t xml:space="preserve"> 66%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unvaccinated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respondents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cited</w:t>
      </w:r>
      <w:r w:rsidRPr="003D2D46">
        <w:rPr>
          <w:rFonts w:ascii="Times New Roman" w:hAnsi="Times New Roman" w:cs="Times New Roman"/>
          <w:color w:val="000000" w:themeColor="text1"/>
        </w:rPr>
        <w:t xml:space="preserve"> a </w:t>
      </w:r>
      <w:r w:rsidRPr="003D2D46">
        <w:rPr>
          <w:rFonts w:ascii="Times New Roman" w:eastAsia="Calibri" w:hAnsi="Times New Roman" w:cs="Times New Roman"/>
          <w:color w:val="000000" w:themeColor="text1"/>
        </w:rPr>
        <w:t>lack</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awareness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didn</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know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needed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it</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McAuliffe","given":"K","non-dropping-particle":"","parse-names":false,"suffix":""},{"dropping-particle":"","family":"Wang","given":"W","non-dropping-particle":"","parse-names":false,"suffix":""},{"dropping-particle":"","family":"Rubio","given":"M","non-dropping-particle":"","parse-names":false,"suffix":""},{"dropping-particle":"","family":"Sawyer","given":"M","non-dropping-particle":"","parse-names":false,"suffix":""},{"dropping-particle":"","family":"Peddecord","given":"KM","non-dropping-particle":"","parse-names":false,"suffix":""},{"dropping-particle":"","family":"Waters-Montijo","given":"K","non-dropping-particle":"","parse-names":false,"suffix":""}],"container-title":"National Immunization Conference","id":"ITEM-1","issued":{"date-parts":[["2011"]]},"publisher-place":"Washington, D.C.","title":"Tdap Coverage Rates During a Major Pertussis Outbreak: Results From a Cross-Sectional Survey of Adults In San Diego County","type":"paper-conference"},"uris":["http://www.mendeley.com/documents/?uuid=5d0d804b-65fb-32e0-a7a4-5eae354ead5d","http://www.mendeley.com/documents/?uuid=47372c5a-69af-411a-b8be-a503c731bf04","http://www.mendeley.com/documents/?uuid=6c7dd690-b9fb-4210-9a6a-8c505f698514"]}],"mendeley":{"formattedCitation":"(McAuliffe et al., 2011)","plainTextFormattedCitation":"(McAuliffe et al., 2011)","previouslyFormattedCitation":"(McAuliffe et al., 2011)"},"properties":{"noteIndex":0},"schema":"https://github.com/citation-style-language/schema/raw/master/csl-citation.json"}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(McAuliffe et al., 2011)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651195D6" w14:textId="77777777" w:rsidR="002D463A" w:rsidRPr="003D2D46" w:rsidRDefault="002D463A" w:rsidP="00580A15">
      <w:pPr>
        <w:spacing w:line="480" w:lineRule="auto"/>
        <w:contextualSpacing/>
        <w:rPr>
          <w:rFonts w:ascii="Times New Roman" w:hAnsi="Times New Roman" w:cs="Times New Roman"/>
          <w:color w:val="000000" w:themeColor="text1"/>
        </w:rPr>
      </w:pPr>
    </w:p>
    <w:p w14:paraId="6EAE0D07" w14:textId="77777777" w:rsidR="002D463A" w:rsidRPr="003D2D46" w:rsidRDefault="002D463A" w:rsidP="00580A15">
      <w:pPr>
        <w:spacing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Lack of awareness or lack of perception of need has been established as a major barrier to pertussis vaccine receipt. We do not know, however, what and if other health behavior, attitudinal, and decision-making factors play a role in people’s decision regarding pertussis vaccination. Filling this gap is necessary as the incidence of pertussis is increasing and can cause severe illness in one of our most vulnerable populations—infants. </w:t>
      </w:r>
    </w:p>
    <w:p w14:paraId="2636C107" w14:textId="77777777" w:rsidR="002D463A" w:rsidRPr="003D2D46" w:rsidRDefault="002D463A" w:rsidP="00580A15">
      <w:pPr>
        <w:spacing w:line="480" w:lineRule="auto"/>
        <w:contextualSpacing/>
        <w:rPr>
          <w:rFonts w:ascii="Times New Roman" w:hAnsi="Times New Roman" w:cs="Times New Roman"/>
          <w:color w:val="000000" w:themeColor="text1"/>
        </w:rPr>
      </w:pPr>
    </w:p>
    <w:p w14:paraId="6800C3BA" w14:textId="216D25BE" w:rsidR="004F499F" w:rsidRPr="003D2D46" w:rsidRDefault="005529ED" w:rsidP="00E403C2">
      <w:pPr>
        <w:pStyle w:val="Heading41111"/>
        <w:spacing w:line="480" w:lineRule="auto"/>
        <w:rPr>
          <w:rFonts w:eastAsia="Calibri" w:cs="Times New Roman"/>
          <w:color w:val="000000" w:themeColor="text1"/>
        </w:rPr>
      </w:pPr>
      <w:bookmarkStart w:id="102" w:name="_Toc82445529"/>
      <w:bookmarkStart w:id="103" w:name="_Toc87797092"/>
      <w:r w:rsidRPr="003D2D46">
        <w:rPr>
          <w:rFonts w:eastAsia="Calibri" w:cs="Times New Roman"/>
          <w:color w:val="000000" w:themeColor="text1"/>
        </w:rPr>
        <w:t>3.</w:t>
      </w:r>
      <w:r w:rsidR="000D1486" w:rsidRPr="003D2D46">
        <w:rPr>
          <w:rFonts w:eastAsia="Calibri" w:cs="Times New Roman"/>
          <w:color w:val="000000" w:themeColor="text1"/>
        </w:rPr>
        <w:t>3</w:t>
      </w:r>
      <w:r w:rsidRPr="003D2D46">
        <w:rPr>
          <w:rFonts w:eastAsia="Calibri" w:cs="Times New Roman"/>
          <w:color w:val="000000" w:themeColor="text1"/>
        </w:rPr>
        <w:t xml:space="preserve">.3 </w:t>
      </w:r>
      <w:r w:rsidR="002D463A" w:rsidRPr="003D2D46">
        <w:rPr>
          <w:rFonts w:eastAsia="Calibri" w:cs="Times New Roman"/>
          <w:color w:val="000000" w:themeColor="text1"/>
        </w:rPr>
        <w:t>Approaches to Understanding Health Behaviors and Vaccine Attitudes</w:t>
      </w:r>
      <w:bookmarkEnd w:id="102"/>
      <w:bookmarkEnd w:id="103"/>
    </w:p>
    <w:p w14:paraId="0061938F" w14:textId="4FC1AB5D" w:rsidR="002D463A" w:rsidRPr="003D2D46" w:rsidRDefault="002D463A">
      <w:pPr>
        <w:widowControl w:val="0"/>
        <w:autoSpaceDE w:val="0"/>
        <w:autoSpaceDN w:val="0"/>
        <w:adjustRightInd w:val="0"/>
        <w:spacing w:line="480" w:lineRule="auto"/>
        <w:rPr>
          <w:rFonts w:ascii="Times New Roman" w:hAnsi="Times New Roman" w:cs="Times New Roman"/>
          <w:color w:val="000000" w:themeColor="text1"/>
        </w:rPr>
      </w:pPr>
      <w:r w:rsidRPr="003D2D46">
        <w:rPr>
          <w:rFonts w:ascii="Times New Roman" w:eastAsia="Calibri" w:hAnsi="Times New Roman" w:cs="Times New Roman"/>
          <w:color w:val="000000" w:themeColor="text1"/>
        </w:rPr>
        <w:t>Several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models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their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foundation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assumption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decisions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made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rationally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Belief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Model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Theory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Reasoned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w:t>
      </w:r>
      <w:r w:rsidRPr="003D2D46">
        <w:rPr>
          <w:rFonts w:ascii="Times New Roman" w:hAnsi="Times New Roman" w:cs="Times New Roman"/>
          <w:color w:val="000000" w:themeColor="text1"/>
        </w:rPr>
        <w:t xml:space="preserve">). However, we know that people often make health decisions that are not </w:t>
      </w:r>
      <w:r w:rsidR="00214C31" w:rsidRPr="003D2D46">
        <w:rPr>
          <w:rFonts w:ascii="Times New Roman" w:hAnsi="Times New Roman" w:cs="Times New Roman"/>
          <w:color w:val="000000" w:themeColor="text1"/>
        </w:rPr>
        <w:t xml:space="preserve">rational or </w:t>
      </w:r>
      <w:r w:rsidRPr="003D2D46">
        <w:rPr>
          <w:rFonts w:ascii="Times New Roman" w:hAnsi="Times New Roman" w:cs="Times New Roman"/>
          <w:color w:val="000000" w:themeColor="text1"/>
        </w:rPr>
        <w:t xml:space="preserve">in their best interest. Behavioral economics asserts that people do not act </w:t>
      </w:r>
      <w:r w:rsidRPr="003D2D46">
        <w:rPr>
          <w:rFonts w:ascii="Times New Roman" w:hAnsi="Times New Roman" w:cs="Times New Roman"/>
          <w:color w:val="000000" w:themeColor="text1"/>
        </w:rPr>
        <w:lastRenderedPageBreak/>
        <w:t xml:space="preserve">rationally, make decisions based on, amongst other things, inadequate understanding of possible outcomes, and do not always learn from their mistakes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{"citationItems":[{"id":"ITEM-1","itemData":{"DOI":"10.1146/annurev-publhealth-031912-114353","ISSN":"0163-7525","abstract":"People often make decisions in health care that are not in their best interest, ranging from failing to enroll in health insurance to which they are entitled, to engaging in extremely harmful behaviors. Traditional economic theory provides a limited tool kit for improving behavior because it assumes that people make decisions in a rational way, have the mental capacity to deal with huge amounts of information and choice, and have tastes endemic to them and not open to manipulation. Melding economics with psychology, behavioral economics acknowledges that people often do not act rationally in the economic sense. It therefore offers a potentially richer set of tools than provided by traditional economic theory to understand and influence behaviors. Only recently, however, has it been applied to health care. This article provides an overview of behavioral economics, reviews some of its contributions, and shows how it can be used in health care to improve people's decisions and health.","author":[{"dropping-particle":"","family":"Rice","given":"Thomas","non-dropping-particle":"","parse-names":false,"suffix":""}],"container-title":"Annual Review of Public Health","id":"ITEM-1","issue":"1","issued":{"date-parts":[["2013","3"]]},"page":"431-447","publisher":"Annual Reviews","title":"The Behavioral Economics of Health and Health Care","type":"article-journal","volume":"34"},"uris":["http://www.mendeley.com/documents/?uuid=e369cb54-04f1-3545-859c-7b35f71d4cd2","http://www.mendeley.com/documents/?uuid=de7fa600-cdc4-4e23-91bc-161eb6d67d02","http://www.mendeley.com/documents/?uuid=7b0b0738-ea71-4f4d-b8ff-a73bc7faa062"]}],"mendeley":{"formattedCitation":"(Rice, 2013)","plainTextFormattedCitation":"(Rice, 2013)","previouslyFormattedCitation":"(Rice,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(Rice,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00214C31" w:rsidRPr="003D2D46">
        <w:rPr>
          <w:rFonts w:ascii="Times New Roman" w:hAnsi="Times New Roman" w:cs="Times New Roman"/>
          <w:color w:val="000000" w:themeColor="text1"/>
        </w:rPr>
        <w:t>Therefore</w:t>
      </w:r>
      <w:r w:rsidRPr="003D2D46">
        <w:rPr>
          <w:rFonts w:ascii="Times New Roman" w:hAnsi="Times New Roman" w:cs="Times New Roman"/>
          <w:color w:val="000000" w:themeColor="text1"/>
        </w:rPr>
        <w:t xml:space="preserve">, it is necessary to consider psychological and sociological influences when seeking to understand health behavior. We sought to explore vaccination attitudes using a theoretical model that does not assume rational decision making in health behavior, specifically the Theory of Triadic Influence (TTI). </w:t>
      </w:r>
    </w:p>
    <w:p w14:paraId="3A669863" w14:textId="77777777" w:rsidR="002D463A" w:rsidRPr="003D2D46" w:rsidRDefault="002D463A" w:rsidP="00580A15">
      <w:pPr>
        <w:widowControl w:val="0"/>
        <w:autoSpaceDE w:val="0"/>
        <w:autoSpaceDN w:val="0"/>
        <w:adjustRightInd w:val="0"/>
        <w:spacing w:line="480" w:lineRule="auto"/>
        <w:rPr>
          <w:rFonts w:ascii="Times New Roman" w:hAnsi="Times New Roman" w:cs="Times New Roman"/>
          <w:color w:val="000000" w:themeColor="text1"/>
        </w:rPr>
      </w:pPr>
    </w:p>
    <w:p w14:paraId="0CF0D3BA" w14:textId="0F68F0AB" w:rsidR="002D463A" w:rsidRPr="003D2D46" w:rsidRDefault="002D463A" w:rsidP="00580A15">
      <w:pPr>
        <w:widowControl w:val="0"/>
        <w:autoSpaceDE w:val="0"/>
        <w:autoSpaceDN w:val="0"/>
        <w:adjustRightInd w:val="0"/>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Understanding the social and psychological contexts in which people develop their vaccination attitudes and make vaccination decisions is necessary to address vaccine hesitancy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{"citationItems":[{"id":"ITEM-1","itemData":{"DOI":"10.1016/j.vaccine.2015.04.041","ISSN":"18732518","abstract":"When faced with vaccine hesitancy, public health authorities are looking for effective strategies to address this issue. In this paper, the findings of 15 published literature reviews or meta-analysis that have examined the effectiveness of different interventions to reduce vaccine hesitancy and/or to enhance vaccine acceptance are presented and discussed. From the literature, there is no strong evidence to recommend any specific intervention to address vaccine hesitancy/refusal. The reviewed studies included interventions with diverse content and approaches that were implemented in different settings and targeted various populations. Few interventions were directly targeted to vaccine hesitant individuals. Given the paucity of information on effective strategies to address vaccine hesitancy, when interventions are implemented, planning a rigorous evaluation of their impact on vaccine hesitancy/vaccine acceptance will be essential.","author":[{"dropping-particle":"","family":"Dubé","given":"Eve","non-dropping-particle":"","parse-names":false,"suffix":""},{"dropping-particle":"","family":"Gagnon","given":"Dominique","non-dropping-particle":"","parse-names":false,"suffix":""},{"dropping-particle":"","family":"MacDonald","given":"Noni 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non-dropping-particle":"","parse-names":false,"suffix":""},{"dropping-particle":"","family":"Gellin","given":"Bruce","non-dropping-particle":"","parse-names":false,"suffix":""},{"dropping-particle":"","family":"Goldstein","given":"Susan","non-dropping-particle":"","parse-names":false,"suffix":""},{"dropping-particle":"","family":"Larson","given":"Heidi","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non-dropping-particle":"","parse-names":false,"suffix":""},{"dropping-particle":"","family":"Schuster","given":"Melanie","non-dropping-particle":"","parse-names":false,"suffix":""}],"container-title":"Vaccine","id":"ITEM-1","issue":"34","issued":{"date-parts":[["2015","8"]]},"page":"4191-4203","publisher":"Elsevier Ltd","title":"Strategies intended to address vaccine hesitancy: Review of published reviews","type":"article-journal","volume":"33"},"uris":["http://www.mendeley.com/documents/?uuid=01a8060d-0d31-474c-a57e-1614894c6df0","http://www.mendeley.com/documents/?uuid=4305d102-a667-40b1-9393-9844fff71880","http://www.mendeley.com/documents/?uuid=68ed33ef-cf4c-30ef-83fd-f7ef4e028e2c"]}],"mendeley":{"formattedCitation":"(Dubé et al., 2015)","plainTextFormattedCitation":"(Dubé et al., 2015)","previouslyFormattedCitation":"(Dubé et al.,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(Dubé et al.,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The Theory of Triadic Influence (TTI), an integrative, ecological model, assesses the proximal and distal influences on behavior (Flay et al., 2009). </w:t>
      </w:r>
      <w:r w:rsidRPr="003D2D46">
        <w:rPr>
          <w:rFonts w:ascii="Times New Roman" w:hAnsi="Times New Roman" w:cs="Times New Roman"/>
          <w:color w:val="000000" w:themeColor="text1"/>
        </w:rPr>
        <w:t xml:space="preserve">Extant literature suggests that individual rights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{"citationItems":[{"id":"ITEM-1","itemData":{"DOI":"10.1016/j.vaccine.2009.12.022","ISSN":"0264410X","abstract":"The Internet plays a large role in disseminating anti-vaccination information. This paper builds upon previous research by analyzing the arguments proffered on anti-vaccination websites, determining the extent of misinformation present, and examining discourses used to support vaccine objections. Arguments around the themes of safety and effectiveness, alternative medicine, civil liberties, conspiracy theories, and morality were found on the majority of websites analyzed; misinformation was also prevalent. The most commonly proposed method of combating this misinformation is through better education, although this has proven ineffective. Education does not consider the discourses supporting vaccine rejection, such as those involving alternative explanatory models of health, interpretations of parental responsibility, and distrust of expertise. Anti-vaccination protestors make postmodern arguments that reject biomedical and scientific \"facts\" in favour of their own interpretations. Pro-vaccination advocates who focus on correcting misinformation reduce the controversy to merely an \"educational\" problem; rather, these postmodern discourses must be acknowledged in order to begin a dialogue. © 2009 Elsevier Ltd. All rights reserved.","author":[{"dropping-particle":"","family":"Kata","given":"Anna","non-dropping-particle":"","parse-names":false,"suffix":""}],"container-title":"Vaccine","id":"ITEM-1","issue":"7","issued":{"date-parts":[["2010","2"]]},"page":"1709-1716","title":"A postmodern Pandora's box: Anti-vaccination misinformation on the Internet","type":"article-journal","volume":"28"},"uris":["http://www.mendeley.com/documents/?uuid=53f8cb3c-ccb6-49a0-8882-3e8c2a776a1d","http://www.mendeley.com/documents/?uuid=61afff15-c965-44f3-8544-a3322c20a4f9","http://www.mendeley.com/documents/?uuid=7d14b10d-cba7-3036-8247-749d7977d3f5"]}],"mendeley":{"formattedCitation":"(Kata, 2010)","plainTextFormattedCitation":"(Kata, 2010)","previouslyFormattedCitation":"(Kata,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(Kata,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previous medical experiences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{"citationItems":[{"id":"ITEM-1","itemData":{"DOI":"10.1016/0002-9343(91)90157-S","ISSN":"00029343","PMID":"1951383","abstract":"purpose: To determine whether patients' demographic, medical, and personal characteristics, including attitudes and beliefs about vaccination, health, and medical providers, are associated with acceptance of influenza vaccine. patients and methods: Nine hundred sixtyfive patients attending a university hospitalbased general medicine clinic during the fall influenza vaccination period, including 624 patients for whom influenza vaccine was indicated, were observed in a prospective cohort study. In addition, 58 patients who refused influenza vaccine and an equal number who accepted it were interviewed over the telephone to examine their beliefs and behaviors in greater detail. results: Seventy-five percent of patients for whom influenza vaccine was indicated received it. Prospectively assessed patient characteristics that were significantly associated with nonvaccination included not believing vaccine prevents \"flu\" (relative risk [RR] 5.3), never received pneumococcal vaccine (RR 3.5), not vaccinated against influenza the previous year (RR 3.5), never vaccinated against influenza (RR 2.3), and felt sick after previous influenza vaccination (RR 2.3). Demographic characteristics and medical diagnoses were not significantly related to vaccination. Almost one half of 58 interviewed subjects who refused influenza vaccine cited fear of a reaction. Among retrospectively determined attitudes and beliefs significantly associated with refusal of influenza vaccine were not believing the vaccine works well (odds ratio [OR] 11.6), concern about a reaction (OR 9.3), and perception that the medical provider had not recommended it (OR 5.8). conclusion: Demographic characteristics of patients and their medical diagnoses were not associated with acceptance of influenza vaccination. Among patients who were not vaccinated, doubts about the efficacy of influenza vaccine and fear of its side effects were common, and their perceptions of the medical provider's recommendation of vaccine appeared to be an important factor in the decision whether to accept it. © 1991.","author":[{"dropping-particle":"","family":"Fiebach","given":"Nicholas H.","non-dropping-particle":"","parse-names":false,"suffix":""},{"dropping-particle":"","family":"Viscoli","given":"Catherine M.","non-dropping-particle":"","parse-names":false,"suffix":""}],"container-title":"The American Journal of Medicine","id":"ITEM-1","issue":"4","issued":{"date-parts":[["1991"]]},"page":"393-400","title":"Patient acceptance of influenza vaccination","type":"article-journal","volume":"91"},"uris":["http://www.mendeley.com/documents/?uuid=df11d18f-3f95-4871-b2ea-651c835483a1","http://www.mendeley.com/documents/?uuid=0588dd70-ebf2-4e58-ac45-1d5f062daaf8","http://www.mendeley.com/documents/?uuid=90c16fcb-8497-3f71-a64f-b73c757f1c44"]}],"mendeley":{"formattedCitation":"(Fiebach &amp; Viscoli, 1991)","plainTextFormattedCitation":"(Fiebach &amp; Viscoli, 1991)","previouslyFormattedCitation":"(Fiebach &amp; Viscoli, 1991)"},"properties":{"noteIndex":0},"schema":"https://github.com/citation-style-language/schema/raw/master/csl-citation.json"}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(Fiebach &amp; Viscoli, 1991)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risk assessment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{"citationItems":[{"id":"ITEM-1","itemData":{"DOI":"10.1037/0278-6133.26.2.146","abstract":"Objective: Accurate measurement of beliefs about risk probability is essential to determine what role these beliefs have in health behavior. This study investigated the ability of several types of risk perception measures and of other constructs from health behavior theories to predict influenza vaccination. Design: Prospective study in which students, faculty, and staff at 3 universities (N 428) were interviewed in the fall, before influenza vaccine was available, and again early in the next calendar year. Main Outcome Measure: Self-reported influenza vaccination. Results: Two interview questions that asked about feeling at risk and feeling vulnerable predicted subsequent behavior better (r .44, p .001) than 2 questions that asked for agreement or disagreement with statements about risk probability (r .25, p .001) or 4 questions that asked respondents to estimate the magnitude of the risk probability (r .30, p .001). Of the 4 perceived risk magnitude scales, a 7-point verbal scale was the best predictor of behavior. Anticipated regret was the strongest predictor of vaccination (r .45, p .001) of all constructs studied, including risk perceptions, worry, and perceived vaccine effectiveness. Conclusion: Risk perceptions predicted subsequent vaccination. However, perceived risk phrased in terms of feelings rather than as a purely cognitive probability judgment predicted better. Because neither feeling at risk nor anticipated regret is represented in the most commonly used theories of health behavior, the data suggest that these theories are missing important constructs.","author":[{"dropping-particle":"","family":"Weinstein","given":"Neil D","non-dropping-particle":"","parse-names":false,"suffix":""},{"dropping-particle":"","family":"Kwitel","given":"Abbie","non-dropping-particle":"","parse-names":false,"suffix":""},{"dropping-particle":"","family":"Mccaul","given":"Kevin D","non-dropping-particle":"","parse-names":false,"suffix":""},{"dropping-particle":"","family":"Magnan","given":"Renee E","non-dropping-particle":"","parse-names":false,"suffix":""},{"dropping-particle":"","family":"Gerrard","given":"Meg","non-dropping-particle":"","parse-names":false,"suffix":""},{"dropping-particle":"","family":"Gibbons","given":"Frederick X","non-dropping-particle":"","parse-names":false,"suffix":""}],"id":"ITEM-1","issued":{"date-parts":[["2007"]]},"title":"Risk Perceptions: Assessment and Relationship to Influenza Vaccination","type":"article-journal"},"uris":["http://www.mendeley.com/documents/?uuid=76971641-2a31-4932-9e05-be205dc48e3a","http://www.mendeley.com/documents/?uuid=6b1baa48-2379-4e1c-aa31-0e7ba07aac40","http://www.mendeley.com/documents/?uuid=1e4453ff-361b-36b2-8937-82716c52ca7d"]}],"mendeley":{"formattedCitation":"(Weinstein et al., 2007)","plainTextFormattedCitation":"(Weinstein et al., 2007)","previouslyFormattedCitation":"(Weinstein et al.,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(Weinstein et al.,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family and friends’ attitudes towards vaccination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Medicine","id":"ITEM-1","issued":{"date-parts":[["2014"]]},"page":"1-11","publisher":"Elsevier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Yaqub et al., 2014)","plainTextFormattedCitation":"(Yaqub et al., 2014)","previouslyFormattedCitation":"(Yaqub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(Yaqub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influence how people make their vaccine decisions. The TTI includes perceived sense of control, motivation to comply, others’ behaviors and attitudes, perceived norms, knowledge, information sources, and institutional interactions as central concepts. We used the TTI as a framework to investigate how these components related to attitudes and behaviors regarding vaccination. </w:t>
      </w:r>
    </w:p>
    <w:p w14:paraId="0DF74C8F" w14:textId="77777777" w:rsidR="002D463A" w:rsidRPr="003D2D46" w:rsidRDefault="002D463A" w:rsidP="00580A15">
      <w:pPr>
        <w:widowControl w:val="0"/>
        <w:autoSpaceDE w:val="0"/>
        <w:autoSpaceDN w:val="0"/>
        <w:adjustRightInd w:val="0"/>
        <w:spacing w:line="480" w:lineRule="auto"/>
        <w:rPr>
          <w:rFonts w:ascii="Times New Roman" w:hAnsi="Times New Roman" w:cs="Times New Roman"/>
          <w:color w:val="000000" w:themeColor="text1"/>
        </w:rPr>
      </w:pPr>
    </w:p>
    <w:p w14:paraId="6340B016" w14:textId="53D7FAC2" w:rsidR="002D463A" w:rsidRPr="003D2D46" w:rsidRDefault="002D463A" w:rsidP="000F5D77">
      <w:pPr>
        <w:spacing w:line="480" w:lineRule="auto"/>
        <w:contextualSpacing/>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Understanding vaccination attitudes is critical to understanding vaccine hesitancy, which has been identified as a major barrier to vaccination coverage. In fact, </w:t>
      </w:r>
      <w:r w:rsidRPr="003D2D46">
        <w:rPr>
          <w:rFonts w:ascii="Times New Roman" w:hAnsi="Times New Roman" w:cs="Times New Roman"/>
          <w:color w:val="000000" w:themeColor="text1"/>
        </w:rPr>
        <w:t xml:space="preserve">a call to action </w:t>
      </w:r>
      <w:r w:rsidRPr="003D2D46">
        <w:rPr>
          <w:rFonts w:ascii="Times New Roman" w:hAnsi="Times New Roman" w:cs="Times New Roman"/>
          <w:color w:val="000000" w:themeColor="text1"/>
        </w:rPr>
        <w:lastRenderedPageBreak/>
        <w:t xml:space="preserve">regarding further understanding of attitudes towards vaccinations and the barriers hesitancy and negative attitudes present has been made by global research and public health communities </w:t>
      </w:r>
      <w:r w:rsidRPr="003D2D46">
        <w:rPr>
          <w:rFonts w:ascii="Times New Roman" w:hAnsi="Times New Roman" w:cs="Times New Roman"/>
          <w:color w:val="000000" w:themeColor="text1"/>
        </w:rPr>
        <w:fldChar w:fldCharType="begin" w:fldLock="1"/>
      </w:r>
      <w:r w:rsidR="00C607E9" w:rsidRPr="003D2D46">
        <w:rPr>
          <w:rFonts w:ascii="Times New Roman" w:hAnsi="Times New Roman" w:cs="Times New Roman"/>
          <w:color w:val="000000" w:themeColor="text1"/>
        </w:rPr>
        <w:instrText>ADDIN CSL_CITATION {"citationItems":[{"id":"ITEM-1","itemData":{"DOI":"10.1016/j.amepre.2015.06.009","ISSN":"18732607","abstract":"Vaccine hesitancy reflects concerns about the decision to vaccinate oneself or one's children. There is a broad range of factors contributing to vaccine hesitancy, including the compulsory nature of vaccines, their coincidental temporal relationships to adverse health outcomes, unfamiliarity with vaccine-preventable diseases, and lack of trust in corporations and public health agencies. Although vaccination is a norm in the U.S. and the majority of parents vaccinate their children, many do so amid concerns. The proportion of parents claiming non-medical exemptions to school immunization requirements has been increasing over the past decade. Vaccine refusal has been associated with outbreaks of invasive Haemophilus influenzae type b disease, varicella, pneumococcal disease, measles, and pertussis, resulting in the unnecessary suffering of young children and waste of limited public health resources. Vaccine hesitancy is an extremely important issue that needs to be addressed because effective control of vaccine-preventable diseases generally requires indefinite maintenance of extremely high rates of timely vaccination. The multifactorial and complex causes of vaccine hesitancy require a broad range of approaches on the individual, provider, health system, and national levels. These include standardized measurement tools to quantify and locate clustering of vaccine hesitancy and better understand issues of trust; rapid, independent, and transparent review of an enhanced and appropriately funded vaccine safety system; adequate reimbursement for vaccine risk communication in doctors' offices; and individually tailored messages for parents who have vaccine concerns, especially first-time pregnant women. The potential of vaccines to prevent illness and save lives has never been greater. Yet, that potential is directly dependent on parental acceptance of vaccines, which requires confidence in vaccines, healthcare providers who recommend and administer vaccines, and the systems to make sure vaccines are safe.","author":[{"dropping-particle":"","family":"Salmon","given":"Daniel A.","non-dropping-particle":"","parse-names":false,"suffix":""},{"dropping-particle":"","family":"Dudley","given":"Matthew Z.","non-dropping-particle":"","parse-names":false,"suffix":""},{"dropping-particle":"","family":"Glanz","given":"Jason M.","non-dropping-particle":"","parse-names":false,"suffix":""},{"dropping-particle":"","family":"Omer","given":"Saad B.","non-dropping-particle":"","parse-names":false,"suffix":""}],"container-title":"American Journal of Preventive Medicine","id":"ITEM-1","issue":"6","issued":{"date-parts":[["2015","11"]]},"page":"S391-S398","publisher":"Elsevier Inc.","title":"Vaccine Hesitancy: Causes, Consequences, and a Call to Action","type":"article-journal","volume":"49"},"uris":["http://www.mendeley.com/documents/?uuid=31da0c0f-00f0-357b-b9bd-b4a753d7e978","http://www.mendeley.com/documents/?uuid=85ee859a-a76c-4827-afd8-c70550914ee1","http://www.mendeley.com/documents/?uuid=db5725c8-2187-494b-bc0d-7b6a483e70bb"]},{"id":"ITEM-2","itemData":{"URL":"https://www.who.int/news-room/spotlight/ten-threats-to-global-health-in-2019","accessed":{"date-parts":[["2021","11","14"]]},"author":[{"dropping-particle":"","family":"World Health Organization (WHO)","given":"","non-dropping-particle":"","parse-names":false,"suffix":""}],"id":"ITEM-2","issued":{"date-parts":[["2019"]]},"title":"Ten threats to global health in 2019","type":"webpage"},"uris":["http://www.mendeley.com/documents/?uuid=23b819d9-6c09-466c-af9e-ce5bcb4d96ba","http://www.mendeley.com/documents/?uuid=66878006-4ab5-43b2-9b8b-89d98732570a","http://www.mendeley.com/documents/?uuid=c8b077c4-2809-3913-bf58-85628249a218"]}],"mendeley":{"formattedCitation":"(Salmon et al., 2015; World Health Organization (WHO), 2019)","plainTextFormattedCitation":"(Salmon et al., 2015; World Health Organization (WHO), 2019)","previouslyFormattedCitation":"(Salmon et al., 2015; World Health Organization (WHO),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4773FF" w:rsidRPr="003D2D46">
        <w:rPr>
          <w:rFonts w:ascii="Times New Roman" w:hAnsi="Times New Roman" w:cs="Times New Roman"/>
          <w:noProof/>
          <w:color w:val="000000" w:themeColor="text1"/>
        </w:rPr>
        <w:t>(Salmon et al., 2015; World Health Organization (WHO),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w:t>
      </w:r>
      <w:r w:rsidR="00214C31" w:rsidRPr="003D2D46">
        <w:rPr>
          <w:rFonts w:ascii="Times New Roman" w:hAnsi="Times New Roman" w:cs="Times New Roman"/>
          <w:color w:val="000000" w:themeColor="text1"/>
        </w:rPr>
        <w:t xml:space="preserve">objectives </w:t>
      </w:r>
      <w:r w:rsidRPr="003D2D46">
        <w:rPr>
          <w:rFonts w:ascii="Times New Roman" w:hAnsi="Times New Roman" w:cs="Times New Roman"/>
          <w:color w:val="000000" w:themeColor="text1"/>
        </w:rPr>
        <w:t xml:space="preserve">of this project were to </w:t>
      </w:r>
      <w:r w:rsidRPr="003D2D46">
        <w:rPr>
          <w:rFonts w:ascii="Times New Roman" w:eastAsia="Calibri" w:hAnsi="Times New Roman" w:cs="Times New Roman"/>
          <w:color w:val="000000" w:themeColor="text1"/>
        </w:rPr>
        <w:t xml:space="preserve">qualitatively investigate vaccine attitudes and behavior, with emphasis on pertussis vaccination. We sought to explore these phenomena by developing a semi-structured interview protocol based on an integrative, ecological behavioral model. </w:t>
      </w:r>
    </w:p>
    <w:p w14:paraId="43B0274A" w14:textId="77777777" w:rsidR="00F951DA" w:rsidRPr="003D2D46" w:rsidRDefault="00F951DA" w:rsidP="000F5D77">
      <w:pPr>
        <w:spacing w:line="480" w:lineRule="auto"/>
        <w:contextualSpacing/>
        <w:rPr>
          <w:rFonts w:ascii="Times New Roman" w:hAnsi="Times New Roman" w:cs="Times New Roman"/>
          <w:color w:val="000000" w:themeColor="text1"/>
        </w:rPr>
      </w:pPr>
    </w:p>
    <w:p w14:paraId="57E01FEB" w14:textId="77777777" w:rsidR="002D463A" w:rsidRPr="003D2D46" w:rsidRDefault="005529ED">
      <w:pPr>
        <w:pStyle w:val="Heading2"/>
        <w:spacing w:before="0" w:after="0" w:line="480" w:lineRule="auto"/>
        <w:rPr>
          <w:rFonts w:cs="Times New Roman"/>
          <w:color w:val="000000" w:themeColor="text1"/>
          <w:szCs w:val="24"/>
        </w:rPr>
      </w:pPr>
      <w:bookmarkStart w:id="104" w:name="_Toc82445530"/>
      <w:bookmarkStart w:id="105" w:name="_Toc87797093"/>
      <w:r w:rsidRPr="003D2D46">
        <w:rPr>
          <w:rFonts w:cs="Times New Roman"/>
          <w:color w:val="000000" w:themeColor="text1"/>
          <w:szCs w:val="24"/>
        </w:rPr>
        <w:t>3</w:t>
      </w:r>
      <w:r w:rsidR="004B759B" w:rsidRPr="003D2D46">
        <w:rPr>
          <w:rFonts w:cs="Times New Roman"/>
          <w:color w:val="000000" w:themeColor="text1"/>
          <w:szCs w:val="24"/>
        </w:rPr>
        <w:t>.</w:t>
      </w:r>
      <w:r w:rsidR="000D1486" w:rsidRPr="003D2D46">
        <w:rPr>
          <w:rFonts w:cs="Times New Roman"/>
          <w:color w:val="000000" w:themeColor="text1"/>
          <w:szCs w:val="24"/>
        </w:rPr>
        <w:t>4</w:t>
      </w:r>
      <w:r w:rsidR="004B759B" w:rsidRPr="003D2D46">
        <w:rPr>
          <w:rFonts w:cs="Times New Roman"/>
          <w:color w:val="000000" w:themeColor="text1"/>
          <w:szCs w:val="24"/>
        </w:rPr>
        <w:t xml:space="preserve"> </w:t>
      </w:r>
      <w:r w:rsidR="002D463A" w:rsidRPr="003D2D46">
        <w:rPr>
          <w:rFonts w:cs="Times New Roman"/>
          <w:color w:val="000000" w:themeColor="text1"/>
          <w:szCs w:val="24"/>
        </w:rPr>
        <w:t>Methods</w:t>
      </w:r>
      <w:bookmarkEnd w:id="104"/>
      <w:bookmarkEnd w:id="105"/>
    </w:p>
    <w:p w14:paraId="54B7CA1A" w14:textId="77777777" w:rsidR="00B0720D" w:rsidRPr="003D2D46" w:rsidRDefault="00B0720D" w:rsidP="00B0720D">
      <w:pPr>
        <w:spacing w:line="480" w:lineRule="auto"/>
        <w:rPr>
          <w:rFonts w:ascii="Times New Roman" w:eastAsia="Calibri" w:hAnsi="Times New Roman" w:cs="Times New Roman"/>
          <w:color w:val="000000" w:themeColor="text1"/>
        </w:rPr>
      </w:pPr>
      <w:bookmarkStart w:id="106" w:name="_Toc82445531"/>
      <w:r w:rsidRPr="003D2D46">
        <w:rPr>
          <w:rFonts w:ascii="Times New Roman" w:eastAsia="Calibri" w:hAnsi="Times New Roman" w:cs="Times New Roman"/>
          <w:color w:val="000000" w:themeColor="text1"/>
        </w:rPr>
        <w:t xml:space="preserve">This project was approved by the University of Tennessee Institutional Review Board (UTK IRB-15-02724-XP). </w:t>
      </w:r>
    </w:p>
    <w:p w14:paraId="3E599685" w14:textId="77777777" w:rsidR="00B0720D" w:rsidRPr="003D2D46" w:rsidRDefault="00B0720D">
      <w:pPr>
        <w:pStyle w:val="Heading41111"/>
        <w:spacing w:before="0" w:line="480" w:lineRule="auto"/>
        <w:rPr>
          <w:rFonts w:cs="Times New Roman"/>
          <w:color w:val="000000" w:themeColor="text1"/>
        </w:rPr>
      </w:pPr>
    </w:p>
    <w:p w14:paraId="4C3552A3" w14:textId="78DFD775" w:rsidR="002D463A" w:rsidRPr="003D2D46" w:rsidRDefault="005529ED">
      <w:pPr>
        <w:pStyle w:val="Heading41111"/>
        <w:spacing w:before="0" w:line="480" w:lineRule="auto"/>
        <w:rPr>
          <w:rFonts w:cs="Times New Roman"/>
          <w:color w:val="000000" w:themeColor="text1"/>
        </w:rPr>
      </w:pPr>
      <w:bookmarkStart w:id="107" w:name="_Toc87797094"/>
      <w:r w:rsidRPr="003D2D46">
        <w:rPr>
          <w:rFonts w:cs="Times New Roman"/>
          <w:color w:val="000000" w:themeColor="text1"/>
        </w:rPr>
        <w:t>3</w:t>
      </w:r>
      <w:r w:rsidR="004B759B" w:rsidRPr="003D2D46">
        <w:rPr>
          <w:rFonts w:cs="Times New Roman"/>
          <w:color w:val="000000" w:themeColor="text1"/>
        </w:rPr>
        <w:t>.</w:t>
      </w:r>
      <w:r w:rsidR="000D1486" w:rsidRPr="003D2D46">
        <w:rPr>
          <w:rFonts w:cs="Times New Roman"/>
          <w:color w:val="000000" w:themeColor="text1"/>
        </w:rPr>
        <w:t>4</w:t>
      </w:r>
      <w:r w:rsidR="004B759B" w:rsidRPr="003D2D46">
        <w:rPr>
          <w:rFonts w:cs="Times New Roman"/>
          <w:color w:val="000000" w:themeColor="text1"/>
        </w:rPr>
        <w:t xml:space="preserve">.1 </w:t>
      </w:r>
      <w:r w:rsidR="002D463A" w:rsidRPr="003D2D46">
        <w:rPr>
          <w:rFonts w:cs="Times New Roman"/>
          <w:color w:val="000000" w:themeColor="text1"/>
        </w:rPr>
        <w:t>Participants and Recruitment</w:t>
      </w:r>
      <w:bookmarkEnd w:id="106"/>
      <w:bookmarkEnd w:id="107"/>
    </w:p>
    <w:p w14:paraId="34B01002" w14:textId="1FBBB481" w:rsidR="002D463A" w:rsidRPr="003D2D46" w:rsidRDefault="002D463A">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This study involved two samples. The first sample was drawn from the population of the greater Knoxville, TN area. Participants were recruited using convenience sampling from community events and through distribution of advertisements around the greater metro area. Participants were recruited from sixteen community events that occurred between June 2016 and July 2018. Events included farmer’s markets and multicultural events from downtown, northern, and western areas of the greater Knoxville area. Flyers were distributed at these events to recruit people to participate in the study, which led to eleven interviews, all of which took place in-person at a private location of the participants’ choosing. </w:t>
      </w:r>
    </w:p>
    <w:p w14:paraId="6162D991" w14:textId="77777777" w:rsidR="002D463A" w:rsidRPr="003D2D46" w:rsidRDefault="002D463A" w:rsidP="00580A15">
      <w:pPr>
        <w:spacing w:line="480" w:lineRule="auto"/>
        <w:rPr>
          <w:rFonts w:ascii="Times New Roman" w:eastAsia="Calibri" w:hAnsi="Times New Roman" w:cs="Times New Roman"/>
          <w:color w:val="000000" w:themeColor="text1"/>
        </w:rPr>
      </w:pPr>
    </w:p>
    <w:p w14:paraId="28417C66" w14:textId="7F086C09"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second sample was purposely recruited using advertisements in a Facebook group for people in the Knoxville area that explicitly </w:t>
      </w:r>
      <w:r w:rsidR="00214C31" w:rsidRPr="003D2D46">
        <w:rPr>
          <w:rFonts w:ascii="Times New Roman" w:hAnsi="Times New Roman" w:cs="Times New Roman"/>
          <w:color w:val="000000" w:themeColor="text1"/>
        </w:rPr>
        <w:t xml:space="preserve">identified </w:t>
      </w:r>
      <w:r w:rsidRPr="003D2D46">
        <w:rPr>
          <w:rFonts w:ascii="Times New Roman" w:hAnsi="Times New Roman" w:cs="Times New Roman"/>
          <w:color w:val="000000" w:themeColor="text1"/>
        </w:rPr>
        <w:t xml:space="preserve">as anti-vaccination. Between June 2016 and July 2018, a total of ten posts were made in this group to recruit participants. This </w:t>
      </w:r>
      <w:r w:rsidRPr="003D2D46">
        <w:rPr>
          <w:rFonts w:ascii="Times New Roman" w:eastAsia="Calibri" w:hAnsi="Times New Roman" w:cs="Times New Roman"/>
          <w:color w:val="000000" w:themeColor="text1"/>
        </w:rPr>
        <w:t>purposive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sampling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yielded three responses and zero interviews. </w:t>
      </w:r>
    </w:p>
    <w:p w14:paraId="734E1E08" w14:textId="77777777" w:rsidR="002D463A" w:rsidRPr="003D2D46" w:rsidRDefault="002D463A" w:rsidP="00580A15">
      <w:pPr>
        <w:spacing w:line="480" w:lineRule="auto"/>
        <w:rPr>
          <w:rFonts w:ascii="Times New Roman" w:eastAsia="Calibri" w:hAnsi="Times New Roman" w:cs="Times New Roman"/>
          <w:color w:val="000000" w:themeColor="text1"/>
        </w:rPr>
      </w:pPr>
    </w:p>
    <w:p w14:paraId="28067053" w14:textId="70DD94EC" w:rsidR="002D463A" w:rsidRPr="003D2D46" w:rsidRDefault="002D463A"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We used snowball sampling with both samples. Participants from both samples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people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who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expressed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interest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w:t>
      </w:r>
      <w:r w:rsidR="00B0720D" w:rsidRPr="003D2D46">
        <w:rPr>
          <w:rFonts w:ascii="Times New Roman" w:eastAsia="Calibri" w:hAnsi="Times New Roman" w:cs="Times New Roman"/>
          <w:color w:val="000000" w:themeColor="text1"/>
        </w:rPr>
        <w:t>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study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were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asked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aid in recruiting </w:t>
      </w:r>
      <w:r w:rsidR="00B0720D" w:rsidRPr="003D2D46">
        <w:rPr>
          <w:rFonts w:ascii="Times New Roman" w:eastAsia="Calibri" w:hAnsi="Times New Roman" w:cs="Times New Roman"/>
          <w:color w:val="000000" w:themeColor="text1"/>
        </w:rPr>
        <w:t xml:space="preserve">people </w:t>
      </w:r>
      <w:r w:rsidRPr="003D2D46">
        <w:rPr>
          <w:rFonts w:ascii="Times New Roman" w:eastAsia="Calibri" w:hAnsi="Times New Roman" w:cs="Times New Roman"/>
          <w:color w:val="000000" w:themeColor="text1"/>
        </w:rPr>
        <w:t xml:space="preserve">they knew would be interested in participating. </w:t>
      </w:r>
      <w:r w:rsidRPr="003D2D46">
        <w:rPr>
          <w:rFonts w:ascii="Times New Roman" w:hAnsi="Times New Roman" w:cs="Times New Roman"/>
          <w:color w:val="000000" w:themeColor="text1"/>
        </w:rPr>
        <w:t xml:space="preserve">We considered that this approach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Luborsky","given":"MR","non-dropping-particle":"","parse-names":false,"suffix":""},{"dropping-particle":"","family":"Rubinstein","given":"RL","non-dropping-particle":"","parse-names":false,"suffix":""}],"container-title":"Res Aging","id":"ITEM-1","issue":"1","issued":{"date-parts":[["1995"]]},"page":"89-113","title":"Sampling in Qualitative Research: Rationale, Issues, and Methods","type":"article-journal","volume":"17"},"uris":["http://www.mendeley.com/documents/?uuid=c895a44f-f738-3d85-a40f-e347025f8f03","http://www.mendeley.com/documents/?uuid=ee3162b7-091a-4a97-ac35-06068dafcb16","http://www.mendeley.com/documents/?uuid=22a44100-8435-467b-9665-ef070c3299ad"]}],"mendeley":{"formattedCitation":"(Luborsky &amp; Rubinstein, 1995)","plainTextFormattedCitation":"(Luborsky &amp; Rubinstein, 1995)","previouslyFormattedCitation":"(Luborsky &amp; Rubinstein, 1995)"},"properties":{"noteIndex":0},"schema":"https://github.com/citation-style-language/schema/raw/master/csl-citation.json"}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(Luborsky &amp; Rubinstein, 1995)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may increase participant response, particularly from the second, anti-vaccination sample where trust of researchers is already low and positive word-of-mouth amongst the community may increase participation. </w:t>
      </w:r>
      <w:r w:rsidRPr="003D2D46">
        <w:rPr>
          <w:rFonts w:ascii="Times New Roman" w:eastAsia="Calibri" w:hAnsi="Times New Roman" w:cs="Times New Roman"/>
          <w:color w:val="000000" w:themeColor="text1"/>
        </w:rPr>
        <w:t>Physical and</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digital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copies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recruitment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flier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were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offered to all participants or interested persons</w:t>
      </w:r>
      <w:r w:rsidRPr="003D2D46">
        <w:rPr>
          <w:rFonts w:ascii="Times New Roman" w:hAnsi="Times New Roman" w:cs="Times New Roman"/>
          <w:color w:val="000000" w:themeColor="text1"/>
        </w:rPr>
        <w:t>.</w:t>
      </w:r>
      <w:r w:rsidR="00B0720D"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Study participation was voluntary. Each participant was assigned a pseudonym to maintain confidentiality. No incentives or remuneration were offered to participants. </w:t>
      </w:r>
    </w:p>
    <w:p w14:paraId="1A0FDA86" w14:textId="77777777" w:rsidR="002D463A" w:rsidRPr="003D2D46" w:rsidRDefault="002D463A" w:rsidP="00E547A1">
      <w:pPr>
        <w:spacing w:line="480" w:lineRule="auto"/>
        <w:rPr>
          <w:rFonts w:ascii="Times New Roman" w:hAnsi="Times New Roman" w:cs="Times New Roman"/>
          <w:color w:val="000000" w:themeColor="text1"/>
        </w:rPr>
      </w:pPr>
    </w:p>
    <w:p w14:paraId="6D3F0D42" w14:textId="77777777" w:rsidR="002D463A" w:rsidRPr="003D2D46" w:rsidRDefault="005529ED" w:rsidP="00E547A1">
      <w:pPr>
        <w:pStyle w:val="Heading41111"/>
        <w:spacing w:line="480" w:lineRule="auto"/>
        <w:rPr>
          <w:rFonts w:cs="Times New Roman"/>
          <w:color w:val="000000" w:themeColor="text1"/>
        </w:rPr>
      </w:pPr>
      <w:bookmarkStart w:id="108" w:name="_Toc82445532"/>
      <w:bookmarkStart w:id="109" w:name="_Toc87797095"/>
      <w:r w:rsidRPr="003D2D46">
        <w:rPr>
          <w:rFonts w:cs="Times New Roman"/>
          <w:color w:val="000000" w:themeColor="text1"/>
        </w:rPr>
        <w:t>3</w:t>
      </w:r>
      <w:r w:rsidR="004B759B" w:rsidRPr="003D2D46">
        <w:rPr>
          <w:rFonts w:cs="Times New Roman"/>
          <w:color w:val="000000" w:themeColor="text1"/>
        </w:rPr>
        <w:t>.</w:t>
      </w:r>
      <w:r w:rsidR="000D1486" w:rsidRPr="003D2D46">
        <w:rPr>
          <w:rFonts w:cs="Times New Roman"/>
          <w:color w:val="000000" w:themeColor="text1"/>
        </w:rPr>
        <w:t>4</w:t>
      </w:r>
      <w:r w:rsidR="004B759B" w:rsidRPr="003D2D46">
        <w:rPr>
          <w:rFonts w:cs="Times New Roman"/>
          <w:color w:val="000000" w:themeColor="text1"/>
        </w:rPr>
        <w:t xml:space="preserve">.2 </w:t>
      </w:r>
      <w:r w:rsidR="002D463A" w:rsidRPr="003D2D46">
        <w:rPr>
          <w:rFonts w:cs="Times New Roman"/>
          <w:color w:val="000000" w:themeColor="text1"/>
        </w:rPr>
        <w:t>Procedures</w:t>
      </w:r>
      <w:bookmarkEnd w:id="108"/>
      <w:bookmarkEnd w:id="109"/>
    </w:p>
    <w:p w14:paraId="26ECA13A" w14:textId="20B97FF6" w:rsidR="002D463A" w:rsidRPr="003D2D46" w:rsidRDefault="002D463A" w:rsidP="00E547A1">
      <w:pPr>
        <w:spacing w:line="480" w:lineRule="auto"/>
        <w:contextualSpacing/>
        <w:rPr>
          <w:rFonts w:ascii="Times New Roman" w:hAnsi="Times New Roman" w:cs="Times New Roman"/>
          <w:color w:val="000000" w:themeColor="text1"/>
        </w:rPr>
      </w:pP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participants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prior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beginning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after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obtaining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informed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consent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completed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questionnaire developed by the authors for this study</w:t>
      </w:r>
      <w:r w:rsidRPr="003D2D46">
        <w:rPr>
          <w:rFonts w:ascii="Times New Roman" w:hAnsi="Times New Roman" w:cs="Times New Roman"/>
          <w:color w:val="000000" w:themeColor="text1"/>
        </w:rPr>
        <w:t xml:space="preserve"> to collect </w:t>
      </w:r>
      <w:r w:rsidRPr="003D2D46">
        <w:rPr>
          <w:rFonts w:ascii="Times New Roman" w:eastAsia="Calibri" w:hAnsi="Times New Roman" w:cs="Times New Roman"/>
          <w:color w:val="000000" w:themeColor="text1"/>
        </w:rPr>
        <w:t>demographic</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information</w:t>
      </w:r>
      <w:r w:rsidR="00896ED8" w:rsidRPr="003D2D46">
        <w:rPr>
          <w:rFonts w:ascii="Times New Roman" w:eastAsia="Calibri" w:hAnsi="Times New Roman" w:cs="Times New Roman"/>
          <w:color w:val="000000" w:themeColor="text1"/>
        </w:rPr>
        <w:t xml:space="preserve"> (Appendix A)</w:t>
      </w:r>
      <w:r w:rsidRPr="003D2D46">
        <w:rPr>
          <w:rFonts w:ascii="Times New Roman" w:eastAsia="Calibri" w:hAnsi="Times New Roman" w:cs="Times New Roman"/>
          <w:color w:val="000000" w:themeColor="text1"/>
        </w:rPr>
        <w:t>. Demographic variables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included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race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education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level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gender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income</w:t>
      </w:r>
      <w:r w:rsidRPr="003D2D46">
        <w:rPr>
          <w:rFonts w:ascii="Times New Roman" w:hAnsi="Times New Roman" w:cs="Times New Roman"/>
          <w:color w:val="000000" w:themeColor="text1"/>
        </w:rPr>
        <w:t xml:space="preserve">, and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insurance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status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author":[{"dropping-particle":"","family":"Abdelal","given":"R","non-dropping-particle":"","parse-names":false,"suffix":""},{"dropping-particle":"","family":"Herrera","given":"YM","non-dropping-particle":"","parse-names":false,"suffix":""},{"dropping-particle":"","family":"Johnston","given":"AI","non-dropping-particle":"","parse-names":false,"suffix":""},{"dropping-particle":"","family":"McDermott","given":"R","non-dropping-particle":"","parse-names":false,"suffix":""}],"container-title":"Measuring Identity: A Guide for Social Scientists","editor":[{"dropping-particle":"","family":"Abdelal","given":"R","non-dropping-particle":"","parse-names":false,"suffix":""},{"dropping-particle":"","family":"Herrera","given":"YM","non-dropping-particle":"","parse-names":false,"suffix":""},{"dropping-particle":"","family":"Johnston","given":"AI","non-dropping-particle":"","parse-names":false,"suffix":""},{"dropping-particle":"","family":"McDermott","given":"R","non-dropping-particle":"","parse-names":false,"suffix":""}],"id":"ITEM-1","issued":{"date-parts":[["2009"]]},"page":"17-32","publisher":"Cambridge University Press","publisher-place":"New York, NY","title":"Identity as a Variable","type":"chapter"},"uris":["http://www.mendeley.com/documents/?uuid=7ba3d659-755f-4c01-9bf8-2b44f26d920c","http://www.mendeley.com/documents/?uuid=74747561-32ea-4044-b9a1-d0a387900587","http://www.mendeley.com/documents/?uuid=16d698f9-e20c-478f-95ce-2b6fcc96acb6"]},{"id":"ITEM-2","itemData":{"author":[{"dropping-particle":"","family":"Brady","given":"HE","non-dropping-particle":"","parse-names":false,"suffix":""},{"dropping-particle":"","family":"Kaplan","given":"CS","non-dropping-particle":"","parse-names":false,"suffix":""}],"container-title":"Measuring Identity: A Guide for Social Scientists","editor":[{"dropping-particle":"","family":"Abdelal","given":"R","non-dropping-particle":"","parse-names":false,"suffix":""},{"dropping-particle":"","family":"Herrera","given":"YM","non-dropping-particle":"","parse-names":false,"suffix":""},{"dropping-particle":"","family":"Johnston","given":"AI","non-dropping-particle":"","parse-names":false,"suffix":""},{"dropping-particle":"","family":"McDermott","given":"R","non-dropping-particle":"","parse-names":false,"suffix":""}],"id":"ITEM-2","issued":{"date-parts":[["2009"]]},"publisher":"Cambridge University Press","publisher-place":"New York, NY","title":"Conceptualizing and Measuring Ethnic Identity","type":"chapter"},"uris":["http://www.mendeley.com/documents/?uuid=94a2798a-b20e-4e39-bfc8-4b178f09c669","http://www.mendeley.com/documents/?uuid=c80ba888-00d8-4196-8331-4528d094f287","http://www.mendeley.com/documents/?uuid=30d8eb34-79d1-4485-b02e-95ba3792174d"]}],"mendeley":{"formattedCitation":"(Abdelal et al., 2009; Brady &amp; Kaplan, 2009)","plainTextFormattedCitation":"(Abdelal et al., 2009; Brady &amp; Kaplan, 2009)","previouslyFormattedCitation":"(Abdelal et al., 2009; Brady &amp; Kaplan, 2009)"},"properties":{"noteIndex":0},"schema":"https://github.com/citation-style-language/schema/raw/master/csl-citation.json"}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(Abdelal et al., 2009; Brady &amp; Kaplan, 2009)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p>
    <w:p w14:paraId="5EF1F879" w14:textId="77777777" w:rsidR="002D463A" w:rsidRPr="003D2D46" w:rsidRDefault="002D463A" w:rsidP="00580A15">
      <w:pPr>
        <w:spacing w:line="480" w:lineRule="auto"/>
        <w:contextualSpacing/>
        <w:rPr>
          <w:rFonts w:ascii="Times New Roman" w:hAnsi="Times New Roman" w:cs="Times New Roman"/>
          <w:color w:val="000000" w:themeColor="text1"/>
        </w:rPr>
      </w:pPr>
    </w:p>
    <w:p w14:paraId="03D621F6" w14:textId="77777777" w:rsidR="002D463A" w:rsidRPr="003D2D46" w:rsidRDefault="002D463A" w:rsidP="00580A15">
      <w:pPr>
        <w:spacing w:line="480" w:lineRule="auto"/>
        <w:contextualSpacing/>
        <w:rPr>
          <w:rFonts w:ascii="Times New Roman" w:hAnsi="Times New Roman" w:cs="Times New Roman"/>
          <w:color w:val="000000" w:themeColor="text1"/>
        </w:rPr>
      </w:pP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questionnaire </w:t>
      </w:r>
      <w:r w:rsidRPr="003D2D46">
        <w:rPr>
          <w:rFonts w:ascii="Times New Roman" w:hAnsi="Times New Roman" w:cs="Times New Roman"/>
          <w:color w:val="000000" w:themeColor="text1"/>
        </w:rPr>
        <w:t xml:space="preserve">asked </w:t>
      </w:r>
      <w:r w:rsidRPr="003D2D46">
        <w:rPr>
          <w:rFonts w:ascii="Times New Roman" w:eastAsia="Calibri" w:hAnsi="Times New Roman" w:cs="Times New Roman"/>
          <w:color w:val="000000" w:themeColor="text1"/>
        </w:rPr>
        <w:t>whether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not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participant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has</w:t>
      </w:r>
      <w:r w:rsidRPr="003D2D46">
        <w:rPr>
          <w:rFonts w:ascii="Times New Roman" w:hAnsi="Times New Roman" w:cs="Times New Roman"/>
          <w:color w:val="000000" w:themeColor="text1"/>
        </w:rPr>
        <w:t xml:space="preserve"> ever </w:t>
      </w:r>
      <w:r w:rsidRPr="003D2D46">
        <w:rPr>
          <w:rFonts w:ascii="Times New Roman" w:eastAsia="Calibri" w:hAnsi="Times New Roman" w:cs="Times New Roman"/>
          <w:color w:val="000000" w:themeColor="text1"/>
        </w:rPr>
        <w:t>received</w:t>
      </w:r>
      <w:r w:rsidRPr="003D2D46">
        <w:rPr>
          <w:rFonts w:ascii="Times New Roman" w:hAnsi="Times New Roman" w:cs="Times New Roman"/>
          <w:color w:val="000000" w:themeColor="text1"/>
        </w:rPr>
        <w:t xml:space="preserve"> any </w:t>
      </w:r>
      <w:r w:rsidRPr="003D2D46">
        <w:rPr>
          <w:rFonts w:ascii="Times New Roman" w:eastAsia="Calibri" w:hAnsi="Times New Roman" w:cs="Times New Roman"/>
          <w:color w:val="000000" w:themeColor="text1"/>
        </w:rPr>
        <w:t>vaccinations</w:t>
      </w:r>
      <w:r w:rsidRPr="003D2D46">
        <w:rPr>
          <w:rFonts w:ascii="Times New Roman" w:hAnsi="Times New Roman" w:cs="Times New Roman"/>
          <w:color w:val="000000" w:themeColor="text1"/>
        </w:rPr>
        <w:t xml:space="preserve">, if they </w:t>
      </w:r>
      <w:r w:rsidRPr="003D2D46">
        <w:rPr>
          <w:rFonts w:ascii="Times New Roman" w:eastAsia="Calibri" w:hAnsi="Times New Roman" w:cs="Times New Roman"/>
          <w:color w:val="000000" w:themeColor="text1"/>
        </w:rPr>
        <w:t>have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children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their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children,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had received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tetanus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shot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last</w:t>
      </w:r>
      <w:r w:rsidRPr="003D2D46">
        <w:rPr>
          <w:rFonts w:ascii="Times New Roman" w:hAnsi="Times New Roman" w:cs="Times New Roman"/>
          <w:color w:val="000000" w:themeColor="text1"/>
        </w:rPr>
        <w:t xml:space="preserve"> ten </w:t>
      </w:r>
      <w:r w:rsidRPr="003D2D46">
        <w:rPr>
          <w:rFonts w:ascii="Times New Roman" w:eastAsia="Calibri" w:hAnsi="Times New Roman" w:cs="Times New Roman"/>
          <w:color w:val="000000" w:themeColor="text1"/>
        </w:rPr>
        <w:t>years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if</w:t>
      </w:r>
      <w:r w:rsidRPr="003D2D46">
        <w:rPr>
          <w:rFonts w:ascii="Times New Roman" w:hAnsi="Times New Roman" w:cs="Times New Roman"/>
          <w:color w:val="000000" w:themeColor="text1"/>
        </w:rPr>
        <w:t xml:space="preserve"> so, what variety it was (e.g. Td (tetanus and diphtheria), Tdap (tetanus, diphtheria, and acellular pertussis), or unknown).</w:t>
      </w:r>
    </w:p>
    <w:p w14:paraId="48E19257" w14:textId="5D2EFB02" w:rsidR="002D463A" w:rsidRPr="003D2D46" w:rsidRDefault="002D463A" w:rsidP="00580A15">
      <w:pPr>
        <w:spacing w:line="480" w:lineRule="auto"/>
        <w:contextualSpacing/>
        <w:rPr>
          <w:rFonts w:ascii="Times New Roman" w:hAnsi="Times New Roman" w:cs="Times New Roman"/>
          <w:color w:val="000000" w:themeColor="text1"/>
        </w:rPr>
      </w:pPr>
      <w:r w:rsidRPr="003D2D46">
        <w:rPr>
          <w:rFonts w:ascii="Times New Roman" w:eastAsia="Calibri" w:hAnsi="Times New Roman" w:cs="Times New Roman"/>
          <w:color w:val="000000" w:themeColor="text1"/>
        </w:rPr>
        <w:t>Semi</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structured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were conducted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with participants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w:t>
      </w:r>
      <w:r w:rsidRPr="003D2D46">
        <w:rPr>
          <w:rFonts w:ascii="Times New Roman" w:hAnsi="Times New Roman" w:cs="Times New Roman"/>
          <w:color w:val="000000" w:themeColor="text1"/>
        </w:rPr>
        <w:t xml:space="preserve">=11). </w:t>
      </w:r>
      <w:r w:rsidRPr="003D2D46">
        <w:rPr>
          <w:rFonts w:ascii="Times New Roman" w:eastAsia="Calibri" w:hAnsi="Times New Roman" w:cs="Times New Roman"/>
          <w:color w:val="000000" w:themeColor="text1"/>
        </w:rPr>
        <w:t>Semi</w:t>
      </w:r>
      <w:r w:rsidRPr="003D2D46">
        <w:rPr>
          <w:rFonts w:ascii="Times New Roman" w:hAnsi="Times New Roman" w:cs="Times New Roman"/>
          <w:color w:val="000000" w:themeColor="text1"/>
        </w:rPr>
        <w:t>-</w:t>
      </w:r>
      <w:r w:rsidRPr="003D2D46">
        <w:rPr>
          <w:rFonts w:ascii="Times New Roman" w:eastAsia="Calibri" w:hAnsi="Times New Roman" w:cs="Times New Roman"/>
          <w:color w:val="000000" w:themeColor="text1"/>
        </w:rPr>
        <w:t>structured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followed a pre-determined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guide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consisting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questions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topics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would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covered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but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also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allow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cover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other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topics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if and 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arise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{"citationItems":[{"id":"ITEM-1","itemData":{"author":[{"dropping-particle":"","family":"Bernard","given":"HR","non-dropping-particle":"","parse-names":false,"suffix":""}],"id":"ITEM-1","issued":{"date-parts":[["2011"]]},"publisher":"AltaMira Press","publisher-place":"Lanham, MD","title":"Research Methods in Anthropology: Qualitative and Quantitative Approaches","type":"book"},"uris":["http://www.mendeley.com/documents/?uuid=2f7aece0-43f3-4238-9cff-9c3303dbcb84","http://www.mendeley.com/documents/?uuid=dc1445c7-1f6a-48f2-9140-52ab0f121646","http://www.mendeley.com/documents/?uuid=182ad4f8-d1b1-48be-8ea3-d089baa3e042"]}],"mendeley":{"formattedCitation":"(Bernard, 2011)","plainTextFormattedCitation":"(Bernard, 2011)","previouslyFormattedCitation":"(Bernard, 2011)"},"properties":{"noteIndex":0},"schema":"https://github.com/citation-style-language/schema/raw/master/csl-citation.json"}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(Bernard, 2011)</w:t>
      </w:r>
      <w:r w:rsidRPr="003D2D46">
        <w:rPr>
          <w:rFonts w:ascii="Times New Roman" w:eastAsia="Calibri" w:hAnsi="Times New Roman" w:cs="Times New Roman"/>
          <w:color w:val="000000" w:themeColor="text1"/>
        </w:rPr>
        <w:fldChar w:fldCharType="end"/>
      </w:r>
      <w:r w:rsidRPr="003D2D46">
        <w:rPr>
          <w:rFonts w:ascii="Times New Roman" w:hAnsi="Times New Roman" w:cs="Times New Roman"/>
          <w:color w:val="000000" w:themeColor="text1"/>
        </w:rPr>
        <w:t xml:space="preserve">. Semi-structured interviews provided consistency across interviews while also providing flexibility for unanticipated responses and interviewer follow-up to responses. </w:t>
      </w:r>
    </w:p>
    <w:p w14:paraId="10B7E162" w14:textId="77777777" w:rsidR="002D463A" w:rsidRPr="003D2D46" w:rsidRDefault="002D463A" w:rsidP="00580A15">
      <w:pPr>
        <w:spacing w:line="480" w:lineRule="auto"/>
        <w:contextualSpacing/>
        <w:rPr>
          <w:rFonts w:ascii="Times New Roman" w:eastAsia="Calibri" w:hAnsi="Times New Roman" w:cs="Times New Roman"/>
          <w:color w:val="000000" w:themeColor="text1"/>
        </w:rPr>
      </w:pPr>
    </w:p>
    <w:p w14:paraId="794E34E7" w14:textId="3F5BABB6"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Interview topics </w:t>
      </w:r>
      <w:r w:rsidRPr="003D2D46">
        <w:rPr>
          <w:rFonts w:ascii="Times New Roman" w:hAnsi="Times New Roman" w:cs="Times New Roman"/>
          <w:color w:val="000000" w:themeColor="text1"/>
        </w:rPr>
        <w:t xml:space="preserve">were developed based on previous literature and theory. Our protocol included questions about </w:t>
      </w:r>
      <w:r w:rsidRPr="003D2D46">
        <w:rPr>
          <w:rFonts w:ascii="Times New Roman" w:eastAsia="Calibri" w:hAnsi="Times New Roman" w:cs="Times New Roman"/>
          <w:color w:val="000000" w:themeColor="text1"/>
        </w:rPr>
        <w:t>past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experiences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experiences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regarding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participants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children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applicable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comfort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level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with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medical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community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perceived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family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social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networks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participants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knowledge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pertussis</w:t>
      </w:r>
      <w:r w:rsidR="00896ED8" w:rsidRPr="003D2D46">
        <w:rPr>
          <w:rFonts w:ascii="Times New Roman" w:eastAsia="Calibri" w:hAnsi="Times New Roman" w:cs="Times New Roman"/>
          <w:color w:val="000000" w:themeColor="text1"/>
        </w:rPr>
        <w:t xml:space="preserve"> (Appendix B)</w:t>
      </w:r>
      <w:r w:rsidRPr="003D2D46">
        <w:rPr>
          <w:rFonts w:ascii="Times New Roman" w:hAnsi="Times New Roman" w:cs="Times New Roman"/>
          <w:color w:val="000000" w:themeColor="text1"/>
        </w:rPr>
        <w:t xml:space="preserve">. Individual values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{"citationItems":[{"id":"ITEM-1","itemData":{"DOI":"10.1016/j.vaccine.2009.12.022","ISSN":"0264410X","abstract":"The Internet plays a large role in disseminating anti-vaccination information. This paper builds upon previous research by analyzing the arguments proffered on anti-vaccination websites, determining the extent of misinformation present, and examining discourses used to support vaccine objections. Arguments around the themes of safety and effectiveness, alternative medicine, civil liberties, conspiracy theories, and morality were found on the majority of websites analyzed; misinformation was also prevalent. The most commonly proposed method of combating this misinformation is through better education, although this has proven ineffective. Education does not consider the discourses supporting vaccine rejection, such as those involving alternative explanatory models of health, interpretations of parental responsibility, and distrust of expertise. Anti-vaccination protestors make postmodern arguments that reject biomedical and scientific \"facts\" in favour of their own interpretations. Pro-vaccination advocates who focus on correcting misinformation reduce the controversy to merely an \"educational\" problem; rather, these postmodern discourses must be acknowledged in order to begin a dialogue. © 2009 Elsevier Ltd. All rights reserved.","author":[{"dropping-particle":"","family":"Kata","given":"Anna","non-dropping-particle":"","parse-names":false,"suffix":""}],"container-title":"Vaccine","id":"ITEM-1","issue":"7","issued":{"date-parts":[["2010","2"]]},"page":"1709-1716","title":"A postmodern Pandora's box: Anti-vaccination misinformation on the Internet","type":"article-journal","volume":"28"},"uris":["http://www.mendeley.com/documents/?uuid=53f8cb3c-ccb6-49a0-8882-3e8c2a776a1d","http://www.mendeley.com/documents/?uuid=61afff15-c965-44f3-8544-a3322c20a4f9","http://www.mendeley.com/documents/?uuid=7d14b10d-cba7-3036-8247-749d7977d3f5"]}],"mendeley":{"formattedCitation":"(Kata, 2010)","plainTextFormattedCitation":"(Kata, 2010)","previouslyFormattedCitation":"(Kata,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(Kata,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previous medical experiences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{"citationItems":[{"id":"ITEM-1","itemData":{"DOI":"10.1016/0002-9343(91)90157-S","ISSN":"00029343","PMID":"1951383","abstract":"purpose: To determine whether patients' demographic, medical, and personal characteristics, including attitudes and beliefs about vaccination, health, and medical providers, are associated with acceptance of influenza vaccine. patients and methods: Nine hundred sixtyfive patients attending a university hospitalbased general medicine clinic during the fall influenza vaccination period, including 624 patients for whom influenza vaccine was indicated, were observed in a prospective cohort study. In addition, 58 patients who refused influenza vaccine and an equal number who accepted it were interviewed over the telephone to examine their beliefs and behaviors in greater detail. results: Seventy-five percent of patients for whom influenza vaccine was indicated received it. Prospectively assessed patient characteristics that were significantly associated with nonvaccination included not believing vaccine prevents \"flu\" (relative risk [RR] 5.3), never received pneumococcal vaccine (RR 3.5), not vaccinated against influenza the previous year (RR 3.5), never vaccinated against influenza (RR 2.3), and felt sick after previous influenza vaccination (RR 2.3). Demographic characteristics and medical diagnoses were not significantly related to vaccination. Almost one half of 58 interviewed subjects who refused influenza vaccine cited fear of a reaction. Among retrospectively determined attitudes and beliefs significantly associated with refusal of influenza vaccine were not believing the vaccine works well (odds ratio [OR] 11.6), concern about a reaction (OR 9.3), and perception that the medical provider had not recommended it (OR 5.8). conclusion: Demographic characteristics of patients and their medical diagnoses were not associated with acceptance of influenza vaccination. Among patients who were not vaccinated, doubts about the efficacy of influenza vaccine and fear of its side effects were common, and their perceptions of the medical provider's recommendation of vaccine appeared to be an important factor in the decision whether to accept it. © 1991.","author":[{"dropping-particle":"","family":"Fiebach","given":"Nicholas H.","non-dropping-particle":"","parse-names":false,"suffix":""},{"dropping-particle":"","family":"Viscoli","given":"Catherine M.","non-dropping-particle":"","parse-names":false,"suffix":""}],"container-title":"The American Journal of Medicine","id":"ITEM-1","issue":"4","issued":{"date-parts":[["1991"]]},"page":"393-400","title":"Patient acceptance of influenza vaccination","type":"article-journal","volume":"91"},"uris":["http://www.mendeley.com/documents/?uuid=df11d18f-3f95-4871-b2ea-651c835483a1","http://www.mendeley.com/documents/?uuid=0588dd70-ebf2-4e58-ac45-1d5f062daaf8","http://www.mendeley.com/documents/?uuid=90c16fcb-8497-3f71-a64f-b73c757f1c44"]}],"mendeley":{"formattedCitation":"(Fiebach &amp; Viscoli, 1991)","plainTextFormattedCitation":"(Fiebach &amp; Viscoli, 1991)","previouslyFormattedCitation":"(Fiebach &amp; Viscoli, 1991)"},"properties":{"noteIndex":0},"schema":"https://github.com/citation-style-language/schema/raw/master/csl-citation.json"}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(Fiebach &amp; Viscoli, 1991)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risk assessment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{"citationItems":[{"id":"ITEM-1","itemData":{"DOI":"10.1037/0278-6133.26.2.146","abstract":"Objective: Accurate measurement of beliefs about risk probability is essential to determine what role these beliefs have in health behavior. This study investigated the ability of several types of risk perception measures and of other constructs from health behavior theories to predict influenza vaccination. Design: Prospective study in which students, faculty, and staff at 3 universities (N 428) were interviewed in the fall, before influenza vaccine was available, and again early in the next calendar year. Main Outcome Measure: Self-reported influenza vaccination. Results: Two interview questions that asked about feeling at risk and feeling vulnerable predicted subsequent behavior better (r .44, p .001) than 2 questions that asked for agreement or disagreement with statements about risk probability (r .25, p .001) or 4 questions that asked respondents to estimate the magnitude of the risk probability (r .30, p .001). Of the 4 perceived risk magnitude scales, a 7-point verbal scale was the best predictor of behavior. Anticipated regret was the strongest predictor of vaccination (r .45, p .001) of all constructs studied, including risk perceptions, worry, and perceived vaccine effectiveness. Conclusion: Risk perceptions predicted subsequent vaccination. However, perceived risk phrased in terms of feelings rather than as a purely cognitive probability judgment predicted better. Because neither feeling at risk nor anticipated regret is represented in the most commonly used theories of health behavior, the data suggest that these theories are missing important constructs.","author":[{"dropping-particle":"","family":"Weinstein","given":"Neil D","non-dropping-particle":"","parse-names":false,"suffix":""},{"dropping-particle":"","family":"Kwitel","given":"Abbie","non-dropping-particle":"","parse-names":false,"suffix":""},{"dropping-particle":"","family":"Mccaul","given":"Kevin D","non-dropping-particle":"","parse-names":false,"suffix":""},{"dropping-particle":"","family":"Magnan","given":"Renee E","non-dropping-particle":"","parse-names":false,"suffix":""},{"dropping-particle":"","family":"Gerrard","given":"Meg","non-dropping-particle":"","parse-names":false,"suffix":""},{"dropping-particle":"","family":"Gibbons","given":"Frederick X","non-dropping-particle":"","parse-names":false,"suffix":""}],"id":"ITEM-1","issued":{"date-parts":[["2007"]]},"title":"Risk Perceptions: Assessment and Relationship to Influenza Vaccination","type":"article-journal"},"uris":["http://www.mendeley.com/documents/?uuid=76971641-2a31-4932-9e05-be205dc48e3a","http://www.mendeley.com/documents/?uuid=6b1baa48-2379-4e1c-aa31-0e7ba07aac40","http://www.mendeley.com/documents/?uuid=1e4453ff-361b-36b2-8937-82716c52ca7d"]}],"mendeley":{"formattedCitation":"(Weinstein et al., 2007)","plainTextFormattedCitation":"(Weinstein et al., 2007)","previouslyFormattedCitation":"(Weinstein et al., 2007)"},"properties":{"noteIndex":0},"schema":"https://github.com/citation-style-language/schema/raw/master/csl-citation.json"}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(Weinstein et al., 2007)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family and friends’ attitudes towards vaccination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{"citationItems":[{"id":"ITEM-1","itemData":{"DOI":"10.1016/j.socscimed.2014.04.018","ISSN":"18735347","abstract":"This paper provides a consolidated overview of public and healthcare professionals' attitudes towards vaccination in Europe by bringing together for the first time evidence across various vaccines, countries and populations. The paper relies on an extensive review of empirical literature published in English after 2009, as well as an analysis of unpublished market research data from member companies of Vaccines Europe. Our synthesis suggests that hesitant attitudes to vaccination are prevalent and may be increasing since the influenza pandemic of 2009. We define hesitancy as an expression of concern or doubt about the value or safety of vaccination. This means that hesitant attitudes are not confined only to those who refuse vaccination or those who encourage others to refuse vaccination. For many people, vaccination attitudes are shaped not just by healthcare professionals but also by an array of other information sources, including online and social media sources. We find that healthcare professionals report increasing challenges to building a trustful relationship with patients, through which they might otherwise allay concerns and reassure hesitant patients. We also find a range of reasons for vaccination attitudes, only some of which can be characterised as being related to lack of awareness or misinformation. Reasons that relate to issues of mistrust are cited more commonly in the literature than reasons that relate to information deficit. The importance of trust in the institutions involved with vaccination is discussed in terms of implications for researchers and policy-makers; we suggest that rebuilding this trust is a multi-stakeholder problem requiring a co-ordinated strategy. © 2014 The Authors.","author":[{"dropping-particle":"","family":"Yaqub","given":"Ohid","non-dropping-particle":"","parse-names":false,"suffix":""},{"dropping-particle":"","family":"Castle-Clarke","given":"Sophie","non-dropping-particle":"","parse-names":false,"suffix":""},{"dropping-particle":"","family":"Sevdalis","given":"Nick","non-dropping-particle":"","parse-names":false,"suffix":""},{"dropping-particle":"","family":"Chataway","given":"Joanna","non-dropping-particle":"","parse-names":false,"suffix":""}],"container-title":"Social Science and Medicine","id":"ITEM-1","issued":{"date-parts":[["2014"]]},"page":"1-11","publisher":"Elsevier Ltd","title":"Attitudes to vaccination: A critical review","type":"article-journal","volume":"112"},"uris":["http://www.mendeley.com/documents/?uuid=e3af2b51-e803-43a8-95f3-25b8cefff637","http://www.mendeley.com/documents/?uuid=99dca09f-c852-4a76-a0a4-360d8a457606","http://www.mendeley.com/documents/?uuid=71e6c0ba-5bee-42af-9943-4691e227afd2"]}],"mendeley":{"formattedCitation":"(Yaqub et al., 2014)","plainTextFormattedCitation":"(Yaqub et al., 2014)","previouslyFormattedCitation":"(Yaqub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(Yaqub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are particularly influential in the development of vaccination attitudes and decisions regarding vaccination. </w:t>
      </w:r>
    </w:p>
    <w:p w14:paraId="48508CFC" w14:textId="77777777" w:rsidR="002D463A" w:rsidRPr="003D2D46" w:rsidRDefault="002D463A" w:rsidP="00580A15">
      <w:pPr>
        <w:spacing w:line="480" w:lineRule="auto"/>
        <w:rPr>
          <w:rFonts w:ascii="Times New Roman" w:hAnsi="Times New Roman" w:cs="Times New Roman"/>
          <w:color w:val="000000" w:themeColor="text1"/>
        </w:rPr>
      </w:pPr>
    </w:p>
    <w:p w14:paraId="372E6B9C" w14:textId="4D45A40F"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Our interview guide utilized </w:t>
      </w:r>
      <w:r w:rsidRPr="003D2D46">
        <w:rPr>
          <w:rFonts w:ascii="Times New Roman" w:eastAsia="Calibri" w:hAnsi="Times New Roman" w:cs="Times New Roman"/>
          <w:color w:val="000000" w:themeColor="text1"/>
        </w:rPr>
        <w:t xml:space="preserve">the Theory of Triadic Influence (TTI) as a framework which </w:t>
      </w:r>
      <w:r w:rsidRPr="003D2D46">
        <w:rPr>
          <w:rFonts w:ascii="Times New Roman" w:hAnsi="Times New Roman" w:cs="Times New Roman"/>
          <w:color w:val="000000" w:themeColor="text1"/>
        </w:rPr>
        <w:t>includes perceived sense of control, motivation to comply, others’ behaviors and attitudes, perceived norms, knowledge, information sources, and institutional interactions as central concepts. Our interview guide was developed to understand the participants’ thoughts about these concepts as they relate to vaccination. For example, the TTI suggests that others</w:t>
      </w:r>
      <w:r w:rsidR="00EE601A"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attitudes and behaviors influence perceived norms and motivation to comply</w:t>
      </w:r>
      <w:r w:rsidR="00B0720D" w:rsidRPr="003D2D46">
        <w:rPr>
          <w:rFonts w:ascii="Times New Roman" w:hAnsi="Times New Roman" w:cs="Times New Roman"/>
          <w:color w:val="000000" w:themeColor="text1"/>
        </w:rPr>
        <w:t>. T</w:t>
      </w:r>
      <w:r w:rsidRPr="003D2D46">
        <w:rPr>
          <w:rFonts w:ascii="Times New Roman" w:hAnsi="Times New Roman" w:cs="Times New Roman"/>
          <w:color w:val="000000" w:themeColor="text1"/>
        </w:rPr>
        <w:t>herefore we explicitly asked our participants about their family and friends’ attitudes towards vaccination. We</w:t>
      </w:r>
      <w:r w:rsidR="00B0720D" w:rsidRPr="003D2D46">
        <w:rPr>
          <w:rFonts w:ascii="Times New Roman" w:hAnsi="Times New Roman" w:cs="Times New Roman"/>
          <w:color w:val="000000" w:themeColor="text1"/>
        </w:rPr>
        <w:t xml:space="preserve"> also</w:t>
      </w:r>
      <w:r w:rsidRPr="003D2D46">
        <w:rPr>
          <w:rFonts w:ascii="Times New Roman" w:hAnsi="Times New Roman" w:cs="Times New Roman"/>
          <w:color w:val="000000" w:themeColor="text1"/>
        </w:rPr>
        <w:t xml:space="preserve"> asked follow-up questions regarding concerns expressed by friends or family to understand how participants’ attitudes and behaviors were received by family and friends. </w:t>
      </w:r>
      <w:r w:rsidRPr="003D2D46">
        <w:rPr>
          <w:rFonts w:ascii="Times New Roman" w:eastAsia="Calibri" w:hAnsi="Times New Roman" w:cs="Times New Roman"/>
          <w:color w:val="000000" w:themeColor="text1"/>
        </w:rPr>
        <w:t>All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were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conducted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person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were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audio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recorded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with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consent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participants. Interviews ranged from 30 to 75 minutes in length. Interviews were transcribed by the first author in word processing software. </w:t>
      </w:r>
    </w:p>
    <w:p w14:paraId="2A44C3AC" w14:textId="77777777" w:rsidR="002D463A" w:rsidRPr="003D2D46" w:rsidRDefault="002D463A" w:rsidP="008C0934">
      <w:pPr>
        <w:spacing w:line="480" w:lineRule="auto"/>
        <w:rPr>
          <w:rFonts w:ascii="Times New Roman" w:hAnsi="Times New Roman" w:cs="Times New Roman"/>
          <w:i/>
          <w:iCs/>
          <w:color w:val="000000" w:themeColor="text1"/>
        </w:rPr>
      </w:pPr>
    </w:p>
    <w:p w14:paraId="2B135CCD" w14:textId="77777777" w:rsidR="002D463A" w:rsidRPr="003D2D46" w:rsidRDefault="005529ED" w:rsidP="005043F7">
      <w:pPr>
        <w:pStyle w:val="Heading41111"/>
        <w:spacing w:before="0" w:line="480" w:lineRule="auto"/>
        <w:rPr>
          <w:rFonts w:cs="Times New Roman"/>
          <w:color w:val="000000" w:themeColor="text1"/>
        </w:rPr>
      </w:pPr>
      <w:bookmarkStart w:id="110" w:name="_Toc82445533"/>
      <w:bookmarkStart w:id="111" w:name="_Toc87797096"/>
      <w:r w:rsidRPr="003D2D46">
        <w:rPr>
          <w:rFonts w:cs="Times New Roman"/>
          <w:color w:val="000000" w:themeColor="text1"/>
        </w:rPr>
        <w:t>3</w:t>
      </w:r>
      <w:r w:rsidR="004B759B" w:rsidRPr="003D2D46">
        <w:rPr>
          <w:rFonts w:cs="Times New Roman"/>
          <w:color w:val="000000" w:themeColor="text1"/>
        </w:rPr>
        <w:t>.</w:t>
      </w:r>
      <w:r w:rsidR="000D1486" w:rsidRPr="003D2D46">
        <w:rPr>
          <w:rFonts w:cs="Times New Roman"/>
          <w:color w:val="000000" w:themeColor="text1"/>
        </w:rPr>
        <w:t>4</w:t>
      </w:r>
      <w:r w:rsidR="004B759B" w:rsidRPr="003D2D46">
        <w:rPr>
          <w:rFonts w:cs="Times New Roman"/>
          <w:color w:val="000000" w:themeColor="text1"/>
        </w:rPr>
        <w:t xml:space="preserve">.3 </w:t>
      </w:r>
      <w:r w:rsidR="002D463A" w:rsidRPr="003D2D46">
        <w:rPr>
          <w:rFonts w:cs="Times New Roman"/>
          <w:color w:val="000000" w:themeColor="text1"/>
        </w:rPr>
        <w:t>Analysis</w:t>
      </w:r>
      <w:bookmarkEnd w:id="110"/>
      <w:bookmarkEnd w:id="111"/>
    </w:p>
    <w:p w14:paraId="2FC416C0" w14:textId="27E6F421"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Qualitative transcripts were entered into NVivo 12 </w:t>
      </w:r>
      <w:r w:rsidRPr="003D2D46">
        <w:rPr>
          <w:rFonts w:ascii="Times New Roman" w:hAnsi="Times New Roman" w:cs="Times New Roman"/>
          <w:color w:val="000000" w:themeColor="text1"/>
        </w:rPr>
        <w:fldChar w:fldCharType="begin" w:fldLock="1"/>
      </w:r>
      <w:r w:rsidR="00A8578C" w:rsidRPr="003D2D46">
        <w:rPr>
          <w:rFonts w:ascii="Times New Roman" w:hAnsi="Times New Roman" w:cs="Times New Roman"/>
          <w:color w:val="000000" w:themeColor="text1"/>
        </w:rPr>
        <w:instrText>ADDIN CSL_CITATION {"citationItems":[{"id":"ITEM-1","itemData":{"author":[{"dropping-particle":"","family":"QSR International","given":"","non-dropping-particle":"","parse-names":false,"suffix":""}],"id":"ITEM-1","issued":{"date-parts":[["2018"]]},"title":"NVivo Software version 12. Burlington, MA. QSR International.","type":"article"},"uris":["http://www.mendeley.com/documents/?uuid=f818573b-da96-4ffe-9d62-92b526f76cf3","http://www.mendeley.com/documents/?uuid=4daaff53-f7ae-4659-8365-6f397a43184c","http://www.mendeley.com/documents/?uuid=e50df702-71dc-4c0b-a3dd-a32b90a389e6"]}],"mendeley":{"formattedCitation":"(QSR International, 2018)","plainTextFormattedCitation":"(QSR International, 2018)","previouslyFormattedCitation":"(QSR International,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(QSR International,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for data management and analysis. Transcripts were read and reviewed multiple times to achieve immersion. Transcripts were analyzed continuously which allowed for consideration of saturation defined as no new themes emerging from additional transcripts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{"citationItems":[{"id":"ITEM-1","itemData":{"ISSN":"10520147","abstract":"Failure to reach data saturation has an impact on the quality of the research conducted and hampers content validity. The aim of a study should include what determines when data saturation is achieved, for a small study will reach saturation more rapidly than a larger study. Data saturation is reached when there is enough information to replicate the study when the ability to obtain additional new information has been attained, and when further coding is no longer feasible. The following article critiques two qualitative studies for data saturation: Wolcott (2004) and Landau and Drori (2008). Failure to reach data saturation has a negative impact on the validity on one’s research. The intended audience is novice student researchers.","author":[{"dropping-particle":"","family":"Fusch","given":"Patricia I.","non-dropping-particle":"","parse-names":false,"suffix":""},{"dropping-particle":"","family":"Ness","given":"Lawrence R.","non-dropping-particle":"","parse-names":false,"suffix":""}],"container-title":"Qualitative Report","id":"ITEM-1","issue":"9","issued":{"date-parts":[["2015"]]},"page":"1408-1416","title":"Are we there yet? Data saturation in qualitative research","type":"article-journal","volume":"20"},"uris":["http://www.mendeley.com/documents/?uuid=f3f605c2-3a3a-4ddb-9037-ea65854c35f4","http://www.mendeley.com/documents/?uuid=dc6f0453-bd89-4089-96c7-6a992fd57bab","http://www.mendeley.com/documents/?uuid=a02edc5b-25c1-468e-a256-5a0800e3a20e"]}],"mendeley":{"formattedCitation":"(Fusch &amp; Ness, 2015)","plainTextFormattedCitation":"(Fusch &amp; Ness, 2015)","previouslyFormattedCitation":"(Fusch &amp; Ness,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(Fusch &amp; Ness,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Saturation was </w:t>
      </w:r>
      <w:r w:rsidR="00E403C2" w:rsidRPr="003D2D46">
        <w:rPr>
          <w:rFonts w:ascii="Times New Roman" w:hAnsi="Times New Roman" w:cs="Times New Roman"/>
          <w:color w:val="000000" w:themeColor="text1"/>
        </w:rPr>
        <w:t xml:space="preserve">used </w:t>
      </w:r>
      <w:r w:rsidRPr="003D2D46">
        <w:rPr>
          <w:rFonts w:ascii="Times New Roman" w:hAnsi="Times New Roman" w:cs="Times New Roman"/>
          <w:color w:val="000000" w:themeColor="text1"/>
        </w:rPr>
        <w:t>as a guide for sample size</w:t>
      </w:r>
      <w:r w:rsidR="00750F38" w:rsidRPr="003D2D46">
        <w:rPr>
          <w:rFonts w:ascii="Times New Roman" w:hAnsi="Times New Roman" w:cs="Times New Roman"/>
          <w:color w:val="000000" w:themeColor="text1"/>
        </w:rPr>
        <w:t xml:space="preserve"> </w:t>
      </w:r>
      <w:r w:rsidR="00E403C2" w:rsidRPr="003D2D46">
        <w:rPr>
          <w:rFonts w:ascii="Times New Roman" w:hAnsi="Times New Roman" w:cs="Times New Roman"/>
          <w:color w:val="000000" w:themeColor="text1"/>
        </w:rPr>
        <w:t>f</w:t>
      </w:r>
      <w:r w:rsidRPr="003D2D46">
        <w:rPr>
          <w:rFonts w:ascii="Times New Roman" w:hAnsi="Times New Roman" w:cs="Times New Roman"/>
          <w:color w:val="000000" w:themeColor="text1"/>
        </w:rPr>
        <w:t>ollowing the definition by Given (2016)</w:t>
      </w:r>
      <w:r w:rsidR="00E403C2"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that additional data do not lead to any new emergent themes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{"citationItems":[{"id":"ITEM-1","itemData":{"author":[{"dropping-particle":"","family":"Given","given":"LM","non-dropping-particle":"","parse-names":false,"suffix":""}],"id":"ITEM-1","issued":{"date-parts":[["2016"]]},"publisher":"SAGE","publisher-place":"Thousand Oaks, CA","title":"100 Questions (And Answers) About Qualitative Research","type":"book"},"uris":["http://www.mendeley.com/documents/?uuid=fadc192a-4e56-4d58-b0a3-fd624c722778","http://www.mendeley.com/documents/?uuid=8ebdbb62-46dd-4319-86b2-e73582fe74a7","http://www.mendeley.com/documents/?uuid=fdd0241b-0612-44db-a459-0f78cb1c8356"]}],"mendeley":{"formattedCitation":"(Given, 2016)","plainTextFormattedCitation":"(Given, 2016)","previouslyFormattedCitation":"(Given,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(Given,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 We </w:t>
      </w:r>
      <w:r w:rsidRPr="003D2D46">
        <w:rPr>
          <w:rFonts w:ascii="Times New Roman" w:hAnsi="Times New Roman" w:cs="Times New Roman"/>
          <w:color w:val="000000" w:themeColor="text1"/>
        </w:rPr>
        <w:lastRenderedPageBreak/>
        <w:t>knew that saturation</w:t>
      </w:r>
      <w:r w:rsidR="006007E1" w:rsidRPr="003D2D46">
        <w:rPr>
          <w:rFonts w:ascii="Times New Roman" w:hAnsi="Times New Roman" w:cs="Times New Roman"/>
          <w:color w:val="000000" w:themeColor="text1"/>
        </w:rPr>
        <w:t xml:space="preserve"> had been </w:t>
      </w:r>
      <w:r w:rsidR="008B6FEE" w:rsidRPr="003D2D46">
        <w:rPr>
          <w:rFonts w:ascii="Times New Roman" w:hAnsi="Times New Roman" w:cs="Times New Roman"/>
          <w:color w:val="000000" w:themeColor="text1"/>
        </w:rPr>
        <w:t>achieved</w:t>
      </w:r>
      <w:r w:rsidRPr="003D2D46">
        <w:rPr>
          <w:rFonts w:ascii="Times New Roman" w:hAnsi="Times New Roman" w:cs="Times New Roman"/>
          <w:color w:val="000000" w:themeColor="text1"/>
        </w:rPr>
        <w:t xml:space="preserve"> when</w:t>
      </w:r>
      <w:r w:rsidR="00F525DA" w:rsidRPr="003D2D46">
        <w:rPr>
          <w:rFonts w:ascii="Times New Roman" w:hAnsi="Times New Roman" w:cs="Times New Roman"/>
          <w:color w:val="000000" w:themeColor="text1"/>
        </w:rPr>
        <w:t>, as new data were added, no new</w:t>
      </w:r>
      <w:r w:rsidR="00F647C7" w:rsidRPr="003D2D46">
        <w:rPr>
          <w:rFonts w:ascii="Times New Roman" w:hAnsi="Times New Roman" w:cs="Times New Roman"/>
          <w:color w:val="000000" w:themeColor="text1"/>
        </w:rPr>
        <w:t xml:space="preserve"> themes</w:t>
      </w:r>
      <w:r w:rsidR="00DA7363" w:rsidRPr="003D2D46">
        <w:rPr>
          <w:rFonts w:ascii="Times New Roman" w:hAnsi="Times New Roman" w:cs="Times New Roman"/>
          <w:color w:val="000000" w:themeColor="text1"/>
        </w:rPr>
        <w:t xml:space="preserve"> emerged</w:t>
      </w:r>
      <w:r w:rsidR="00150F4D" w:rsidRPr="003D2D46">
        <w:rPr>
          <w:rFonts w:ascii="Times New Roman" w:hAnsi="Times New Roman" w:cs="Times New Roman"/>
          <w:color w:val="000000" w:themeColor="text1"/>
        </w:rPr>
        <w:t xml:space="preserve"> but </w:t>
      </w:r>
      <w:r w:rsidR="00F525DA" w:rsidRPr="003D2D46">
        <w:rPr>
          <w:rFonts w:ascii="Times New Roman" w:hAnsi="Times New Roman" w:cs="Times New Roman"/>
          <w:color w:val="000000" w:themeColor="text1"/>
        </w:rPr>
        <w:t xml:space="preserve"> instances of existing codes </w:t>
      </w:r>
      <w:r w:rsidR="000157BB" w:rsidRPr="003D2D46">
        <w:rPr>
          <w:rFonts w:ascii="Times New Roman" w:hAnsi="Times New Roman" w:cs="Times New Roman"/>
          <w:color w:val="000000" w:themeColor="text1"/>
        </w:rPr>
        <w:t>increased</w:t>
      </w:r>
      <w:r w:rsidR="00F525DA" w:rsidRPr="003D2D46">
        <w:rPr>
          <w:rFonts w:ascii="Times New Roman" w:hAnsi="Times New Roman" w:cs="Times New Roman"/>
          <w:color w:val="000000" w:themeColor="text1"/>
        </w:rPr>
        <w:t xml:space="preserve"> instead</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{"citationItems":[{"id":"ITEM-1","itemData":{"author":[{"dropping-particle":"","family":"Urquhart","given":"C","non-dropping-particle":"","parse-names":false,"suffix":""}],"id":"ITEM-1","issued":{"date-parts":[["2013"]]},"publisher":"SAGE","publisher-place":"Thousand Oaks, CA","title":"Grounded Theory for Qualitative Research: A Practical Guide","type":"book"},"uris":["http://www.mendeley.com/documents/?uuid=f90fbae1-93fa-486b-a451-0c2ecaf6748d","http://www.mendeley.com/documents/?uuid=d6a7155c-c814-4a44-838b-713367464d81","http://www.mendeley.com/documents/?uuid=bdbb87c0-15ec-411d-91ca-11d64b70b914"]}],"mendeley":{"formattedCitation":"(Urquhart, 2013)","plainTextFormattedCitation":"(Urquhart, 2013)","previouslyFormattedCitation":"(Urquhart,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(Urquhart,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10A98072" w14:textId="77777777" w:rsidR="002D463A" w:rsidRPr="003D2D46" w:rsidRDefault="002D463A" w:rsidP="00580A15">
      <w:pPr>
        <w:spacing w:line="480" w:lineRule="auto"/>
        <w:rPr>
          <w:rFonts w:ascii="Times New Roman" w:hAnsi="Times New Roman" w:cs="Times New Roman"/>
          <w:color w:val="000000" w:themeColor="text1"/>
        </w:rPr>
      </w:pPr>
    </w:p>
    <w:p w14:paraId="51B14DD6" w14:textId="085E72F2" w:rsidR="002D463A" w:rsidRPr="003D2D46" w:rsidRDefault="002D463A" w:rsidP="00580A15">
      <w:pPr>
        <w:spacing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A hybrid approach of theory-informed and data-driven deductive and inductive coding was used when analyzing interview data. For deductive coding, </w:t>
      </w:r>
      <w:r w:rsidRPr="003D2D46">
        <w:rPr>
          <w:rFonts w:ascii="Times New Roman" w:hAnsi="Times New Roman" w:cs="Times New Roman"/>
          <w:i/>
          <w:iCs/>
          <w:color w:val="000000" w:themeColor="text1"/>
        </w:rPr>
        <w:t>a priori</w:t>
      </w:r>
      <w:r w:rsidRPr="003D2D46">
        <w:rPr>
          <w:rFonts w:ascii="Times New Roman" w:hAnsi="Times New Roman" w:cs="Times New Roman"/>
          <w:color w:val="000000" w:themeColor="text1"/>
        </w:rPr>
        <w:t xml:space="preserve"> codes were developed based on the Theory of Triadic Influence as well as extant literature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{"citationItems":[{"id":"ITEM-1","itemData":{"DOI":"https://doi.org/10.1177/160940690600500107","abstract":"In this article, the authors describe how they used a hybrid process of inductive and deductive thematic analysis to interpret raw data in a doctoral study on the role of performance feedback in the self-assessment of nursing practice. The methodological approach integrated data-driven codes with theory-driven ones based on the tenets of social phenomenology. The authors present a detailed exemplar of the staged process of data coding and identification of themes. This process demonstrates how analysis of the raw data from interview transcripts and organizational documents progressed toward the identification of overarching themes that captured the phenomenon of performance feedback as described by participants in the study.","author":[{"dropping-particle":"","family":"Fereday","given":"Jennifer","non-dropping-particle":"","parse-names":false,"suffix":""},{"dropping-particle":"","family":"Adelaide","given":"North","non-dropping-particle":"","parse-names":false,"suffix":""},{"dropping-particle":"","family":"Australia","given":"South","non-dropping-particle":"","parse-names":false,"suffix":""},{"dropping-particle":"","family":"Eimear Muir-Cochrane","given":"Australia","non-dropping-particle":"","parse-names":false,"suffix":""}],"container-title":"International Journal of Qualitative Methods","id":"ITEM-1","issued":{"date-parts":[["2006"]]},"title":"Demonstrating Rigor Using Thematic Analysis: A Hybrid Approach of Inductive and Deductive Coding and Theme Development","type":"article-journal"},"uris":["http://www.mendeley.com/documents/?uuid=c5feb669-b4bd-36de-a0f0-d5094e1564c5","http://www.mendeley.com/documents/?uuid=3850ae45-5603-436b-9945-d2feec158829","http://www.mendeley.com/documents/?uuid=6919e836-66d3-41f9-8d8a-e5fec0b158b9"]}],"mendeley":{"formattedCitation":"(Fereday et al., 2006)","plainTextFormattedCitation":"(Fereday et al., 2006)","previouslyFormattedCitation":"(Fereday et al., 2006)"},"properties":{"noteIndex":0},"schema":"https://github.com/citation-style-language/schema/raw/master/csl-citation.json"}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(Fereday et al., 2006)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first cycle of coding, </w:t>
      </w:r>
      <w:r w:rsidRPr="003D2D46">
        <w:rPr>
          <w:rFonts w:ascii="Times New Roman" w:eastAsia="Calibri" w:hAnsi="Times New Roman" w:cs="Times New Roman"/>
          <w:color w:val="000000" w:themeColor="text1"/>
        </w:rPr>
        <w:t>deductive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coding,</w:t>
      </w:r>
      <w:r w:rsidRPr="003D2D46">
        <w:rPr>
          <w:rFonts w:ascii="Times New Roman" w:hAnsi="Times New Roman" w:cs="Times New Roman"/>
          <w:color w:val="000000" w:themeColor="text1"/>
        </w:rPr>
        <w:t xml:space="preserve"> included nine codes, seven of which were developed utilizing the Theory of Triadic Influence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{"citationItems":[{"id":"ITEM-1","itemData":{"ISBN":"0470179139","abstract":"In summary, the TTI consists of multiple tiers/levels of causation, three major streams each with two sub - streams of infl uence, dozens of predictions about direct and indirect (mediated) pathways and interactions (moderation) between variables, and feedback loops. In the next section, we provide an in - depth overview of the TTI.","author":[{"dropping-particle":"","family":"Flay","given":"Brian R","non-dropping-particle":"","parse-names":false,"suffix":""},{"dropping-particle":"","family":"Snyder","given":"Frank","non-dropping-particle":"","parse-names":false,"suffix":""},{"dropping-particle":"","family":"Petraitis","given":"John","non-dropping-particle":"","parse-names":false,"suffix":""}],"container-title":"Advances in Medical Sociology","id":"ITEM-1","issue":"January","issued":{"date-parts":[["2009"]]},"page":"19-44","title":"The Theory of Triadic Influence: a new theory of health behavior with implications for preventive interventions","type":"article-journal","volume":"4"},"uris":["http://www.mendeley.com/documents/?uuid=30529b1a-5b81-492b-b2d6-31a2912dba1f","http://www.mendeley.com/documents/?uuid=0c786c61-c8e6-4bcd-b43a-be66f2b74b1b","http://www.mendeley.com/documents/?uuid=58c00bc8-bc37-4c90-b171-8e59f418bb59"]}],"mendeley":{"formattedCitation":"(Flay, Snyder &amp; Petraitis, 2009)","plainTextFormattedCitation":"(Flay, Snyder &amp; Petraitis, 2009)","previouslyFormattedCitation":"(Flay, Snyder &amp; Petraitis, 2009)"},"properties":{"noteIndex":0},"schema":"https://github.com/citation-style-language/schema/raw/master/csl-citation.json"}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(Flay, Snyder &amp; Petraitis, 2009)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(Table </w:t>
      </w:r>
      <w:r w:rsidR="00580A15" w:rsidRPr="003D2D46">
        <w:rPr>
          <w:rFonts w:ascii="Times New Roman" w:hAnsi="Times New Roman" w:cs="Times New Roman"/>
          <w:color w:val="000000" w:themeColor="text1"/>
        </w:rPr>
        <w:t>3.</w:t>
      </w:r>
      <w:r w:rsidRPr="003D2D46">
        <w:rPr>
          <w:rFonts w:ascii="Times New Roman" w:hAnsi="Times New Roman" w:cs="Times New Roman"/>
          <w:color w:val="000000" w:themeColor="text1"/>
        </w:rPr>
        <w:t xml:space="preserve">1). These codes were developed to </w:t>
      </w:r>
      <w:r w:rsidRPr="003D2D46">
        <w:rPr>
          <w:rFonts w:ascii="Times New Roman" w:eastAsia="Calibri" w:hAnsi="Times New Roman" w:cs="Times New Roman"/>
          <w:color w:val="000000" w:themeColor="text1"/>
        </w:rPr>
        <w:t>identify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anticipated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responses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based on the Theory of Triadic Influence</w:t>
      </w:r>
      <w:r w:rsidRPr="003D2D46">
        <w:rPr>
          <w:rFonts w:ascii="Times New Roman" w:hAnsi="Times New Roman" w:cs="Times New Roman"/>
          <w:color w:val="000000" w:themeColor="text1"/>
        </w:rPr>
        <w:t xml:space="preserve"> as well as </w:t>
      </w:r>
      <w:r w:rsidRPr="003D2D46">
        <w:rPr>
          <w:rFonts w:ascii="Times New Roman" w:eastAsia="Calibri" w:hAnsi="Times New Roman" w:cs="Times New Roman"/>
          <w:color w:val="000000" w:themeColor="text1"/>
        </w:rPr>
        <w:t>by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prior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literature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including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academic</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media</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publications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about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behaviors</w:t>
      </w:r>
      <w:r w:rsidRPr="003D2D46">
        <w:rPr>
          <w:rFonts w:ascii="Times New Roman" w:hAnsi="Times New Roman" w:cs="Times New Roman"/>
          <w:color w:val="000000" w:themeColor="text1"/>
        </w:rPr>
        <w:t xml:space="preserve">. Theory driven codes were based on the distal predisposing influences and proximal immediate predictors of the TTI model and indicated with an asterisk in Table </w:t>
      </w:r>
      <w:r w:rsidR="0047003D" w:rsidRPr="003D2D46">
        <w:rPr>
          <w:rFonts w:ascii="Times New Roman" w:hAnsi="Times New Roman" w:cs="Times New Roman"/>
          <w:color w:val="000000" w:themeColor="text1"/>
        </w:rPr>
        <w:t>3.</w:t>
      </w:r>
      <w:r w:rsidRPr="003D2D46">
        <w:rPr>
          <w:rFonts w:ascii="Times New Roman" w:hAnsi="Times New Roman" w:cs="Times New Roman"/>
          <w:color w:val="000000" w:themeColor="text1"/>
        </w:rPr>
        <w:t>1.</w:t>
      </w:r>
    </w:p>
    <w:p w14:paraId="1A03DBF8" w14:textId="77777777" w:rsidR="002D463A" w:rsidRPr="003D2D46" w:rsidRDefault="002D463A" w:rsidP="00580A15">
      <w:pPr>
        <w:spacing w:line="480" w:lineRule="auto"/>
        <w:contextualSpacing/>
        <w:rPr>
          <w:rFonts w:ascii="Times New Roman" w:hAnsi="Times New Roman" w:cs="Times New Roman"/>
          <w:color w:val="000000" w:themeColor="text1"/>
        </w:rPr>
      </w:pPr>
    </w:p>
    <w:p w14:paraId="211A68AD" w14:textId="4D38EB08" w:rsidR="002D463A" w:rsidRPr="003D2D46" w:rsidRDefault="002D463A" w:rsidP="00580A15">
      <w:pPr>
        <w:spacing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Inductive </w:t>
      </w:r>
      <w:r w:rsidRPr="003D2D46">
        <w:rPr>
          <w:rFonts w:ascii="Times New Roman" w:eastAsia="Calibri" w:hAnsi="Times New Roman" w:cs="Times New Roman"/>
          <w:color w:val="000000" w:themeColor="text1"/>
        </w:rPr>
        <w:t>codes</w:t>
      </w:r>
      <w:r w:rsidRPr="003D2D46">
        <w:rPr>
          <w:rFonts w:ascii="Times New Roman" w:hAnsi="Times New Roman" w:cs="Times New Roman"/>
          <w:color w:val="000000" w:themeColor="text1"/>
        </w:rPr>
        <w:t xml:space="preserve"> (Table </w:t>
      </w:r>
      <w:r w:rsidR="00433A5F" w:rsidRPr="003D2D46">
        <w:rPr>
          <w:rFonts w:ascii="Times New Roman" w:hAnsi="Times New Roman" w:cs="Times New Roman"/>
          <w:color w:val="000000" w:themeColor="text1"/>
        </w:rPr>
        <w:t>3.</w:t>
      </w:r>
      <w:r w:rsidRPr="003D2D46">
        <w:rPr>
          <w:rFonts w:ascii="Times New Roman" w:hAnsi="Times New Roman" w:cs="Times New Roman"/>
          <w:color w:val="000000" w:themeColor="text1"/>
        </w:rPr>
        <w:t xml:space="preserve">1) </w:t>
      </w:r>
      <w:r w:rsidRPr="003D2D46">
        <w:rPr>
          <w:rFonts w:ascii="Times New Roman" w:eastAsia="Calibri" w:hAnsi="Times New Roman" w:cs="Times New Roman"/>
          <w:color w:val="000000" w:themeColor="text1"/>
        </w:rPr>
        <w:t>were identified throughout the coding process as unanticipated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themes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responses</w:t>
      </w:r>
      <w:r w:rsidRPr="003D2D46">
        <w:rPr>
          <w:rFonts w:ascii="Times New Roman" w:hAnsi="Times New Roman" w:cs="Times New Roman"/>
          <w:color w:val="000000" w:themeColor="text1"/>
        </w:rPr>
        <w:t xml:space="preserve"> were observed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transcripts during reading and coding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Inductive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was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informed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by</w:t>
      </w:r>
      <w:r w:rsidRPr="003D2D46">
        <w:rPr>
          <w:rFonts w:ascii="Times New Roman" w:hAnsi="Times New Roman" w:cs="Times New Roman"/>
          <w:color w:val="000000" w:themeColor="text1"/>
        </w:rPr>
        <w:t xml:space="preserve"> the </w:t>
      </w:r>
      <w:r w:rsidRPr="003D2D46">
        <w:rPr>
          <w:rFonts w:ascii="Times New Roman" w:eastAsia="Calibri" w:hAnsi="Times New Roman" w:cs="Times New Roman"/>
          <w:color w:val="000000" w:themeColor="text1"/>
        </w:rPr>
        <w:t>enumeration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terms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phrases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constant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comparison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methods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{"citationItems":[{"id":"ITEM-1","itemData":{"author":[{"dropping-particle":"","family":"Boyatzis","given":"Richard E","non-dropping-particle":"","parse-names":false,"suffix":""}],"id":"ITEM-1","issued":{"date-parts":[["1998"]]},"publisher":"SAGE","publisher-place":"Thousand Oaks, CA","title":"Transforming Qualitative Information: Thematic Analysis and Code Development","type":"book"},"uris":["http://www.mendeley.com/documents/?uuid=c1e194fc-d0bc-45ff-80d1-37845b110540","http://www.mendeley.com/documents/?uuid=e01c7700-6854-4d9f-8629-221e2b9d1e43","http://www.mendeley.com/documents/?uuid=cf1e3988-fcb0-4c64-8e1f-72689749f8e0"]}],"mendeley":{"formattedCitation":"(Boyatzis, 1998)","plainTextFormattedCitation":"(Boyatzis, 1998)","previouslyFormattedCitation":"(Boyatzis, 1998)"},"properties":{"noteIndex":0},"schema":"https://github.com/citation-style-language/schema/raw/master/csl-citation.json"}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(Boyatzis, 1998)</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r w:rsidRPr="003D2D46">
        <w:rPr>
          <w:rFonts w:ascii="Times New Roman" w:hAnsi="Times New Roman" w:cs="Times New Roman"/>
          <w:color w:val="000000" w:themeColor="text1"/>
        </w:rPr>
        <w:t xml:space="preserve">These codes described a new theme or expanded on </w:t>
      </w:r>
      <w:r w:rsidRPr="003D2D46">
        <w:rPr>
          <w:rFonts w:ascii="Times New Roman" w:hAnsi="Times New Roman" w:cs="Times New Roman"/>
          <w:i/>
          <w:iCs/>
          <w:color w:val="000000" w:themeColor="text1"/>
        </w:rPr>
        <w:t xml:space="preserve">a priori </w:t>
      </w:r>
      <w:r w:rsidRPr="003D2D46">
        <w:rPr>
          <w:rFonts w:ascii="Times New Roman" w:hAnsi="Times New Roman" w:cs="Times New Roman"/>
          <w:color w:val="000000" w:themeColor="text1"/>
        </w:rPr>
        <w:t xml:space="preserve">deductive codes. </w:t>
      </w:r>
      <w:r w:rsidR="006007E1" w:rsidRPr="003D2D46">
        <w:rPr>
          <w:rFonts w:ascii="Times New Roman" w:hAnsi="Times New Roman" w:cs="Times New Roman"/>
          <w:color w:val="000000" w:themeColor="text1"/>
        </w:rPr>
        <w:t>A</w:t>
      </w:r>
      <w:r w:rsidRPr="003D2D46">
        <w:rPr>
          <w:rFonts w:ascii="Times New Roman" w:hAnsi="Times New Roman" w:cs="Times New Roman"/>
          <w:color w:val="000000" w:themeColor="text1"/>
        </w:rPr>
        <w:t xml:space="preserve"> complete list of </w:t>
      </w:r>
      <w:r w:rsidR="006007E1" w:rsidRPr="003D2D46">
        <w:rPr>
          <w:rFonts w:ascii="Times New Roman" w:hAnsi="Times New Roman" w:cs="Times New Roman"/>
          <w:color w:val="000000" w:themeColor="text1"/>
        </w:rPr>
        <w:t xml:space="preserve">the </w:t>
      </w:r>
      <w:r w:rsidRPr="003D2D46">
        <w:rPr>
          <w:rFonts w:ascii="Times New Roman" w:hAnsi="Times New Roman" w:cs="Times New Roman"/>
          <w:color w:val="000000" w:themeColor="text1"/>
        </w:rPr>
        <w:t>codes</w:t>
      </w:r>
      <w:r w:rsidR="006007E1" w:rsidRPr="003D2D46">
        <w:rPr>
          <w:rFonts w:ascii="Times New Roman" w:hAnsi="Times New Roman" w:cs="Times New Roman"/>
          <w:color w:val="000000" w:themeColor="text1"/>
        </w:rPr>
        <w:t xml:space="preserve"> is presented in Table 3.1</w:t>
      </w:r>
      <w:r w:rsidRPr="003D2D46">
        <w:rPr>
          <w:rFonts w:ascii="Times New Roman" w:hAnsi="Times New Roman" w:cs="Times New Roman"/>
          <w:color w:val="000000" w:themeColor="text1"/>
        </w:rPr>
        <w:t>.</w:t>
      </w:r>
    </w:p>
    <w:p w14:paraId="0D2E7570" w14:textId="77777777" w:rsidR="00BD28A9" w:rsidRPr="003D2D46" w:rsidRDefault="00BD28A9"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4A5C1331" w14:textId="0859E035" w:rsidR="00BD28A9" w:rsidRPr="003D2D46" w:rsidRDefault="00CF2B3D" w:rsidP="00EE2A89">
      <w:pPr>
        <w:pStyle w:val="Caption"/>
        <w:rPr>
          <w:rFonts w:ascii="Times New Roman" w:hAnsi="Times New Roman" w:cs="Times New Roman"/>
          <w:color w:val="000000" w:themeColor="text1"/>
        </w:rPr>
      </w:pPr>
      <w:bookmarkStart w:id="112" w:name="_Toc83975878"/>
      <w:r w:rsidRPr="003D2D46">
        <w:rPr>
          <w:rFonts w:ascii="Times New Roman" w:hAnsi="Times New Roman" w:cs="Times New Roman"/>
          <w:color w:val="000000" w:themeColor="text1"/>
        </w:rPr>
        <w:lastRenderedPageBreak/>
        <w:t>Table 3.</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Deductive and Inductive Codes Utilized in Qualitative Analysis</w:t>
      </w:r>
      <w:bookmarkEnd w:id="112"/>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10"/>
        <w:gridCol w:w="3087"/>
        <w:gridCol w:w="3089"/>
      </w:tblGrid>
      <w:tr w:rsidR="003B4553" w:rsidRPr="003D2D46" w14:paraId="5C594EF0" w14:textId="77777777" w:rsidTr="004F0890">
        <w:trPr>
          <w:trHeight w:val="3045"/>
          <w:jc w:val="center"/>
        </w:trPr>
        <w:tc>
          <w:tcPr>
            <w:tcW w:w="2210" w:type="dxa"/>
            <w:tcBorders>
              <w:top w:val="single" w:sz="12" w:space="0" w:color="auto"/>
            </w:tcBorders>
          </w:tcPr>
          <w:p w14:paraId="49591FE8"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Deductive Codes</w:t>
            </w:r>
          </w:p>
        </w:tc>
        <w:tc>
          <w:tcPr>
            <w:tcW w:w="6176" w:type="dxa"/>
            <w:gridSpan w:val="2"/>
            <w:tcBorders>
              <w:top w:val="single" w:sz="12" w:space="0" w:color="auto"/>
            </w:tcBorders>
          </w:tcPr>
          <w:p w14:paraId="7B29F0B4"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Comfort with medical community</w:t>
            </w:r>
          </w:p>
          <w:p w14:paraId="13041909"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Concerns about vaccines</w:t>
            </w:r>
          </w:p>
          <w:p w14:paraId="1F413AA0"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Family beliefs*</w:t>
            </w:r>
          </w:p>
          <w:p w14:paraId="2472C320"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Social group beliefs*</w:t>
            </w:r>
          </w:p>
          <w:p w14:paraId="61B46289"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General attitude toward vaccines* </w:t>
            </w:r>
          </w:p>
          <w:p w14:paraId="60351FA6"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Risk perception* </w:t>
            </w:r>
          </w:p>
          <w:p w14:paraId="710C0323"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Related behaviors*</w:t>
            </w:r>
          </w:p>
          <w:p w14:paraId="74E13BC4"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Knowledge of disease*</w:t>
            </w:r>
          </w:p>
          <w:p w14:paraId="7FBEB753"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Information sources*</w:t>
            </w:r>
          </w:p>
          <w:p w14:paraId="528BE55C"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Reason for vaccinating children</w:t>
            </w:r>
          </w:p>
          <w:p w14:paraId="5BEADE26"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Reason for not vaccinating children</w:t>
            </w:r>
          </w:p>
        </w:tc>
      </w:tr>
      <w:tr w:rsidR="003B4553" w:rsidRPr="003D2D46" w14:paraId="6F707086" w14:textId="77777777" w:rsidTr="004F0890">
        <w:trPr>
          <w:trHeight w:val="3045"/>
          <w:jc w:val="center"/>
        </w:trPr>
        <w:tc>
          <w:tcPr>
            <w:tcW w:w="2210" w:type="dxa"/>
          </w:tcPr>
          <w:p w14:paraId="6936460B"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Inductive Codes</w:t>
            </w:r>
          </w:p>
        </w:tc>
        <w:tc>
          <w:tcPr>
            <w:tcW w:w="6176" w:type="dxa"/>
            <w:gridSpan w:val="2"/>
          </w:tcPr>
          <w:p w14:paraId="622A13AC"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Confidence in Science</w:t>
            </w:r>
          </w:p>
          <w:p w14:paraId="03419B1C"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Comfort</w:t>
            </w:r>
          </w:p>
          <w:p w14:paraId="06E82AB0"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Common Sense</w:t>
            </w:r>
          </w:p>
          <w:p w14:paraId="13BA472F"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Evidence</w:t>
            </w:r>
          </w:p>
          <w:p w14:paraId="6C4984BE"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Too many vaccines </w:t>
            </w:r>
          </w:p>
          <w:p w14:paraId="5B766432"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Research</w:t>
            </w:r>
          </w:p>
          <w:p w14:paraId="67EEBB70"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Experience resulted in change </w:t>
            </w:r>
          </w:p>
          <w:p w14:paraId="4C999965"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Making own choices/individual freedoms</w:t>
            </w:r>
          </w:p>
          <w:p w14:paraId="3B9E8C23"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Trust</w:t>
            </w:r>
          </w:p>
          <w:p w14:paraId="4C72E964" w14:textId="77777777" w:rsidR="00BD28A9" w:rsidRPr="003D2D46" w:rsidRDefault="00BD28A9" w:rsidP="00EE2A89">
            <w:pPr>
              <w:contextualSpacing/>
              <w:rPr>
                <w:rFonts w:ascii="Times New Roman" w:hAnsi="Times New Roman" w:cs="Times New Roman"/>
                <w:color w:val="000000" w:themeColor="text1"/>
              </w:rPr>
            </w:pPr>
          </w:p>
        </w:tc>
      </w:tr>
      <w:tr w:rsidR="003B4553" w:rsidRPr="003D2D46" w14:paraId="4A433D4B" w14:textId="77777777" w:rsidTr="004F0890">
        <w:trPr>
          <w:trHeight w:val="222"/>
          <w:jc w:val="center"/>
        </w:trPr>
        <w:tc>
          <w:tcPr>
            <w:tcW w:w="2210" w:type="dxa"/>
            <w:vMerge w:val="restart"/>
          </w:tcPr>
          <w:p w14:paraId="4799C4A8"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Theme 1 </w:t>
            </w:r>
          </w:p>
          <w:p w14:paraId="711A4429"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“Attitudes Toward Vaccination”</w:t>
            </w:r>
          </w:p>
          <w:p w14:paraId="17B5BEA6"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Codes</w:t>
            </w:r>
          </w:p>
        </w:tc>
        <w:tc>
          <w:tcPr>
            <w:tcW w:w="3087" w:type="dxa"/>
          </w:tcPr>
          <w:p w14:paraId="325FB38F"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General Attitude: Evaluation: Positive</w:t>
            </w:r>
          </w:p>
        </w:tc>
        <w:tc>
          <w:tcPr>
            <w:tcW w:w="3089" w:type="dxa"/>
          </w:tcPr>
          <w:p w14:paraId="1C7832D8"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“I think that [vaccination] is a good idea”; “I generally think it is a good thing. It is saving lives and protecting people, stopping diseases from being passed around”</w:t>
            </w:r>
          </w:p>
        </w:tc>
      </w:tr>
      <w:tr w:rsidR="003B4553" w:rsidRPr="003D2D46" w14:paraId="6CE5C20F" w14:textId="77777777" w:rsidTr="004F0890">
        <w:trPr>
          <w:trHeight w:val="221"/>
          <w:jc w:val="center"/>
        </w:trPr>
        <w:tc>
          <w:tcPr>
            <w:tcW w:w="2210" w:type="dxa"/>
            <w:vMerge/>
          </w:tcPr>
          <w:p w14:paraId="10934243" w14:textId="77777777" w:rsidR="00BD28A9" w:rsidRPr="003D2D46" w:rsidRDefault="00BD28A9" w:rsidP="002340D6">
            <w:pPr>
              <w:contextualSpacing/>
              <w:jc w:val="both"/>
              <w:rPr>
                <w:rFonts w:ascii="Times New Roman" w:hAnsi="Times New Roman" w:cs="Times New Roman"/>
                <w:color w:val="000000" w:themeColor="text1"/>
              </w:rPr>
            </w:pPr>
          </w:p>
        </w:tc>
        <w:tc>
          <w:tcPr>
            <w:tcW w:w="3087" w:type="dxa"/>
          </w:tcPr>
          <w:p w14:paraId="7C61B9E9"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General Attitude: Evaluation: Negative</w:t>
            </w:r>
          </w:p>
        </w:tc>
        <w:tc>
          <w:tcPr>
            <w:tcW w:w="3089" w:type="dxa"/>
          </w:tcPr>
          <w:p w14:paraId="4C261AFA" w14:textId="77777777" w:rsidR="00BD28A9" w:rsidRPr="003D2D46"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“The flu shot, that’s just a load of crap”; “I think some vaccines work”</w:t>
            </w:r>
          </w:p>
        </w:tc>
      </w:tr>
      <w:tr w:rsidR="003B4553" w:rsidRPr="003D2D46" w14:paraId="7ED50840" w14:textId="77777777" w:rsidTr="004F0890">
        <w:trPr>
          <w:trHeight w:val="554"/>
          <w:jc w:val="center"/>
        </w:trPr>
        <w:tc>
          <w:tcPr>
            <w:tcW w:w="2210" w:type="dxa"/>
          </w:tcPr>
          <w:p w14:paraId="4552A01A"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Theme 2:</w:t>
            </w:r>
          </w:p>
          <w:p w14:paraId="0DD4D998" w14:textId="1B9D768A"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“Reasons</w:t>
            </w:r>
            <w:r w:rsidR="0086474B"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for Supporting Vaccination:</w:t>
            </w:r>
          </w:p>
          <w:p w14:paraId="39AC4F05" w14:textId="77777777" w:rsidR="00BD28A9" w:rsidRPr="003D2D46" w:rsidDel="004B054F"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Codes</w:t>
            </w:r>
          </w:p>
        </w:tc>
        <w:tc>
          <w:tcPr>
            <w:tcW w:w="3087" w:type="dxa"/>
          </w:tcPr>
          <w:p w14:paraId="22605281"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Reason for Vaccinating Children</w:t>
            </w:r>
          </w:p>
        </w:tc>
        <w:tc>
          <w:tcPr>
            <w:tcW w:w="3089" w:type="dxa"/>
          </w:tcPr>
          <w:p w14:paraId="6449D09D"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“Because children used to die because we had all these diseases”; “make sure they don’t get these common diseases, protect them in the future”; “everybody gets</w:t>
            </w:r>
          </w:p>
        </w:tc>
      </w:tr>
      <w:tr w:rsidR="003B4553" w:rsidRPr="003D2D46" w14:paraId="04DD9F99" w14:textId="77777777" w:rsidTr="004F0890">
        <w:trPr>
          <w:trHeight w:val="222"/>
          <w:jc w:val="center"/>
        </w:trPr>
        <w:tc>
          <w:tcPr>
            <w:tcW w:w="2210" w:type="dxa"/>
            <w:vMerge w:val="restart"/>
          </w:tcPr>
          <w:p w14:paraId="4DAA6AB2" w14:textId="77777777" w:rsidR="00BD28A9" w:rsidRPr="003D2D46"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Theme 3:</w:t>
            </w:r>
          </w:p>
          <w:p w14:paraId="1DCC1ACA" w14:textId="77777777" w:rsidR="00BD28A9" w:rsidRPr="003D2D46" w:rsidDel="004B054F" w:rsidRDefault="00BD28A9" w:rsidP="004F0890">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“Concerns and Reasons for Vaccine Hesitancy” Codes</w:t>
            </w:r>
          </w:p>
        </w:tc>
        <w:tc>
          <w:tcPr>
            <w:tcW w:w="3087" w:type="dxa"/>
          </w:tcPr>
          <w:p w14:paraId="3A2C6EFB"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Perceived Risk</w:t>
            </w:r>
          </w:p>
        </w:tc>
        <w:tc>
          <w:tcPr>
            <w:tcW w:w="3089" w:type="dxa"/>
          </w:tcPr>
          <w:p w14:paraId="55AA647B"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“I know the flu shot is recommended but I have not caught the flu in a long time”</w:t>
            </w:r>
          </w:p>
        </w:tc>
      </w:tr>
      <w:tr w:rsidR="003B4553" w:rsidRPr="003D2D46" w14:paraId="36BD803A" w14:textId="77777777" w:rsidTr="004F0890">
        <w:trPr>
          <w:trHeight w:val="122"/>
          <w:jc w:val="center"/>
        </w:trPr>
        <w:tc>
          <w:tcPr>
            <w:tcW w:w="2210" w:type="dxa"/>
            <w:vMerge/>
          </w:tcPr>
          <w:p w14:paraId="45406D0D" w14:textId="77777777" w:rsidR="00BD28A9" w:rsidRPr="003D2D46" w:rsidRDefault="00BD28A9" w:rsidP="002340D6">
            <w:pPr>
              <w:contextualSpacing/>
              <w:jc w:val="both"/>
              <w:rPr>
                <w:rFonts w:ascii="Times New Roman" w:hAnsi="Times New Roman" w:cs="Times New Roman"/>
                <w:color w:val="000000" w:themeColor="text1"/>
              </w:rPr>
            </w:pPr>
          </w:p>
        </w:tc>
        <w:tc>
          <w:tcPr>
            <w:tcW w:w="3087" w:type="dxa"/>
          </w:tcPr>
          <w:p w14:paraId="53A4559A"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Perceived Risk of Getting Pertussis</w:t>
            </w:r>
          </w:p>
        </w:tc>
        <w:tc>
          <w:tcPr>
            <w:tcW w:w="3089" w:type="dxa"/>
          </w:tcPr>
          <w:p w14:paraId="6274D287" w14:textId="77777777" w:rsidR="00BD28A9" w:rsidRPr="003D2D46" w:rsidDel="004B054F" w:rsidRDefault="00BD28A9" w:rsidP="00EE2A89">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“now that the kids are older, I don’t see how we could get [pertussis]”</w:t>
            </w:r>
          </w:p>
        </w:tc>
      </w:tr>
    </w:tbl>
    <w:p w14:paraId="2E3D94FF" w14:textId="3C3A42AD" w:rsidR="0086474B" w:rsidRPr="003D2D46" w:rsidRDefault="0086474B" w:rsidP="0086474B">
      <w:pPr>
        <w:pStyle w:val="Caption"/>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Table 3.</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Continued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2877"/>
        <w:gridCol w:w="2877"/>
      </w:tblGrid>
      <w:tr w:rsidR="0086474B" w:rsidRPr="003D2D46" w14:paraId="3495498B" w14:textId="77777777" w:rsidTr="004F0890">
        <w:trPr>
          <w:trHeight w:val="1763"/>
        </w:trPr>
        <w:tc>
          <w:tcPr>
            <w:tcW w:w="2876" w:type="dxa"/>
            <w:tcBorders>
              <w:top w:val="single" w:sz="4" w:space="0" w:color="auto"/>
            </w:tcBorders>
          </w:tcPr>
          <w:p w14:paraId="2B948B98" w14:textId="77777777" w:rsidR="0086474B" w:rsidRPr="003D2D46" w:rsidRDefault="0086474B" w:rsidP="0086474B">
            <w:pPr>
              <w:rPr>
                <w:rFonts w:ascii="Times New Roman" w:hAnsi="Times New Roman" w:cs="Times New Roman"/>
                <w:color w:val="000000" w:themeColor="text1"/>
              </w:rPr>
            </w:pPr>
          </w:p>
        </w:tc>
        <w:tc>
          <w:tcPr>
            <w:tcW w:w="2877" w:type="dxa"/>
            <w:tcBorders>
              <w:top w:val="single" w:sz="4" w:space="0" w:color="auto"/>
              <w:bottom w:val="single" w:sz="4" w:space="0" w:color="auto"/>
            </w:tcBorders>
          </w:tcPr>
          <w:p w14:paraId="7CBC0BAD" w14:textId="6C50DC33"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Concerns about Vaccines</w:t>
            </w:r>
          </w:p>
        </w:tc>
        <w:tc>
          <w:tcPr>
            <w:tcW w:w="2877" w:type="dxa"/>
            <w:tcBorders>
              <w:top w:val="single" w:sz="4" w:space="0" w:color="auto"/>
              <w:bottom w:val="single" w:sz="4" w:space="0" w:color="auto"/>
            </w:tcBorders>
          </w:tcPr>
          <w:p w14:paraId="5518D44C" w14:textId="751C87BC"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“Maybe like allergic reactions”; “I’m more of a skeptic about what the government says is safe”; “The idea that mercury is one of the preservatives”</w:t>
            </w:r>
          </w:p>
        </w:tc>
      </w:tr>
      <w:tr w:rsidR="0086474B" w:rsidRPr="003D2D46" w14:paraId="173EDE70" w14:textId="77777777" w:rsidTr="004F0890">
        <w:tc>
          <w:tcPr>
            <w:tcW w:w="2876" w:type="dxa"/>
            <w:tcBorders>
              <w:bottom w:val="single" w:sz="4" w:space="0" w:color="auto"/>
            </w:tcBorders>
          </w:tcPr>
          <w:p w14:paraId="5E331C7B" w14:textId="77777777" w:rsidR="0086474B" w:rsidRPr="003D2D46" w:rsidRDefault="0086474B" w:rsidP="0086474B">
            <w:pPr>
              <w:rPr>
                <w:rFonts w:ascii="Times New Roman" w:hAnsi="Times New Roman" w:cs="Times New Roman"/>
                <w:color w:val="000000" w:themeColor="text1"/>
              </w:rPr>
            </w:pPr>
          </w:p>
        </w:tc>
        <w:tc>
          <w:tcPr>
            <w:tcW w:w="2877" w:type="dxa"/>
            <w:tcBorders>
              <w:top w:val="single" w:sz="4" w:space="0" w:color="auto"/>
              <w:bottom w:val="single" w:sz="4" w:space="0" w:color="auto"/>
            </w:tcBorders>
          </w:tcPr>
          <w:p w14:paraId="69D8835B" w14:textId="4EADC1A8"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Too Many Vaccines</w:t>
            </w:r>
          </w:p>
        </w:tc>
        <w:tc>
          <w:tcPr>
            <w:tcW w:w="2877" w:type="dxa"/>
            <w:tcBorders>
              <w:top w:val="single" w:sz="4" w:space="0" w:color="auto"/>
              <w:bottom w:val="single" w:sz="4" w:space="0" w:color="auto"/>
            </w:tcBorders>
          </w:tcPr>
          <w:p w14:paraId="323430BF" w14:textId="7AEB2212"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“I think if you pump five vaccines into your child, their poor little bodies can’t deal with it”</w:t>
            </w:r>
          </w:p>
        </w:tc>
      </w:tr>
      <w:tr w:rsidR="0086474B" w:rsidRPr="003D2D46" w14:paraId="644DE7EA" w14:textId="77777777" w:rsidTr="004F0890">
        <w:tc>
          <w:tcPr>
            <w:tcW w:w="2876" w:type="dxa"/>
            <w:tcBorders>
              <w:top w:val="single" w:sz="4" w:space="0" w:color="auto"/>
              <w:bottom w:val="single" w:sz="4" w:space="0" w:color="auto"/>
            </w:tcBorders>
          </w:tcPr>
          <w:p w14:paraId="2A1144DE" w14:textId="77777777" w:rsidR="0086474B" w:rsidRPr="003D2D46" w:rsidRDefault="0086474B" w:rsidP="0086474B">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Theme 4:</w:t>
            </w:r>
          </w:p>
          <w:p w14:paraId="738BB5C9" w14:textId="77777777" w:rsidR="0086474B" w:rsidRPr="003D2D46" w:rsidRDefault="0086474B" w:rsidP="0086474B">
            <w:pPr>
              <w:contextualSpacing/>
              <w:rPr>
                <w:rFonts w:ascii="Times New Roman" w:hAnsi="Times New Roman" w:cs="Times New Roman"/>
                <w:color w:val="000000" w:themeColor="text1"/>
              </w:rPr>
            </w:pPr>
            <w:r w:rsidRPr="003D2D46">
              <w:rPr>
                <w:rFonts w:ascii="Times New Roman" w:hAnsi="Times New Roman" w:cs="Times New Roman"/>
                <w:color w:val="000000" w:themeColor="text1"/>
              </w:rPr>
              <w:t>“Types of Knowledge and Information Sources”</w:t>
            </w:r>
          </w:p>
          <w:p w14:paraId="61E83A5D" w14:textId="51C9E89D"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Codes</w:t>
            </w:r>
          </w:p>
        </w:tc>
        <w:tc>
          <w:tcPr>
            <w:tcW w:w="2877" w:type="dxa"/>
            <w:tcBorders>
              <w:top w:val="single" w:sz="4" w:space="0" w:color="auto"/>
              <w:bottom w:val="single" w:sz="4" w:space="0" w:color="auto"/>
            </w:tcBorders>
          </w:tcPr>
          <w:p w14:paraId="2513ED29" w14:textId="49EDADF8"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Knowledge—Information Sources</w:t>
            </w:r>
          </w:p>
        </w:tc>
        <w:tc>
          <w:tcPr>
            <w:tcW w:w="2877" w:type="dxa"/>
            <w:tcBorders>
              <w:top w:val="single" w:sz="4" w:space="0" w:color="auto"/>
              <w:bottom w:val="single" w:sz="4" w:space="0" w:color="auto"/>
            </w:tcBorders>
          </w:tcPr>
          <w:p w14:paraId="087DFC8A" w14:textId="3E37E241" w:rsidR="0086474B" w:rsidRPr="003D2D46" w:rsidRDefault="0086474B" w:rsidP="0086474B">
            <w:pPr>
              <w:rPr>
                <w:rFonts w:ascii="Times New Roman" w:hAnsi="Times New Roman" w:cs="Times New Roman"/>
                <w:color w:val="000000" w:themeColor="text1"/>
              </w:rPr>
            </w:pPr>
            <w:r w:rsidRPr="003D2D46">
              <w:rPr>
                <w:rFonts w:ascii="Times New Roman" w:hAnsi="Times New Roman" w:cs="Times New Roman"/>
                <w:color w:val="000000" w:themeColor="text1"/>
              </w:rPr>
              <w:t>“Mostly just our doctors”; “Our own research”; “WebMD”</w:t>
            </w:r>
          </w:p>
        </w:tc>
      </w:tr>
      <w:tr w:rsidR="0086474B" w:rsidRPr="003D2D46" w14:paraId="084D1F04" w14:textId="77777777" w:rsidTr="004F0890">
        <w:tc>
          <w:tcPr>
            <w:tcW w:w="2876" w:type="dxa"/>
            <w:tcBorders>
              <w:top w:val="single" w:sz="4" w:space="0" w:color="auto"/>
              <w:bottom w:val="single" w:sz="12" w:space="0" w:color="auto"/>
            </w:tcBorders>
          </w:tcPr>
          <w:p w14:paraId="1BC6D52D" w14:textId="04A5D5C4" w:rsidR="0086474B" w:rsidRPr="003D2D46" w:rsidRDefault="0086474B" w:rsidP="0086474B">
            <w:pPr>
              <w:rPr>
                <w:rFonts w:ascii="Times New Roman" w:hAnsi="Times New Roman" w:cs="Times New Roman"/>
                <w:color w:val="000000" w:themeColor="text1"/>
              </w:rPr>
            </w:pPr>
            <w:r w:rsidRPr="003D2D46">
              <w:rPr>
                <w:rStyle w:val="CommentReference"/>
                <w:rFonts w:ascii="Times New Roman" w:hAnsi="Times New Roman" w:cs="Times New Roman"/>
                <w:color w:val="000000" w:themeColor="text1"/>
                <w:sz w:val="24"/>
                <w:szCs w:val="24"/>
              </w:rPr>
              <w:t>*TTI informed codes</w:t>
            </w:r>
          </w:p>
        </w:tc>
        <w:tc>
          <w:tcPr>
            <w:tcW w:w="2877" w:type="dxa"/>
            <w:tcBorders>
              <w:top w:val="single" w:sz="4" w:space="0" w:color="auto"/>
              <w:bottom w:val="single" w:sz="12" w:space="0" w:color="auto"/>
            </w:tcBorders>
          </w:tcPr>
          <w:p w14:paraId="35ECD8AB" w14:textId="77777777" w:rsidR="0086474B" w:rsidRPr="003D2D46" w:rsidRDefault="0086474B" w:rsidP="0086474B">
            <w:pPr>
              <w:rPr>
                <w:rFonts w:ascii="Times New Roman" w:hAnsi="Times New Roman" w:cs="Times New Roman"/>
                <w:color w:val="000000" w:themeColor="text1"/>
              </w:rPr>
            </w:pPr>
          </w:p>
        </w:tc>
        <w:tc>
          <w:tcPr>
            <w:tcW w:w="2877" w:type="dxa"/>
            <w:tcBorders>
              <w:top w:val="single" w:sz="4" w:space="0" w:color="auto"/>
              <w:bottom w:val="single" w:sz="12" w:space="0" w:color="auto"/>
            </w:tcBorders>
          </w:tcPr>
          <w:p w14:paraId="5A40F03C" w14:textId="77777777" w:rsidR="0086474B" w:rsidRPr="003D2D46" w:rsidRDefault="0086474B" w:rsidP="0086474B">
            <w:pPr>
              <w:rPr>
                <w:rFonts w:ascii="Times New Roman" w:hAnsi="Times New Roman" w:cs="Times New Roman"/>
                <w:color w:val="000000" w:themeColor="text1"/>
              </w:rPr>
            </w:pPr>
          </w:p>
        </w:tc>
      </w:tr>
    </w:tbl>
    <w:p w14:paraId="5948E478" w14:textId="11B71805" w:rsidR="00A230CD" w:rsidRPr="003D2D46" w:rsidRDefault="002A5723" w:rsidP="00A230CD">
      <w:pPr>
        <w:rPr>
          <w:rFonts w:ascii="Times New Roman" w:hAnsi="Times New Roman" w:cs="Times New Roman"/>
          <w:color w:val="000000" w:themeColor="text1"/>
        </w:rPr>
      </w:pPr>
      <w:r w:rsidRPr="003D2D46">
        <w:rPr>
          <w:rFonts w:ascii="Times New Roman" w:hAnsi="Times New Roman" w:cs="Times New Roman"/>
          <w:color w:val="000000" w:themeColor="text1"/>
        </w:rPr>
        <w:t>*</w:t>
      </w:r>
      <w:r w:rsidR="00A230CD" w:rsidRPr="003D2D46">
        <w:rPr>
          <w:rFonts w:ascii="Times New Roman" w:hAnsi="Times New Roman" w:cs="Times New Roman"/>
          <w:color w:val="000000" w:themeColor="text1"/>
        </w:rPr>
        <w:t>Theory of Triadic Influence</w:t>
      </w:r>
    </w:p>
    <w:p w14:paraId="461ADA5B" w14:textId="4941256F" w:rsidR="0086474B" w:rsidRPr="003D2D46" w:rsidRDefault="008B6FEE" w:rsidP="008B6FEE">
      <w:pPr>
        <w:tabs>
          <w:tab w:val="left" w:pos="3060"/>
        </w:tabs>
        <w:rPr>
          <w:rFonts w:ascii="Times New Roman" w:hAnsi="Times New Roman" w:cs="Times New Roman"/>
          <w:color w:val="000000" w:themeColor="text1"/>
        </w:rPr>
      </w:pPr>
      <w:r>
        <w:rPr>
          <w:rFonts w:ascii="Times New Roman" w:hAnsi="Times New Roman" w:cs="Times New Roman"/>
          <w:color w:val="000000" w:themeColor="text1"/>
        </w:rPr>
        <w:tab/>
      </w:r>
    </w:p>
    <w:p w14:paraId="6A94DFAE" w14:textId="2EC711B1" w:rsidR="002D463A" w:rsidRPr="008B6FEE" w:rsidRDefault="00BD28A9" w:rsidP="00EE2A89">
      <w:pPr>
        <w:rPr>
          <w:rFonts w:ascii="Times New Roman" w:hAnsi="Times New Roman" w:cs="Times New Roman"/>
          <w:color w:val="000000" w:themeColor="text1"/>
          <w:u w:val="single"/>
        </w:rPr>
      </w:pPr>
      <w:r w:rsidRPr="008B6FEE">
        <w:rPr>
          <w:rFonts w:ascii="Times New Roman" w:hAnsi="Times New Roman" w:cs="Times New Roman"/>
          <w:color w:val="000000" w:themeColor="text1"/>
          <w:u w:val="single"/>
        </w:rPr>
        <w:br w:type="page"/>
      </w:r>
    </w:p>
    <w:p w14:paraId="6C561057" w14:textId="77777777" w:rsidR="002D463A" w:rsidRPr="003D2D46" w:rsidRDefault="002D463A" w:rsidP="00E547A1">
      <w:pPr>
        <w:spacing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Four predominant themes emerged from the data: Attitudes Toward Vaccination, Reasons for Supporting Vaccination, Concerns and Reasons for Vaccine Hesitancy, and Types of Knowledge and Information Sources. These themes were identified through constant comparison of interviews, considering both deductively and inductively coded data. </w:t>
      </w:r>
    </w:p>
    <w:p w14:paraId="3CBDDCA8" w14:textId="77777777" w:rsidR="00385962" w:rsidRPr="003D2D46" w:rsidRDefault="00385962" w:rsidP="00E547A1">
      <w:pPr>
        <w:spacing w:line="480" w:lineRule="auto"/>
        <w:contextualSpacing/>
        <w:rPr>
          <w:rFonts w:ascii="Times New Roman" w:hAnsi="Times New Roman" w:cs="Times New Roman"/>
          <w:color w:val="000000" w:themeColor="text1"/>
        </w:rPr>
      </w:pPr>
    </w:p>
    <w:p w14:paraId="5AC6E708" w14:textId="77777777" w:rsidR="002D463A" w:rsidRPr="003D2D46" w:rsidRDefault="005529ED" w:rsidP="004F0890">
      <w:pPr>
        <w:pStyle w:val="Heading2"/>
        <w:spacing w:before="0" w:after="0" w:line="480" w:lineRule="auto"/>
        <w:rPr>
          <w:rFonts w:cs="Times New Roman"/>
          <w:color w:val="000000" w:themeColor="text1"/>
          <w:szCs w:val="24"/>
        </w:rPr>
      </w:pPr>
      <w:bookmarkStart w:id="113" w:name="_Toc82445534"/>
      <w:bookmarkStart w:id="114" w:name="_Toc87797097"/>
      <w:r w:rsidRPr="003D2D46">
        <w:rPr>
          <w:rFonts w:cs="Times New Roman"/>
          <w:color w:val="000000" w:themeColor="text1"/>
          <w:szCs w:val="24"/>
        </w:rPr>
        <w:t>3</w:t>
      </w:r>
      <w:r w:rsidR="004B759B" w:rsidRPr="003D2D46">
        <w:rPr>
          <w:rFonts w:cs="Times New Roman"/>
          <w:color w:val="000000" w:themeColor="text1"/>
          <w:szCs w:val="24"/>
        </w:rPr>
        <w:t>.</w:t>
      </w:r>
      <w:r w:rsidR="000D1486" w:rsidRPr="003D2D46">
        <w:rPr>
          <w:rFonts w:cs="Times New Roman"/>
          <w:color w:val="000000" w:themeColor="text1"/>
          <w:szCs w:val="24"/>
        </w:rPr>
        <w:t>5</w:t>
      </w:r>
      <w:r w:rsidR="004B759B" w:rsidRPr="003D2D46">
        <w:rPr>
          <w:rFonts w:cs="Times New Roman"/>
          <w:color w:val="000000" w:themeColor="text1"/>
          <w:szCs w:val="24"/>
        </w:rPr>
        <w:t xml:space="preserve"> </w:t>
      </w:r>
      <w:r w:rsidR="002D463A" w:rsidRPr="003D2D46">
        <w:rPr>
          <w:rFonts w:cs="Times New Roman"/>
          <w:color w:val="000000" w:themeColor="text1"/>
          <w:szCs w:val="24"/>
        </w:rPr>
        <w:t>Results</w:t>
      </w:r>
      <w:bookmarkEnd w:id="113"/>
      <w:bookmarkEnd w:id="114"/>
    </w:p>
    <w:p w14:paraId="1B99FB1F" w14:textId="77777777" w:rsidR="002D463A" w:rsidRPr="003D2D46" w:rsidRDefault="005529ED" w:rsidP="004F0890">
      <w:pPr>
        <w:pStyle w:val="Heading41111"/>
        <w:spacing w:before="0" w:line="480" w:lineRule="auto"/>
        <w:rPr>
          <w:rFonts w:cs="Times New Roman"/>
          <w:color w:val="000000" w:themeColor="text1"/>
        </w:rPr>
      </w:pPr>
      <w:bookmarkStart w:id="115" w:name="_Toc82445535"/>
      <w:bookmarkStart w:id="116" w:name="_Toc87797098"/>
      <w:r w:rsidRPr="003D2D46">
        <w:rPr>
          <w:rFonts w:cs="Times New Roman"/>
          <w:color w:val="000000" w:themeColor="text1"/>
        </w:rPr>
        <w:t>3.</w:t>
      </w:r>
      <w:r w:rsidR="000D1486" w:rsidRPr="003D2D46">
        <w:rPr>
          <w:rFonts w:cs="Times New Roman"/>
          <w:color w:val="000000" w:themeColor="text1"/>
        </w:rPr>
        <w:t>5</w:t>
      </w:r>
      <w:r w:rsidRPr="003D2D46">
        <w:rPr>
          <w:rFonts w:cs="Times New Roman"/>
          <w:color w:val="000000" w:themeColor="text1"/>
        </w:rPr>
        <w:t xml:space="preserve">.1 </w:t>
      </w:r>
      <w:r w:rsidR="002D463A" w:rsidRPr="003D2D46">
        <w:rPr>
          <w:rFonts w:cs="Times New Roman"/>
          <w:color w:val="000000" w:themeColor="text1"/>
        </w:rPr>
        <w:t>Participant Demographic Characteristics</w:t>
      </w:r>
      <w:bookmarkEnd w:id="115"/>
      <w:bookmarkEnd w:id="116"/>
      <w:r w:rsidR="002D463A" w:rsidRPr="003D2D46">
        <w:rPr>
          <w:rFonts w:cs="Times New Roman"/>
          <w:color w:val="000000" w:themeColor="text1"/>
        </w:rPr>
        <w:t xml:space="preserve"> </w:t>
      </w:r>
    </w:p>
    <w:p w14:paraId="7D43863C" w14:textId="29F844B3" w:rsidR="002D463A" w:rsidRPr="003D2D46" w:rsidRDefault="002D463A">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Participant’s demographic characteristics are summarized in Table </w:t>
      </w:r>
      <w:r w:rsidR="006060F1" w:rsidRPr="003D2D46">
        <w:rPr>
          <w:rFonts w:ascii="Times New Roman" w:hAnsi="Times New Roman" w:cs="Times New Roman"/>
          <w:color w:val="000000" w:themeColor="text1"/>
        </w:rPr>
        <w:t>3.</w:t>
      </w:r>
      <w:r w:rsidRPr="003D2D46">
        <w:rPr>
          <w:rFonts w:ascii="Times New Roman" w:hAnsi="Times New Roman" w:cs="Times New Roman"/>
          <w:color w:val="000000" w:themeColor="text1"/>
        </w:rPr>
        <w:t xml:space="preserve">2. </w:t>
      </w:r>
      <w:r w:rsidR="00E63656" w:rsidRPr="003D2D46">
        <w:rPr>
          <w:rFonts w:ascii="Times New Roman" w:hAnsi="Times New Roman" w:cs="Times New Roman"/>
          <w:color w:val="000000" w:themeColor="text1"/>
        </w:rPr>
        <w:t xml:space="preserve">The mean age of the participants was 34 years and the majority were female (n=6, 55%). </w:t>
      </w:r>
      <w:r w:rsidRPr="003D2D46">
        <w:rPr>
          <w:rFonts w:ascii="Times New Roman" w:hAnsi="Times New Roman" w:cs="Times New Roman"/>
          <w:color w:val="000000" w:themeColor="text1"/>
        </w:rPr>
        <w:t>Most participants (n=10, 91%) self-identified as white and non-Hispanic</w:t>
      </w:r>
      <w:r w:rsidR="00E63656"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w:t>
      </w:r>
      <w:r w:rsidR="00E63656" w:rsidRPr="003D2D46">
        <w:rPr>
          <w:rFonts w:ascii="Times New Roman" w:hAnsi="Times New Roman" w:cs="Times New Roman"/>
          <w:color w:val="000000" w:themeColor="text1"/>
        </w:rPr>
        <w:t xml:space="preserve">All </w:t>
      </w:r>
      <w:r w:rsidRPr="003D2D46">
        <w:rPr>
          <w:rFonts w:ascii="Times New Roman" w:hAnsi="Times New Roman" w:cs="Times New Roman"/>
          <w:color w:val="000000" w:themeColor="text1"/>
        </w:rPr>
        <w:t xml:space="preserve">participants had completed high school and most had completed college (n=7, 64%). Most of the study participants (n=9, 81%) had health insurance and the majority (n=6, 55%) had children. </w:t>
      </w:r>
    </w:p>
    <w:p w14:paraId="2281B1EC" w14:textId="4EA8B302" w:rsidR="00BD28A9" w:rsidRPr="003D2D46" w:rsidRDefault="00BD28A9" w:rsidP="00580A15">
      <w:pPr>
        <w:spacing w:line="480" w:lineRule="auto"/>
        <w:rPr>
          <w:rFonts w:ascii="Times New Roman" w:hAnsi="Times New Roman" w:cs="Times New Roman"/>
          <w:color w:val="000000" w:themeColor="text1"/>
        </w:rPr>
      </w:pPr>
    </w:p>
    <w:p w14:paraId="3E17A620" w14:textId="77777777" w:rsidR="00CF36A2" w:rsidRPr="003D2D46" w:rsidRDefault="00CF36A2" w:rsidP="00CF36A2">
      <w:pPr>
        <w:pStyle w:val="Heading41111"/>
        <w:spacing w:line="480" w:lineRule="auto"/>
        <w:rPr>
          <w:rFonts w:cs="Times New Roman"/>
          <w:color w:val="000000" w:themeColor="text1"/>
        </w:rPr>
      </w:pPr>
      <w:bookmarkStart w:id="117" w:name="_Toc87797099"/>
      <w:r w:rsidRPr="003D2D46">
        <w:rPr>
          <w:rFonts w:cs="Times New Roman"/>
          <w:color w:val="000000" w:themeColor="text1"/>
        </w:rPr>
        <w:t>3.5.2 Theme 1: Attitudes Towards Vaccination</w:t>
      </w:r>
      <w:bookmarkEnd w:id="117"/>
    </w:p>
    <w:p w14:paraId="6493639A" w14:textId="0FE01953" w:rsidR="002D463A" w:rsidRPr="003D2D46" w:rsidRDefault="00CF36A2" w:rsidP="00CF36A2">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majority of respondents (n=8, 73%) held positive attitudes regarding vaccination in general. If participants had had children, they reported that they had their children vaccinated and up-to-date according to current recommendations. Expressions of support ranged from vague positivity to </w:t>
      </w:r>
      <w:r w:rsidR="0008590D" w:rsidRPr="003D2D46">
        <w:rPr>
          <w:rFonts w:ascii="Times New Roman" w:hAnsi="Times New Roman" w:cs="Times New Roman"/>
          <w:color w:val="000000" w:themeColor="text1"/>
        </w:rPr>
        <w:t xml:space="preserve">clear </w:t>
      </w:r>
      <w:r w:rsidRPr="003D2D46">
        <w:rPr>
          <w:rFonts w:ascii="Times New Roman" w:hAnsi="Times New Roman" w:cs="Times New Roman"/>
          <w:color w:val="000000" w:themeColor="text1"/>
        </w:rPr>
        <w:t>and thorough sentiment. For example, Aileen said that they “think [vaccination] is generally a good thing,” and Amelia reported that they “think vaccinations are a great thing,” and even considered getting vaccinated part of their civil duty.</w:t>
      </w:r>
    </w:p>
    <w:p w14:paraId="056105FB" w14:textId="23384F69" w:rsidR="00CF2B3D" w:rsidRPr="003D2D46" w:rsidRDefault="00CF2B3D" w:rsidP="00EE2A89">
      <w:pPr>
        <w:pStyle w:val="Caption"/>
        <w:rPr>
          <w:rFonts w:ascii="Times New Roman" w:hAnsi="Times New Roman" w:cs="Times New Roman"/>
          <w:color w:val="000000" w:themeColor="text1"/>
        </w:rPr>
      </w:pPr>
      <w:bookmarkStart w:id="118" w:name="_Toc83975879"/>
      <w:r w:rsidRPr="003D2D46">
        <w:rPr>
          <w:rFonts w:ascii="Times New Roman" w:hAnsi="Times New Roman" w:cs="Times New Roman"/>
          <w:color w:val="000000" w:themeColor="text1"/>
        </w:rPr>
        <w:lastRenderedPageBreak/>
        <w:t>Table 3.</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Demographic</w:t>
      </w:r>
      <w:r w:rsidR="00844033" w:rsidRPr="003D2D46">
        <w:rPr>
          <w:rFonts w:ascii="Times New Roman" w:hAnsi="Times New Roman" w:cs="Times New Roman"/>
          <w:color w:val="000000" w:themeColor="text1"/>
        </w:rPr>
        <w:t xml:space="preserve"> Characteristic</w:t>
      </w:r>
      <w:r w:rsidRPr="003D2D46">
        <w:rPr>
          <w:rFonts w:ascii="Times New Roman" w:hAnsi="Times New Roman" w:cs="Times New Roman"/>
          <w:color w:val="000000" w:themeColor="text1"/>
        </w:rPr>
        <w:t>s of Participants</w:t>
      </w:r>
      <w:r w:rsidR="0008590D" w:rsidRPr="003D2D46">
        <w:rPr>
          <w:rFonts w:ascii="Times New Roman" w:hAnsi="Times New Roman" w:cs="Times New Roman"/>
          <w:color w:val="000000" w:themeColor="text1"/>
        </w:rPr>
        <w:t xml:space="preserve"> (</w:t>
      </w:r>
      <w:r w:rsidR="00AB5F5A" w:rsidRPr="003D2D46">
        <w:rPr>
          <w:rFonts w:ascii="Times New Roman" w:hAnsi="Times New Roman" w:cs="Times New Roman"/>
          <w:color w:val="000000" w:themeColor="text1"/>
        </w:rPr>
        <w:t>n</w:t>
      </w:r>
      <w:r w:rsidR="0008590D" w:rsidRPr="003D2D46">
        <w:rPr>
          <w:rFonts w:ascii="Times New Roman" w:hAnsi="Times New Roman" w:cs="Times New Roman"/>
          <w:color w:val="000000" w:themeColor="text1"/>
        </w:rPr>
        <w:t>=11)</w:t>
      </w:r>
      <w:r w:rsidR="00B77FA9" w:rsidRPr="003D2D46">
        <w:rPr>
          <w:rFonts w:ascii="Times New Roman" w:hAnsi="Times New Roman" w:cs="Times New Roman"/>
          <w:color w:val="000000" w:themeColor="text1"/>
        </w:rPr>
        <w:t xml:space="preserve"> in Qualitative Study of Vaccination Attitudes in East Tennessee</w:t>
      </w:r>
      <w:bookmarkEnd w:id="118"/>
    </w:p>
    <w:tbl>
      <w:tblPr>
        <w:tblW w:w="4731" w:type="dxa"/>
        <w:jc w:val="center"/>
        <w:tblBorders>
          <w:insideH w:val="single" w:sz="4" w:space="0" w:color="auto"/>
        </w:tblBorders>
        <w:tblLook w:val="04A0" w:firstRow="1" w:lastRow="0" w:firstColumn="1" w:lastColumn="0" w:noHBand="0" w:noVBand="1"/>
      </w:tblPr>
      <w:tblGrid>
        <w:gridCol w:w="2595"/>
        <w:gridCol w:w="2136"/>
      </w:tblGrid>
      <w:tr w:rsidR="003B4553" w:rsidRPr="003D2D46" w14:paraId="5688855A" w14:textId="77777777" w:rsidTr="004F0890">
        <w:trPr>
          <w:trHeight w:val="281"/>
          <w:jc w:val="center"/>
        </w:trPr>
        <w:tc>
          <w:tcPr>
            <w:tcW w:w="2595" w:type="dxa"/>
            <w:tcBorders>
              <w:top w:val="single" w:sz="12" w:space="0" w:color="auto"/>
              <w:bottom w:val="single" w:sz="12" w:space="0" w:color="auto"/>
            </w:tcBorders>
            <w:shd w:val="clear" w:color="auto" w:fill="auto"/>
            <w:noWrap/>
            <w:vAlign w:val="bottom"/>
          </w:tcPr>
          <w:p w14:paraId="762F2B66" w14:textId="77777777" w:rsidR="00BD28A9" w:rsidRPr="003D2D46" w:rsidRDefault="00CB5BDF" w:rsidP="00EE2A89">
            <w:pPr>
              <w:jc w:val="center"/>
              <w:rPr>
                <w:rFonts w:ascii="Times New Roman" w:hAnsi="Times New Roman" w:cs="Times New Roman"/>
                <w:b/>
                <w:color w:val="000000" w:themeColor="text1"/>
              </w:rPr>
            </w:pPr>
            <w:r w:rsidRPr="003D2D46">
              <w:rPr>
                <w:rFonts w:ascii="Times New Roman" w:hAnsi="Times New Roman" w:cs="Times New Roman"/>
                <w:b/>
                <w:color w:val="000000" w:themeColor="text1"/>
              </w:rPr>
              <w:t>Demographic Characteristic</w:t>
            </w:r>
          </w:p>
        </w:tc>
        <w:tc>
          <w:tcPr>
            <w:tcW w:w="2136" w:type="dxa"/>
            <w:tcBorders>
              <w:top w:val="single" w:sz="12" w:space="0" w:color="auto"/>
              <w:bottom w:val="single" w:sz="12" w:space="0" w:color="auto"/>
            </w:tcBorders>
            <w:shd w:val="clear" w:color="auto" w:fill="auto"/>
            <w:noWrap/>
            <w:vAlign w:val="bottom"/>
          </w:tcPr>
          <w:p w14:paraId="0AA0D142" w14:textId="77777777" w:rsidR="00BD28A9" w:rsidRPr="003D2D46" w:rsidRDefault="00CB5BDF">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Mean / Percentage</w:t>
            </w:r>
          </w:p>
        </w:tc>
      </w:tr>
      <w:tr w:rsidR="003B4553" w:rsidRPr="003D2D46" w14:paraId="7182344C" w14:textId="77777777" w:rsidTr="004F0890">
        <w:trPr>
          <w:trHeight w:val="332"/>
          <w:jc w:val="center"/>
        </w:trPr>
        <w:tc>
          <w:tcPr>
            <w:tcW w:w="2595" w:type="dxa"/>
            <w:tcBorders>
              <w:top w:val="single" w:sz="12" w:space="0" w:color="auto"/>
              <w:bottom w:val="single" w:sz="4" w:space="0" w:color="auto"/>
            </w:tcBorders>
            <w:shd w:val="clear" w:color="auto" w:fill="auto"/>
            <w:noWrap/>
            <w:vAlign w:val="bottom"/>
            <w:hideMark/>
          </w:tcPr>
          <w:p w14:paraId="4E70A643" w14:textId="77777777" w:rsidR="00BD28A9" w:rsidRPr="003D2D46" w:rsidRDefault="00BD28A9"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Age (mean)</w:t>
            </w:r>
          </w:p>
        </w:tc>
        <w:tc>
          <w:tcPr>
            <w:tcW w:w="2136" w:type="dxa"/>
            <w:tcBorders>
              <w:top w:val="single" w:sz="12" w:space="0" w:color="auto"/>
              <w:bottom w:val="single" w:sz="4" w:space="0" w:color="auto"/>
            </w:tcBorders>
            <w:shd w:val="clear" w:color="auto" w:fill="auto"/>
            <w:noWrap/>
            <w:vAlign w:val="bottom"/>
            <w:hideMark/>
          </w:tcPr>
          <w:p w14:paraId="52A726A4"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34</w:t>
            </w:r>
          </w:p>
        </w:tc>
      </w:tr>
      <w:tr w:rsidR="003B4553" w:rsidRPr="003D2D46" w14:paraId="1AA6E75A" w14:textId="77777777" w:rsidTr="000E409A">
        <w:trPr>
          <w:trHeight w:val="278"/>
          <w:jc w:val="center"/>
        </w:trPr>
        <w:tc>
          <w:tcPr>
            <w:tcW w:w="4731" w:type="dxa"/>
            <w:gridSpan w:val="2"/>
            <w:tcBorders>
              <w:top w:val="single" w:sz="4" w:space="0" w:color="auto"/>
              <w:bottom w:val="single" w:sz="4" w:space="0" w:color="auto"/>
            </w:tcBorders>
            <w:shd w:val="clear" w:color="auto" w:fill="auto"/>
            <w:noWrap/>
            <w:vAlign w:val="bottom"/>
            <w:hideMark/>
          </w:tcPr>
          <w:p w14:paraId="2B1D35D5" w14:textId="77777777" w:rsidR="00BD28A9" w:rsidRPr="003D2D46" w:rsidRDefault="00BD28A9">
            <w:pPr>
              <w:rPr>
                <w:rFonts w:ascii="Times New Roman" w:hAnsi="Times New Roman" w:cs="Times New Roman"/>
                <w:color w:val="000000" w:themeColor="text1"/>
              </w:rPr>
            </w:pPr>
            <w:r w:rsidRPr="003D2D46">
              <w:rPr>
                <w:rFonts w:ascii="Times New Roman" w:hAnsi="Times New Roman" w:cs="Times New Roman"/>
                <w:b/>
                <w:bCs/>
                <w:color w:val="000000" w:themeColor="text1"/>
              </w:rPr>
              <w:t>Gender</w:t>
            </w:r>
          </w:p>
        </w:tc>
      </w:tr>
      <w:tr w:rsidR="003B4553" w:rsidRPr="003D2D46" w14:paraId="49A30727" w14:textId="77777777" w:rsidTr="000E409A">
        <w:trPr>
          <w:trHeight w:val="278"/>
          <w:jc w:val="center"/>
        </w:trPr>
        <w:tc>
          <w:tcPr>
            <w:tcW w:w="2595" w:type="dxa"/>
            <w:tcBorders>
              <w:top w:val="single" w:sz="4" w:space="0" w:color="auto"/>
              <w:bottom w:val="nil"/>
            </w:tcBorders>
            <w:shd w:val="clear" w:color="auto" w:fill="auto"/>
            <w:noWrap/>
            <w:vAlign w:val="center"/>
            <w:hideMark/>
          </w:tcPr>
          <w:p w14:paraId="1006194D"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Male</w:t>
            </w:r>
          </w:p>
        </w:tc>
        <w:tc>
          <w:tcPr>
            <w:tcW w:w="2136" w:type="dxa"/>
            <w:tcBorders>
              <w:top w:val="single" w:sz="4" w:space="0" w:color="auto"/>
              <w:bottom w:val="nil"/>
            </w:tcBorders>
            <w:shd w:val="clear" w:color="auto" w:fill="auto"/>
            <w:noWrap/>
            <w:vAlign w:val="bottom"/>
            <w:hideMark/>
          </w:tcPr>
          <w:p w14:paraId="55055BE3"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45%</w:t>
            </w:r>
          </w:p>
        </w:tc>
      </w:tr>
      <w:tr w:rsidR="003B4553" w:rsidRPr="003D2D46" w14:paraId="40E2E414" w14:textId="77777777" w:rsidTr="000E409A">
        <w:trPr>
          <w:trHeight w:val="278"/>
          <w:jc w:val="center"/>
        </w:trPr>
        <w:tc>
          <w:tcPr>
            <w:tcW w:w="2595" w:type="dxa"/>
            <w:tcBorders>
              <w:top w:val="nil"/>
              <w:bottom w:val="nil"/>
            </w:tcBorders>
            <w:shd w:val="clear" w:color="auto" w:fill="auto"/>
            <w:noWrap/>
            <w:vAlign w:val="center"/>
            <w:hideMark/>
          </w:tcPr>
          <w:p w14:paraId="0E564E65"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Female</w:t>
            </w:r>
          </w:p>
        </w:tc>
        <w:tc>
          <w:tcPr>
            <w:tcW w:w="2136" w:type="dxa"/>
            <w:tcBorders>
              <w:top w:val="nil"/>
              <w:bottom w:val="nil"/>
            </w:tcBorders>
            <w:shd w:val="clear" w:color="auto" w:fill="auto"/>
            <w:noWrap/>
            <w:vAlign w:val="bottom"/>
            <w:hideMark/>
          </w:tcPr>
          <w:p w14:paraId="200A2966"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55%</w:t>
            </w:r>
          </w:p>
        </w:tc>
      </w:tr>
      <w:tr w:rsidR="003B4553" w:rsidRPr="003D2D46" w14:paraId="5A4B18F0" w14:textId="77777777" w:rsidTr="000E409A">
        <w:trPr>
          <w:trHeight w:val="278"/>
          <w:jc w:val="center"/>
        </w:trPr>
        <w:tc>
          <w:tcPr>
            <w:tcW w:w="4731" w:type="dxa"/>
            <w:gridSpan w:val="2"/>
            <w:tcBorders>
              <w:top w:val="nil"/>
              <w:bottom w:val="single" w:sz="4" w:space="0" w:color="auto"/>
            </w:tcBorders>
            <w:shd w:val="clear" w:color="auto" w:fill="auto"/>
            <w:noWrap/>
            <w:vAlign w:val="bottom"/>
            <w:hideMark/>
          </w:tcPr>
          <w:p w14:paraId="5B54ABAE" w14:textId="77777777" w:rsidR="00BD28A9" w:rsidRPr="003D2D46" w:rsidRDefault="00BD28A9">
            <w:pPr>
              <w:rPr>
                <w:rFonts w:ascii="Times New Roman" w:hAnsi="Times New Roman" w:cs="Times New Roman"/>
                <w:color w:val="000000" w:themeColor="text1"/>
              </w:rPr>
            </w:pPr>
            <w:r w:rsidRPr="003D2D46">
              <w:rPr>
                <w:rFonts w:ascii="Times New Roman" w:hAnsi="Times New Roman" w:cs="Times New Roman"/>
                <w:b/>
                <w:bCs/>
                <w:color w:val="000000" w:themeColor="text1"/>
              </w:rPr>
              <w:t>Race/Ethnicity</w:t>
            </w:r>
          </w:p>
        </w:tc>
      </w:tr>
      <w:tr w:rsidR="003B4553" w:rsidRPr="003D2D46" w14:paraId="7D0B82BA" w14:textId="77777777" w:rsidTr="000E409A">
        <w:trPr>
          <w:trHeight w:val="278"/>
          <w:jc w:val="center"/>
        </w:trPr>
        <w:tc>
          <w:tcPr>
            <w:tcW w:w="2595" w:type="dxa"/>
            <w:tcBorders>
              <w:top w:val="single" w:sz="4" w:space="0" w:color="auto"/>
              <w:bottom w:val="nil"/>
            </w:tcBorders>
            <w:shd w:val="clear" w:color="auto" w:fill="auto"/>
            <w:noWrap/>
            <w:vAlign w:val="bottom"/>
            <w:hideMark/>
          </w:tcPr>
          <w:p w14:paraId="0E088A2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White</w:t>
            </w:r>
          </w:p>
        </w:tc>
        <w:tc>
          <w:tcPr>
            <w:tcW w:w="2136" w:type="dxa"/>
            <w:tcBorders>
              <w:top w:val="single" w:sz="4" w:space="0" w:color="auto"/>
              <w:bottom w:val="nil"/>
            </w:tcBorders>
            <w:shd w:val="clear" w:color="auto" w:fill="auto"/>
            <w:noWrap/>
            <w:vAlign w:val="bottom"/>
            <w:hideMark/>
          </w:tcPr>
          <w:p w14:paraId="78A8C146"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91%</w:t>
            </w:r>
          </w:p>
        </w:tc>
      </w:tr>
      <w:tr w:rsidR="003B4553" w:rsidRPr="003D2D46" w14:paraId="47A6BFF4" w14:textId="77777777" w:rsidTr="000E409A">
        <w:trPr>
          <w:trHeight w:val="278"/>
          <w:jc w:val="center"/>
        </w:trPr>
        <w:tc>
          <w:tcPr>
            <w:tcW w:w="2595" w:type="dxa"/>
            <w:tcBorders>
              <w:top w:val="nil"/>
              <w:bottom w:val="nil"/>
            </w:tcBorders>
            <w:shd w:val="clear" w:color="auto" w:fill="auto"/>
            <w:noWrap/>
            <w:vAlign w:val="bottom"/>
            <w:hideMark/>
          </w:tcPr>
          <w:p w14:paraId="3DA313C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Black</w:t>
            </w:r>
          </w:p>
        </w:tc>
        <w:tc>
          <w:tcPr>
            <w:tcW w:w="2136" w:type="dxa"/>
            <w:tcBorders>
              <w:top w:val="nil"/>
              <w:bottom w:val="nil"/>
            </w:tcBorders>
            <w:shd w:val="clear" w:color="auto" w:fill="auto"/>
            <w:noWrap/>
            <w:vAlign w:val="bottom"/>
            <w:hideMark/>
          </w:tcPr>
          <w:p w14:paraId="343A9D06"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w:t>
            </w:r>
          </w:p>
        </w:tc>
      </w:tr>
      <w:tr w:rsidR="003B4553" w:rsidRPr="003D2D46" w14:paraId="65882829" w14:textId="77777777" w:rsidTr="000E409A">
        <w:trPr>
          <w:trHeight w:val="278"/>
          <w:jc w:val="center"/>
        </w:trPr>
        <w:tc>
          <w:tcPr>
            <w:tcW w:w="2595" w:type="dxa"/>
            <w:tcBorders>
              <w:top w:val="nil"/>
              <w:bottom w:val="nil"/>
            </w:tcBorders>
            <w:shd w:val="clear" w:color="auto" w:fill="auto"/>
            <w:noWrap/>
            <w:vAlign w:val="bottom"/>
            <w:hideMark/>
          </w:tcPr>
          <w:p w14:paraId="631EC623"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Hispanic</w:t>
            </w:r>
          </w:p>
        </w:tc>
        <w:tc>
          <w:tcPr>
            <w:tcW w:w="2136" w:type="dxa"/>
            <w:tcBorders>
              <w:top w:val="nil"/>
              <w:bottom w:val="nil"/>
            </w:tcBorders>
            <w:shd w:val="clear" w:color="auto" w:fill="auto"/>
            <w:noWrap/>
            <w:vAlign w:val="bottom"/>
            <w:hideMark/>
          </w:tcPr>
          <w:p w14:paraId="2EA40608"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w:t>
            </w:r>
          </w:p>
        </w:tc>
      </w:tr>
      <w:tr w:rsidR="003B4553" w:rsidRPr="003D2D46" w14:paraId="6D3AE70B" w14:textId="77777777" w:rsidTr="000E409A">
        <w:trPr>
          <w:trHeight w:val="278"/>
          <w:jc w:val="center"/>
        </w:trPr>
        <w:tc>
          <w:tcPr>
            <w:tcW w:w="2595" w:type="dxa"/>
            <w:tcBorders>
              <w:top w:val="nil"/>
              <w:bottom w:val="nil"/>
            </w:tcBorders>
            <w:shd w:val="clear" w:color="auto" w:fill="auto"/>
            <w:noWrap/>
            <w:vAlign w:val="bottom"/>
            <w:hideMark/>
          </w:tcPr>
          <w:p w14:paraId="3379A322"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Asian</w:t>
            </w:r>
          </w:p>
        </w:tc>
        <w:tc>
          <w:tcPr>
            <w:tcW w:w="2136" w:type="dxa"/>
            <w:tcBorders>
              <w:top w:val="nil"/>
              <w:bottom w:val="nil"/>
            </w:tcBorders>
            <w:shd w:val="clear" w:color="auto" w:fill="auto"/>
            <w:noWrap/>
            <w:vAlign w:val="bottom"/>
            <w:hideMark/>
          </w:tcPr>
          <w:p w14:paraId="5C741AF4"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w:t>
            </w:r>
          </w:p>
        </w:tc>
      </w:tr>
      <w:tr w:rsidR="003B4553" w:rsidRPr="003D2D46" w14:paraId="315FCB1C" w14:textId="77777777" w:rsidTr="000E409A">
        <w:trPr>
          <w:trHeight w:val="278"/>
          <w:jc w:val="center"/>
        </w:trPr>
        <w:tc>
          <w:tcPr>
            <w:tcW w:w="4731" w:type="dxa"/>
            <w:gridSpan w:val="2"/>
            <w:tcBorders>
              <w:top w:val="nil"/>
            </w:tcBorders>
            <w:shd w:val="clear" w:color="auto" w:fill="auto"/>
            <w:noWrap/>
            <w:vAlign w:val="bottom"/>
            <w:hideMark/>
          </w:tcPr>
          <w:p w14:paraId="07BE7A20" w14:textId="77777777" w:rsidR="00BD28A9" w:rsidRPr="003D2D46" w:rsidRDefault="00BD28A9">
            <w:pPr>
              <w:rPr>
                <w:rFonts w:ascii="Times New Roman" w:hAnsi="Times New Roman" w:cs="Times New Roman"/>
                <w:color w:val="000000" w:themeColor="text1"/>
              </w:rPr>
            </w:pPr>
            <w:r w:rsidRPr="003D2D46">
              <w:rPr>
                <w:rFonts w:ascii="Times New Roman" w:hAnsi="Times New Roman" w:cs="Times New Roman"/>
                <w:b/>
                <w:bCs/>
                <w:color w:val="000000" w:themeColor="text1"/>
              </w:rPr>
              <w:t>Education</w:t>
            </w:r>
          </w:p>
        </w:tc>
      </w:tr>
      <w:tr w:rsidR="003B4553" w:rsidRPr="003D2D46" w14:paraId="30FD90E3" w14:textId="77777777" w:rsidTr="000E409A">
        <w:trPr>
          <w:trHeight w:val="278"/>
          <w:jc w:val="center"/>
        </w:trPr>
        <w:tc>
          <w:tcPr>
            <w:tcW w:w="2595" w:type="dxa"/>
            <w:tcBorders>
              <w:top w:val="nil"/>
              <w:bottom w:val="nil"/>
            </w:tcBorders>
            <w:shd w:val="clear" w:color="auto" w:fill="auto"/>
            <w:noWrap/>
            <w:vAlign w:val="bottom"/>
            <w:hideMark/>
          </w:tcPr>
          <w:p w14:paraId="42FFAE7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High School or Higher</w:t>
            </w:r>
          </w:p>
        </w:tc>
        <w:tc>
          <w:tcPr>
            <w:tcW w:w="2136" w:type="dxa"/>
            <w:tcBorders>
              <w:top w:val="nil"/>
              <w:bottom w:val="nil"/>
            </w:tcBorders>
            <w:shd w:val="clear" w:color="auto" w:fill="auto"/>
            <w:noWrap/>
            <w:vAlign w:val="bottom"/>
            <w:hideMark/>
          </w:tcPr>
          <w:p w14:paraId="65D4D508"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w:t>
            </w:r>
          </w:p>
        </w:tc>
      </w:tr>
      <w:tr w:rsidR="003B4553" w:rsidRPr="003D2D46" w14:paraId="3C19876E" w14:textId="77777777" w:rsidTr="000E409A">
        <w:trPr>
          <w:trHeight w:val="278"/>
          <w:jc w:val="center"/>
        </w:trPr>
        <w:tc>
          <w:tcPr>
            <w:tcW w:w="2595" w:type="dxa"/>
            <w:tcBorders>
              <w:top w:val="nil"/>
              <w:bottom w:val="nil"/>
            </w:tcBorders>
            <w:shd w:val="clear" w:color="auto" w:fill="auto"/>
            <w:noWrap/>
            <w:vAlign w:val="bottom"/>
            <w:hideMark/>
          </w:tcPr>
          <w:p w14:paraId="0AAC2D69"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College or Higher</w:t>
            </w:r>
          </w:p>
        </w:tc>
        <w:tc>
          <w:tcPr>
            <w:tcW w:w="2136" w:type="dxa"/>
            <w:tcBorders>
              <w:top w:val="nil"/>
              <w:bottom w:val="nil"/>
            </w:tcBorders>
            <w:shd w:val="clear" w:color="auto" w:fill="auto"/>
            <w:noWrap/>
            <w:vAlign w:val="bottom"/>
            <w:hideMark/>
          </w:tcPr>
          <w:p w14:paraId="0A56B990"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82%</w:t>
            </w:r>
          </w:p>
        </w:tc>
      </w:tr>
      <w:tr w:rsidR="003B4553" w:rsidRPr="003D2D46" w14:paraId="12FCF857" w14:textId="77777777" w:rsidTr="000E409A">
        <w:trPr>
          <w:trHeight w:val="278"/>
          <w:jc w:val="center"/>
        </w:trPr>
        <w:tc>
          <w:tcPr>
            <w:tcW w:w="2595" w:type="dxa"/>
            <w:tcBorders>
              <w:top w:val="nil"/>
              <w:bottom w:val="nil"/>
            </w:tcBorders>
            <w:shd w:val="clear" w:color="auto" w:fill="auto"/>
            <w:noWrap/>
            <w:vAlign w:val="bottom"/>
            <w:hideMark/>
          </w:tcPr>
          <w:p w14:paraId="3A6D50B1"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Graduate School/Professional</w:t>
            </w:r>
          </w:p>
        </w:tc>
        <w:tc>
          <w:tcPr>
            <w:tcW w:w="2136" w:type="dxa"/>
            <w:tcBorders>
              <w:top w:val="nil"/>
              <w:bottom w:val="nil"/>
            </w:tcBorders>
            <w:shd w:val="clear" w:color="auto" w:fill="auto"/>
            <w:noWrap/>
            <w:vAlign w:val="bottom"/>
            <w:hideMark/>
          </w:tcPr>
          <w:p w14:paraId="0EBD65F4"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64%</w:t>
            </w:r>
          </w:p>
        </w:tc>
      </w:tr>
      <w:tr w:rsidR="003B4553" w:rsidRPr="003D2D46" w14:paraId="7C9DF0B9" w14:textId="77777777" w:rsidTr="000E409A">
        <w:trPr>
          <w:trHeight w:val="278"/>
          <w:jc w:val="center"/>
        </w:trPr>
        <w:tc>
          <w:tcPr>
            <w:tcW w:w="4731" w:type="dxa"/>
            <w:gridSpan w:val="2"/>
            <w:shd w:val="clear" w:color="auto" w:fill="auto"/>
            <w:noWrap/>
            <w:vAlign w:val="bottom"/>
            <w:hideMark/>
          </w:tcPr>
          <w:p w14:paraId="0DCFEC03" w14:textId="77777777" w:rsidR="00BD28A9" w:rsidRPr="003D2D46" w:rsidRDefault="00BD28A9">
            <w:pPr>
              <w:rPr>
                <w:rFonts w:ascii="Times New Roman" w:hAnsi="Times New Roman" w:cs="Times New Roman"/>
                <w:color w:val="000000" w:themeColor="text1"/>
              </w:rPr>
            </w:pPr>
            <w:r w:rsidRPr="003D2D46">
              <w:rPr>
                <w:rFonts w:ascii="Times New Roman" w:hAnsi="Times New Roman" w:cs="Times New Roman"/>
                <w:b/>
                <w:bCs/>
                <w:color w:val="000000" w:themeColor="text1"/>
              </w:rPr>
              <w:t>Annual Household Income</w:t>
            </w:r>
          </w:p>
        </w:tc>
      </w:tr>
      <w:tr w:rsidR="003B4553" w:rsidRPr="003D2D46" w14:paraId="172106A1" w14:textId="77777777" w:rsidTr="000E409A">
        <w:trPr>
          <w:trHeight w:val="278"/>
          <w:jc w:val="center"/>
        </w:trPr>
        <w:tc>
          <w:tcPr>
            <w:tcW w:w="2595" w:type="dxa"/>
            <w:tcBorders>
              <w:bottom w:val="nil"/>
            </w:tcBorders>
            <w:shd w:val="clear" w:color="auto" w:fill="auto"/>
            <w:noWrap/>
            <w:vAlign w:val="bottom"/>
            <w:hideMark/>
          </w:tcPr>
          <w:p w14:paraId="5228EDE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&lt;10,000</w:t>
            </w:r>
          </w:p>
        </w:tc>
        <w:tc>
          <w:tcPr>
            <w:tcW w:w="2136" w:type="dxa"/>
            <w:tcBorders>
              <w:bottom w:val="nil"/>
            </w:tcBorders>
            <w:shd w:val="clear" w:color="auto" w:fill="auto"/>
            <w:noWrap/>
            <w:vAlign w:val="bottom"/>
            <w:hideMark/>
          </w:tcPr>
          <w:p w14:paraId="073BAB23"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w:t>
            </w:r>
          </w:p>
        </w:tc>
      </w:tr>
      <w:tr w:rsidR="003B4553" w:rsidRPr="003D2D46" w14:paraId="459BACF8" w14:textId="77777777" w:rsidTr="000E409A">
        <w:trPr>
          <w:trHeight w:val="278"/>
          <w:jc w:val="center"/>
        </w:trPr>
        <w:tc>
          <w:tcPr>
            <w:tcW w:w="2595" w:type="dxa"/>
            <w:tcBorders>
              <w:top w:val="nil"/>
              <w:bottom w:val="nil"/>
            </w:tcBorders>
            <w:shd w:val="clear" w:color="auto" w:fill="auto"/>
            <w:noWrap/>
            <w:vAlign w:val="bottom"/>
            <w:hideMark/>
          </w:tcPr>
          <w:p w14:paraId="690808B5"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10,001-25,000</w:t>
            </w:r>
          </w:p>
        </w:tc>
        <w:tc>
          <w:tcPr>
            <w:tcW w:w="2136" w:type="dxa"/>
            <w:tcBorders>
              <w:top w:val="nil"/>
              <w:bottom w:val="nil"/>
            </w:tcBorders>
            <w:shd w:val="clear" w:color="auto" w:fill="auto"/>
            <w:noWrap/>
            <w:vAlign w:val="bottom"/>
            <w:hideMark/>
          </w:tcPr>
          <w:p w14:paraId="7442E6C3"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18%</w:t>
            </w:r>
          </w:p>
        </w:tc>
      </w:tr>
      <w:tr w:rsidR="003B4553" w:rsidRPr="003D2D46" w14:paraId="6A531A24" w14:textId="77777777" w:rsidTr="000E409A">
        <w:trPr>
          <w:trHeight w:val="278"/>
          <w:jc w:val="center"/>
        </w:trPr>
        <w:tc>
          <w:tcPr>
            <w:tcW w:w="2595" w:type="dxa"/>
            <w:tcBorders>
              <w:top w:val="nil"/>
              <w:bottom w:val="nil"/>
            </w:tcBorders>
            <w:shd w:val="clear" w:color="auto" w:fill="auto"/>
            <w:noWrap/>
            <w:vAlign w:val="bottom"/>
            <w:hideMark/>
          </w:tcPr>
          <w:p w14:paraId="00476FC1"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25,001-40,000</w:t>
            </w:r>
          </w:p>
        </w:tc>
        <w:tc>
          <w:tcPr>
            <w:tcW w:w="2136" w:type="dxa"/>
            <w:tcBorders>
              <w:top w:val="nil"/>
              <w:bottom w:val="nil"/>
            </w:tcBorders>
            <w:shd w:val="clear" w:color="auto" w:fill="auto"/>
            <w:noWrap/>
            <w:vAlign w:val="bottom"/>
            <w:hideMark/>
          </w:tcPr>
          <w:p w14:paraId="4F96E16E"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w:t>
            </w:r>
          </w:p>
        </w:tc>
      </w:tr>
      <w:tr w:rsidR="003B4553" w:rsidRPr="003D2D46" w14:paraId="6379E07B" w14:textId="77777777" w:rsidTr="000E409A">
        <w:trPr>
          <w:trHeight w:val="278"/>
          <w:jc w:val="center"/>
        </w:trPr>
        <w:tc>
          <w:tcPr>
            <w:tcW w:w="2595" w:type="dxa"/>
            <w:tcBorders>
              <w:top w:val="nil"/>
              <w:bottom w:val="nil"/>
            </w:tcBorders>
            <w:shd w:val="clear" w:color="auto" w:fill="auto"/>
            <w:noWrap/>
            <w:vAlign w:val="bottom"/>
            <w:hideMark/>
          </w:tcPr>
          <w:p w14:paraId="111ED5DC"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40,001-60,000</w:t>
            </w:r>
          </w:p>
        </w:tc>
        <w:tc>
          <w:tcPr>
            <w:tcW w:w="2136" w:type="dxa"/>
            <w:tcBorders>
              <w:top w:val="nil"/>
              <w:bottom w:val="nil"/>
            </w:tcBorders>
            <w:shd w:val="clear" w:color="auto" w:fill="auto"/>
            <w:noWrap/>
            <w:vAlign w:val="bottom"/>
            <w:hideMark/>
          </w:tcPr>
          <w:p w14:paraId="66FF1949"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27%</w:t>
            </w:r>
          </w:p>
        </w:tc>
      </w:tr>
      <w:tr w:rsidR="003B4553" w:rsidRPr="003D2D46" w14:paraId="185B2B71" w14:textId="77777777" w:rsidTr="000E409A">
        <w:trPr>
          <w:trHeight w:val="278"/>
          <w:jc w:val="center"/>
        </w:trPr>
        <w:tc>
          <w:tcPr>
            <w:tcW w:w="2595" w:type="dxa"/>
            <w:tcBorders>
              <w:top w:val="nil"/>
              <w:bottom w:val="nil"/>
            </w:tcBorders>
            <w:shd w:val="clear" w:color="auto" w:fill="auto"/>
            <w:noWrap/>
            <w:vAlign w:val="bottom"/>
            <w:hideMark/>
          </w:tcPr>
          <w:p w14:paraId="55A5BC2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60,001-75,000</w:t>
            </w:r>
          </w:p>
        </w:tc>
        <w:tc>
          <w:tcPr>
            <w:tcW w:w="2136" w:type="dxa"/>
            <w:tcBorders>
              <w:top w:val="nil"/>
              <w:bottom w:val="nil"/>
            </w:tcBorders>
            <w:shd w:val="clear" w:color="auto" w:fill="auto"/>
            <w:noWrap/>
            <w:vAlign w:val="bottom"/>
            <w:hideMark/>
          </w:tcPr>
          <w:p w14:paraId="52300C78"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27%</w:t>
            </w:r>
          </w:p>
        </w:tc>
      </w:tr>
      <w:tr w:rsidR="003B4553" w:rsidRPr="003D2D46" w14:paraId="7937DA9E" w14:textId="77777777" w:rsidTr="000E409A">
        <w:trPr>
          <w:trHeight w:val="278"/>
          <w:jc w:val="center"/>
        </w:trPr>
        <w:tc>
          <w:tcPr>
            <w:tcW w:w="2595" w:type="dxa"/>
            <w:tcBorders>
              <w:top w:val="nil"/>
              <w:bottom w:val="nil"/>
            </w:tcBorders>
            <w:shd w:val="clear" w:color="auto" w:fill="auto"/>
            <w:noWrap/>
            <w:vAlign w:val="bottom"/>
            <w:hideMark/>
          </w:tcPr>
          <w:p w14:paraId="7C9E4B57" w14:textId="77777777" w:rsidR="00BD28A9" w:rsidRPr="003D2D46" w:rsidRDefault="00BD28A9" w:rsidP="00EE2A89">
            <w:pPr>
              <w:jc w:val="right"/>
              <w:rPr>
                <w:rFonts w:ascii="Times New Roman" w:hAnsi="Times New Roman" w:cs="Times New Roman"/>
                <w:color w:val="000000" w:themeColor="text1"/>
              </w:rPr>
            </w:pPr>
            <w:r w:rsidRPr="003D2D46">
              <w:rPr>
                <w:rFonts w:ascii="Times New Roman" w:hAnsi="Times New Roman" w:cs="Times New Roman"/>
                <w:color w:val="000000" w:themeColor="text1"/>
              </w:rPr>
              <w:t>&gt;75,000</w:t>
            </w:r>
          </w:p>
        </w:tc>
        <w:tc>
          <w:tcPr>
            <w:tcW w:w="2136" w:type="dxa"/>
            <w:tcBorders>
              <w:top w:val="nil"/>
              <w:bottom w:val="nil"/>
            </w:tcBorders>
            <w:shd w:val="clear" w:color="auto" w:fill="auto"/>
            <w:noWrap/>
            <w:vAlign w:val="bottom"/>
            <w:hideMark/>
          </w:tcPr>
          <w:p w14:paraId="5FBD38C6"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w:t>
            </w:r>
          </w:p>
        </w:tc>
      </w:tr>
      <w:tr w:rsidR="003B4553" w:rsidRPr="003D2D46" w14:paraId="78D9BE23" w14:textId="77777777" w:rsidTr="000E409A">
        <w:trPr>
          <w:trHeight w:val="278"/>
          <w:jc w:val="center"/>
        </w:trPr>
        <w:tc>
          <w:tcPr>
            <w:tcW w:w="4731" w:type="dxa"/>
            <w:gridSpan w:val="2"/>
            <w:tcBorders>
              <w:top w:val="nil"/>
            </w:tcBorders>
            <w:shd w:val="clear" w:color="auto" w:fill="auto"/>
            <w:noWrap/>
            <w:vAlign w:val="bottom"/>
            <w:hideMark/>
          </w:tcPr>
          <w:p w14:paraId="6ECAE5AB" w14:textId="77777777" w:rsidR="00BD28A9" w:rsidRPr="003D2D46" w:rsidRDefault="00BD28A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Health Insurance</w:t>
            </w:r>
          </w:p>
        </w:tc>
      </w:tr>
      <w:tr w:rsidR="003B4553" w:rsidRPr="003D2D46" w14:paraId="6B594012" w14:textId="77777777" w:rsidTr="000E409A">
        <w:trPr>
          <w:trHeight w:val="278"/>
          <w:jc w:val="center"/>
        </w:trPr>
        <w:tc>
          <w:tcPr>
            <w:tcW w:w="2595" w:type="dxa"/>
            <w:tcBorders>
              <w:bottom w:val="nil"/>
            </w:tcBorders>
            <w:shd w:val="clear" w:color="auto" w:fill="auto"/>
            <w:noWrap/>
            <w:vAlign w:val="bottom"/>
            <w:hideMark/>
          </w:tcPr>
          <w:p w14:paraId="54605001" w14:textId="77777777" w:rsidR="00BD28A9" w:rsidRPr="003D2D46" w:rsidRDefault="00BD28A9"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Yes</w:t>
            </w:r>
          </w:p>
        </w:tc>
        <w:tc>
          <w:tcPr>
            <w:tcW w:w="2136" w:type="dxa"/>
            <w:tcBorders>
              <w:bottom w:val="nil"/>
            </w:tcBorders>
            <w:shd w:val="clear" w:color="auto" w:fill="auto"/>
            <w:noWrap/>
            <w:vAlign w:val="bottom"/>
            <w:hideMark/>
          </w:tcPr>
          <w:p w14:paraId="0DEA29FB"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81%</w:t>
            </w:r>
          </w:p>
        </w:tc>
      </w:tr>
      <w:tr w:rsidR="003B4553" w:rsidRPr="003D2D46" w14:paraId="1194BBF6" w14:textId="77777777" w:rsidTr="000E409A">
        <w:trPr>
          <w:trHeight w:val="278"/>
          <w:jc w:val="center"/>
        </w:trPr>
        <w:tc>
          <w:tcPr>
            <w:tcW w:w="2595" w:type="dxa"/>
            <w:tcBorders>
              <w:top w:val="nil"/>
              <w:bottom w:val="nil"/>
            </w:tcBorders>
            <w:shd w:val="clear" w:color="auto" w:fill="auto"/>
            <w:noWrap/>
            <w:vAlign w:val="bottom"/>
            <w:hideMark/>
          </w:tcPr>
          <w:p w14:paraId="59FBF417" w14:textId="77777777" w:rsidR="00BD28A9" w:rsidRPr="003D2D46" w:rsidRDefault="00BD28A9" w:rsidP="00EE2A89">
            <w:pPr>
              <w:jc w:val="right"/>
              <w:rPr>
                <w:rFonts w:ascii="Times New Roman" w:hAnsi="Times New Roman" w:cs="Times New Roman"/>
                <w:i/>
                <w:iCs/>
                <w:color w:val="000000" w:themeColor="text1"/>
              </w:rPr>
            </w:pPr>
            <w:r w:rsidRPr="003D2D46">
              <w:rPr>
                <w:rFonts w:ascii="Times New Roman" w:hAnsi="Times New Roman" w:cs="Times New Roman"/>
                <w:i/>
                <w:iCs/>
                <w:color w:val="000000" w:themeColor="text1"/>
              </w:rPr>
              <w:t>Private</w:t>
            </w:r>
          </w:p>
        </w:tc>
        <w:tc>
          <w:tcPr>
            <w:tcW w:w="2136" w:type="dxa"/>
            <w:tcBorders>
              <w:top w:val="nil"/>
              <w:bottom w:val="nil"/>
            </w:tcBorders>
            <w:shd w:val="clear" w:color="auto" w:fill="auto"/>
            <w:noWrap/>
            <w:vAlign w:val="bottom"/>
            <w:hideMark/>
          </w:tcPr>
          <w:p w14:paraId="31CFF272"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45%</w:t>
            </w:r>
          </w:p>
        </w:tc>
      </w:tr>
      <w:tr w:rsidR="003B4553" w:rsidRPr="003D2D46" w14:paraId="0AD4C297" w14:textId="77777777" w:rsidTr="000E409A">
        <w:trPr>
          <w:trHeight w:val="278"/>
          <w:jc w:val="center"/>
        </w:trPr>
        <w:tc>
          <w:tcPr>
            <w:tcW w:w="2595" w:type="dxa"/>
            <w:tcBorders>
              <w:top w:val="nil"/>
              <w:bottom w:val="nil"/>
            </w:tcBorders>
            <w:shd w:val="clear" w:color="auto" w:fill="auto"/>
            <w:noWrap/>
            <w:vAlign w:val="bottom"/>
            <w:hideMark/>
          </w:tcPr>
          <w:p w14:paraId="11FB76DB" w14:textId="0AEFCFCF" w:rsidR="00BD28A9" w:rsidRPr="003D2D46" w:rsidRDefault="00BD28A9" w:rsidP="00EE2A89">
            <w:pPr>
              <w:jc w:val="center"/>
              <w:rPr>
                <w:rFonts w:ascii="Times New Roman" w:hAnsi="Times New Roman" w:cs="Times New Roman"/>
                <w:i/>
                <w:iCs/>
                <w:color w:val="000000" w:themeColor="text1"/>
              </w:rPr>
            </w:pPr>
            <w:r w:rsidRPr="003D2D46">
              <w:rPr>
                <w:rFonts w:ascii="Times New Roman" w:hAnsi="Times New Roman" w:cs="Times New Roman"/>
                <w:i/>
                <w:iCs/>
                <w:color w:val="000000" w:themeColor="text1"/>
              </w:rPr>
              <w:t xml:space="preserve">                      </w:t>
            </w:r>
            <w:r w:rsidR="000D7D56" w:rsidRPr="003D2D46">
              <w:rPr>
                <w:rFonts w:ascii="Times New Roman" w:hAnsi="Times New Roman" w:cs="Times New Roman"/>
                <w:i/>
                <w:iCs/>
                <w:color w:val="000000" w:themeColor="text1"/>
              </w:rPr>
              <w:t xml:space="preserve">       </w:t>
            </w:r>
            <w:r w:rsidRPr="003D2D46">
              <w:rPr>
                <w:rFonts w:ascii="Times New Roman" w:hAnsi="Times New Roman" w:cs="Times New Roman"/>
                <w:i/>
                <w:iCs/>
                <w:color w:val="000000" w:themeColor="text1"/>
              </w:rPr>
              <w:t>Public</w:t>
            </w:r>
          </w:p>
        </w:tc>
        <w:tc>
          <w:tcPr>
            <w:tcW w:w="2136" w:type="dxa"/>
            <w:tcBorders>
              <w:top w:val="nil"/>
              <w:bottom w:val="nil"/>
            </w:tcBorders>
            <w:shd w:val="clear" w:color="auto" w:fill="auto"/>
            <w:noWrap/>
            <w:vAlign w:val="bottom"/>
            <w:hideMark/>
          </w:tcPr>
          <w:p w14:paraId="770B62A8"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36%</w:t>
            </w:r>
          </w:p>
        </w:tc>
      </w:tr>
      <w:tr w:rsidR="003B4553" w:rsidRPr="003D2D46" w14:paraId="703AFD17" w14:textId="77777777" w:rsidTr="000E409A">
        <w:trPr>
          <w:trHeight w:val="278"/>
          <w:jc w:val="center"/>
        </w:trPr>
        <w:tc>
          <w:tcPr>
            <w:tcW w:w="2595" w:type="dxa"/>
            <w:tcBorders>
              <w:top w:val="nil"/>
              <w:bottom w:val="nil"/>
            </w:tcBorders>
            <w:shd w:val="clear" w:color="auto" w:fill="auto"/>
            <w:noWrap/>
            <w:vAlign w:val="bottom"/>
            <w:hideMark/>
          </w:tcPr>
          <w:p w14:paraId="1F39E290" w14:textId="77777777" w:rsidR="00BD28A9" w:rsidRPr="003D2D46" w:rsidRDefault="00BD28A9"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No</w:t>
            </w:r>
          </w:p>
        </w:tc>
        <w:tc>
          <w:tcPr>
            <w:tcW w:w="2136" w:type="dxa"/>
            <w:tcBorders>
              <w:top w:val="nil"/>
              <w:bottom w:val="nil"/>
            </w:tcBorders>
            <w:shd w:val="clear" w:color="auto" w:fill="auto"/>
            <w:noWrap/>
            <w:vAlign w:val="bottom"/>
            <w:hideMark/>
          </w:tcPr>
          <w:p w14:paraId="0AB581A3"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w:t>
            </w:r>
          </w:p>
        </w:tc>
      </w:tr>
      <w:tr w:rsidR="003B4553" w:rsidRPr="003D2D46" w14:paraId="680CB62D" w14:textId="77777777" w:rsidTr="000E409A">
        <w:trPr>
          <w:trHeight w:val="278"/>
          <w:jc w:val="center"/>
        </w:trPr>
        <w:tc>
          <w:tcPr>
            <w:tcW w:w="2595" w:type="dxa"/>
            <w:tcBorders>
              <w:top w:val="nil"/>
              <w:bottom w:val="single" w:sz="4" w:space="0" w:color="auto"/>
            </w:tcBorders>
            <w:shd w:val="clear" w:color="auto" w:fill="auto"/>
            <w:noWrap/>
            <w:vAlign w:val="bottom"/>
            <w:hideMark/>
          </w:tcPr>
          <w:p w14:paraId="220C4202" w14:textId="77777777" w:rsidR="00BD28A9" w:rsidRPr="003D2D46" w:rsidRDefault="00BD28A9"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Vaccinated?</w:t>
            </w:r>
          </w:p>
        </w:tc>
        <w:tc>
          <w:tcPr>
            <w:tcW w:w="2136" w:type="dxa"/>
            <w:tcBorders>
              <w:top w:val="nil"/>
              <w:bottom w:val="single" w:sz="4" w:space="0" w:color="auto"/>
            </w:tcBorders>
            <w:shd w:val="clear" w:color="auto" w:fill="auto"/>
            <w:noWrap/>
            <w:vAlign w:val="bottom"/>
            <w:hideMark/>
          </w:tcPr>
          <w:p w14:paraId="4B4D1ADF"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w:t>
            </w:r>
          </w:p>
        </w:tc>
      </w:tr>
      <w:tr w:rsidR="003B4553" w:rsidRPr="003D2D46" w14:paraId="1D464C09" w14:textId="77777777" w:rsidTr="000E409A">
        <w:trPr>
          <w:trHeight w:val="289"/>
          <w:jc w:val="center"/>
        </w:trPr>
        <w:tc>
          <w:tcPr>
            <w:tcW w:w="2595" w:type="dxa"/>
            <w:tcBorders>
              <w:top w:val="single" w:sz="4" w:space="0" w:color="auto"/>
              <w:bottom w:val="single" w:sz="4" w:space="0" w:color="auto"/>
            </w:tcBorders>
            <w:shd w:val="clear" w:color="auto" w:fill="auto"/>
            <w:noWrap/>
            <w:vAlign w:val="bottom"/>
            <w:hideMark/>
          </w:tcPr>
          <w:p w14:paraId="4AB5BC08" w14:textId="77777777" w:rsidR="00BD28A9" w:rsidRPr="003D2D46" w:rsidRDefault="00BD28A9"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Tetanus</w:t>
            </w:r>
          </w:p>
        </w:tc>
        <w:tc>
          <w:tcPr>
            <w:tcW w:w="2136" w:type="dxa"/>
            <w:tcBorders>
              <w:top w:val="single" w:sz="4" w:space="0" w:color="auto"/>
              <w:bottom w:val="single" w:sz="4" w:space="0" w:color="auto"/>
            </w:tcBorders>
            <w:shd w:val="clear" w:color="auto" w:fill="auto"/>
            <w:vAlign w:val="bottom"/>
          </w:tcPr>
          <w:p w14:paraId="38FB5706" w14:textId="77777777" w:rsidR="00BD28A9" w:rsidRPr="003D2D46" w:rsidRDefault="00BD28A9" w:rsidP="004F0890">
            <w:pPr>
              <w:jc w:val="center"/>
              <w:rPr>
                <w:rFonts w:ascii="Times New Roman" w:hAnsi="Times New Roman" w:cs="Times New Roman"/>
                <w:b/>
                <w:bCs/>
                <w:color w:val="000000" w:themeColor="text1"/>
              </w:rPr>
            </w:pPr>
          </w:p>
        </w:tc>
      </w:tr>
      <w:tr w:rsidR="003B4553" w:rsidRPr="003D2D46" w14:paraId="0D294226" w14:textId="77777777" w:rsidTr="000E409A">
        <w:trPr>
          <w:trHeight w:val="278"/>
          <w:jc w:val="center"/>
        </w:trPr>
        <w:tc>
          <w:tcPr>
            <w:tcW w:w="2595" w:type="dxa"/>
            <w:tcBorders>
              <w:top w:val="single" w:sz="4" w:space="0" w:color="auto"/>
              <w:bottom w:val="nil"/>
            </w:tcBorders>
            <w:shd w:val="clear" w:color="auto" w:fill="auto"/>
            <w:noWrap/>
            <w:vAlign w:val="bottom"/>
            <w:hideMark/>
          </w:tcPr>
          <w:p w14:paraId="2CDFBA5B" w14:textId="77777777" w:rsidR="00BD28A9" w:rsidRPr="003D2D46" w:rsidRDefault="00BD28A9" w:rsidP="00EE2A89">
            <w:pPr>
              <w:jc w:val="right"/>
              <w:rPr>
                <w:rFonts w:ascii="Times New Roman" w:hAnsi="Times New Roman" w:cs="Times New Roman"/>
                <w:i/>
                <w:iCs/>
                <w:color w:val="000000" w:themeColor="text1"/>
              </w:rPr>
            </w:pPr>
            <w:r w:rsidRPr="003D2D46">
              <w:rPr>
                <w:rFonts w:ascii="Times New Roman" w:hAnsi="Times New Roman" w:cs="Times New Roman"/>
                <w:i/>
                <w:iCs/>
                <w:color w:val="000000" w:themeColor="text1"/>
              </w:rPr>
              <w:t>Yes</w:t>
            </w:r>
          </w:p>
        </w:tc>
        <w:tc>
          <w:tcPr>
            <w:tcW w:w="2136" w:type="dxa"/>
            <w:tcBorders>
              <w:top w:val="single" w:sz="4" w:space="0" w:color="auto"/>
              <w:bottom w:val="nil"/>
            </w:tcBorders>
            <w:shd w:val="clear" w:color="auto" w:fill="auto"/>
            <w:noWrap/>
            <w:vAlign w:val="bottom"/>
            <w:hideMark/>
          </w:tcPr>
          <w:p w14:paraId="1DFCFAAB"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82%</w:t>
            </w:r>
          </w:p>
        </w:tc>
      </w:tr>
      <w:tr w:rsidR="003B4553" w:rsidRPr="003D2D46" w14:paraId="4F08DCD8" w14:textId="77777777" w:rsidTr="000E409A">
        <w:trPr>
          <w:trHeight w:val="278"/>
          <w:jc w:val="center"/>
        </w:trPr>
        <w:tc>
          <w:tcPr>
            <w:tcW w:w="2595" w:type="dxa"/>
            <w:tcBorders>
              <w:top w:val="nil"/>
              <w:bottom w:val="nil"/>
            </w:tcBorders>
            <w:shd w:val="clear" w:color="auto" w:fill="auto"/>
            <w:noWrap/>
            <w:vAlign w:val="bottom"/>
            <w:hideMark/>
          </w:tcPr>
          <w:p w14:paraId="02DB5EFC" w14:textId="77777777" w:rsidR="00BD28A9" w:rsidRPr="003D2D46" w:rsidRDefault="00BD28A9" w:rsidP="00EE2A89">
            <w:pPr>
              <w:jc w:val="right"/>
              <w:rPr>
                <w:rFonts w:ascii="Times New Roman" w:hAnsi="Times New Roman" w:cs="Times New Roman"/>
                <w:i/>
                <w:iCs/>
                <w:color w:val="000000" w:themeColor="text1"/>
              </w:rPr>
            </w:pPr>
            <w:r w:rsidRPr="003D2D46">
              <w:rPr>
                <w:rFonts w:ascii="Times New Roman" w:hAnsi="Times New Roman" w:cs="Times New Roman"/>
                <w:i/>
                <w:iCs/>
                <w:color w:val="000000" w:themeColor="text1"/>
              </w:rPr>
              <w:t>Unsure</w:t>
            </w:r>
          </w:p>
        </w:tc>
        <w:tc>
          <w:tcPr>
            <w:tcW w:w="2136" w:type="dxa"/>
            <w:tcBorders>
              <w:top w:val="nil"/>
              <w:bottom w:val="nil"/>
            </w:tcBorders>
            <w:shd w:val="clear" w:color="auto" w:fill="auto"/>
            <w:noWrap/>
            <w:vAlign w:val="bottom"/>
            <w:hideMark/>
          </w:tcPr>
          <w:p w14:paraId="34D79F59"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18%</w:t>
            </w:r>
          </w:p>
        </w:tc>
      </w:tr>
      <w:tr w:rsidR="003B4553" w:rsidRPr="003D2D46" w14:paraId="4433FB78" w14:textId="77777777" w:rsidTr="000E409A">
        <w:trPr>
          <w:trHeight w:val="98"/>
          <w:jc w:val="center"/>
        </w:trPr>
        <w:tc>
          <w:tcPr>
            <w:tcW w:w="2595" w:type="dxa"/>
            <w:tcBorders>
              <w:top w:val="nil"/>
              <w:bottom w:val="single" w:sz="4" w:space="0" w:color="auto"/>
            </w:tcBorders>
            <w:shd w:val="clear" w:color="auto" w:fill="auto"/>
            <w:noWrap/>
            <w:vAlign w:val="bottom"/>
            <w:hideMark/>
          </w:tcPr>
          <w:p w14:paraId="220D2E33" w14:textId="77777777" w:rsidR="00BD28A9" w:rsidRPr="003D2D46" w:rsidRDefault="00BD28A9"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Tdap</w:t>
            </w:r>
          </w:p>
        </w:tc>
        <w:tc>
          <w:tcPr>
            <w:tcW w:w="2136" w:type="dxa"/>
            <w:tcBorders>
              <w:top w:val="nil"/>
              <w:bottom w:val="single" w:sz="4" w:space="0" w:color="auto"/>
            </w:tcBorders>
            <w:shd w:val="clear" w:color="auto" w:fill="auto"/>
            <w:vAlign w:val="bottom"/>
          </w:tcPr>
          <w:p w14:paraId="6EB22B4C" w14:textId="77777777" w:rsidR="00BD28A9" w:rsidRPr="003D2D46" w:rsidRDefault="00BD28A9" w:rsidP="004F0890">
            <w:pPr>
              <w:jc w:val="center"/>
              <w:rPr>
                <w:rFonts w:ascii="Times New Roman" w:hAnsi="Times New Roman" w:cs="Times New Roman"/>
                <w:color w:val="000000" w:themeColor="text1"/>
              </w:rPr>
            </w:pPr>
          </w:p>
        </w:tc>
      </w:tr>
      <w:tr w:rsidR="003B4553" w:rsidRPr="003D2D46" w14:paraId="09E37FB0" w14:textId="77777777" w:rsidTr="000E409A">
        <w:trPr>
          <w:trHeight w:val="278"/>
          <w:jc w:val="center"/>
        </w:trPr>
        <w:tc>
          <w:tcPr>
            <w:tcW w:w="2595" w:type="dxa"/>
            <w:tcBorders>
              <w:top w:val="single" w:sz="4" w:space="0" w:color="auto"/>
              <w:bottom w:val="nil"/>
            </w:tcBorders>
            <w:shd w:val="clear" w:color="auto" w:fill="auto"/>
            <w:noWrap/>
            <w:vAlign w:val="bottom"/>
            <w:hideMark/>
          </w:tcPr>
          <w:p w14:paraId="194303FC" w14:textId="77777777" w:rsidR="00BD28A9" w:rsidRPr="003D2D46" w:rsidRDefault="00BD28A9" w:rsidP="00EE2A89">
            <w:pPr>
              <w:jc w:val="right"/>
              <w:rPr>
                <w:rFonts w:ascii="Times New Roman" w:hAnsi="Times New Roman" w:cs="Times New Roman"/>
                <w:i/>
                <w:iCs/>
                <w:color w:val="000000" w:themeColor="text1"/>
              </w:rPr>
            </w:pPr>
            <w:r w:rsidRPr="003D2D46">
              <w:rPr>
                <w:rFonts w:ascii="Times New Roman" w:hAnsi="Times New Roman" w:cs="Times New Roman"/>
                <w:i/>
                <w:iCs/>
                <w:color w:val="000000" w:themeColor="text1"/>
              </w:rPr>
              <w:t>Yes</w:t>
            </w:r>
          </w:p>
        </w:tc>
        <w:tc>
          <w:tcPr>
            <w:tcW w:w="2136" w:type="dxa"/>
            <w:tcBorders>
              <w:top w:val="single" w:sz="4" w:space="0" w:color="auto"/>
              <w:bottom w:val="nil"/>
            </w:tcBorders>
            <w:shd w:val="clear" w:color="auto" w:fill="auto"/>
            <w:noWrap/>
            <w:vAlign w:val="bottom"/>
            <w:hideMark/>
          </w:tcPr>
          <w:p w14:paraId="3AFCA8C6"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27%</w:t>
            </w:r>
          </w:p>
        </w:tc>
      </w:tr>
      <w:tr w:rsidR="003B4553" w:rsidRPr="003D2D46" w14:paraId="77B50266" w14:textId="77777777" w:rsidTr="000E409A">
        <w:trPr>
          <w:trHeight w:val="278"/>
          <w:jc w:val="center"/>
        </w:trPr>
        <w:tc>
          <w:tcPr>
            <w:tcW w:w="2595" w:type="dxa"/>
            <w:tcBorders>
              <w:top w:val="nil"/>
              <w:bottom w:val="nil"/>
            </w:tcBorders>
            <w:shd w:val="clear" w:color="auto" w:fill="auto"/>
            <w:noWrap/>
            <w:vAlign w:val="bottom"/>
            <w:hideMark/>
          </w:tcPr>
          <w:p w14:paraId="77A6288C" w14:textId="77777777" w:rsidR="00BD28A9" w:rsidRPr="003D2D46" w:rsidRDefault="00BD28A9" w:rsidP="00EE2A89">
            <w:pPr>
              <w:jc w:val="right"/>
              <w:rPr>
                <w:rFonts w:ascii="Times New Roman" w:hAnsi="Times New Roman" w:cs="Times New Roman"/>
                <w:i/>
                <w:iCs/>
                <w:color w:val="000000" w:themeColor="text1"/>
              </w:rPr>
            </w:pPr>
            <w:r w:rsidRPr="003D2D46">
              <w:rPr>
                <w:rFonts w:ascii="Times New Roman" w:hAnsi="Times New Roman" w:cs="Times New Roman"/>
                <w:i/>
                <w:iCs/>
                <w:color w:val="000000" w:themeColor="text1"/>
              </w:rPr>
              <w:t>Unsure</w:t>
            </w:r>
          </w:p>
        </w:tc>
        <w:tc>
          <w:tcPr>
            <w:tcW w:w="2136" w:type="dxa"/>
            <w:tcBorders>
              <w:top w:val="nil"/>
              <w:bottom w:val="nil"/>
            </w:tcBorders>
            <w:shd w:val="clear" w:color="auto" w:fill="auto"/>
            <w:noWrap/>
            <w:vAlign w:val="bottom"/>
            <w:hideMark/>
          </w:tcPr>
          <w:p w14:paraId="3C6E8A1B"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73%</w:t>
            </w:r>
          </w:p>
        </w:tc>
      </w:tr>
      <w:tr w:rsidR="003B4553" w:rsidRPr="003D2D46" w14:paraId="49A423B9" w14:textId="77777777" w:rsidTr="000E409A">
        <w:trPr>
          <w:trHeight w:val="278"/>
          <w:jc w:val="center"/>
        </w:trPr>
        <w:tc>
          <w:tcPr>
            <w:tcW w:w="2595" w:type="dxa"/>
            <w:tcBorders>
              <w:top w:val="nil"/>
            </w:tcBorders>
            <w:shd w:val="clear" w:color="auto" w:fill="auto"/>
            <w:noWrap/>
            <w:vAlign w:val="bottom"/>
            <w:hideMark/>
          </w:tcPr>
          <w:p w14:paraId="762A0607" w14:textId="77777777" w:rsidR="00BD28A9" w:rsidRPr="003D2D46" w:rsidRDefault="00BD28A9"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Has Children</w:t>
            </w:r>
          </w:p>
        </w:tc>
        <w:tc>
          <w:tcPr>
            <w:tcW w:w="2136" w:type="dxa"/>
            <w:tcBorders>
              <w:top w:val="nil"/>
            </w:tcBorders>
            <w:shd w:val="clear" w:color="auto" w:fill="auto"/>
            <w:noWrap/>
            <w:vAlign w:val="bottom"/>
            <w:hideMark/>
          </w:tcPr>
          <w:p w14:paraId="453627DD"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55%</w:t>
            </w:r>
          </w:p>
        </w:tc>
      </w:tr>
      <w:tr w:rsidR="003B4553" w:rsidRPr="003D2D46" w14:paraId="0F956CDA" w14:textId="77777777" w:rsidTr="004F0890">
        <w:trPr>
          <w:trHeight w:val="278"/>
          <w:jc w:val="center"/>
        </w:trPr>
        <w:tc>
          <w:tcPr>
            <w:tcW w:w="2595" w:type="dxa"/>
            <w:tcBorders>
              <w:bottom w:val="single" w:sz="4" w:space="0" w:color="auto"/>
            </w:tcBorders>
            <w:shd w:val="clear" w:color="auto" w:fill="auto"/>
            <w:noWrap/>
            <w:vAlign w:val="bottom"/>
            <w:hideMark/>
          </w:tcPr>
          <w:p w14:paraId="38FB5343" w14:textId="77777777" w:rsidR="00BD28A9" w:rsidRPr="003D2D46" w:rsidRDefault="00BD28A9"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Children Vaccinated</w:t>
            </w:r>
          </w:p>
        </w:tc>
        <w:tc>
          <w:tcPr>
            <w:tcW w:w="2136" w:type="dxa"/>
            <w:tcBorders>
              <w:bottom w:val="single" w:sz="4" w:space="0" w:color="auto"/>
            </w:tcBorders>
            <w:shd w:val="clear" w:color="auto" w:fill="auto"/>
            <w:noWrap/>
            <w:vAlign w:val="bottom"/>
            <w:hideMark/>
          </w:tcPr>
          <w:p w14:paraId="1CB61020"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w:t>
            </w:r>
          </w:p>
        </w:tc>
      </w:tr>
      <w:tr w:rsidR="00BD28A9" w:rsidRPr="003D2D46" w14:paraId="51AA77C1" w14:textId="77777777" w:rsidTr="004F0890">
        <w:trPr>
          <w:trHeight w:val="278"/>
          <w:jc w:val="center"/>
        </w:trPr>
        <w:tc>
          <w:tcPr>
            <w:tcW w:w="2595" w:type="dxa"/>
            <w:tcBorders>
              <w:top w:val="single" w:sz="4" w:space="0" w:color="auto"/>
              <w:bottom w:val="single" w:sz="12" w:space="0" w:color="auto"/>
            </w:tcBorders>
            <w:shd w:val="clear" w:color="auto" w:fill="auto"/>
            <w:noWrap/>
            <w:vAlign w:val="bottom"/>
            <w:hideMark/>
          </w:tcPr>
          <w:p w14:paraId="727D96C6" w14:textId="77777777" w:rsidR="00BD28A9" w:rsidRPr="003D2D46" w:rsidRDefault="00BD28A9"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Children have DTaP</w:t>
            </w:r>
          </w:p>
        </w:tc>
        <w:tc>
          <w:tcPr>
            <w:tcW w:w="2136" w:type="dxa"/>
            <w:tcBorders>
              <w:top w:val="single" w:sz="4" w:space="0" w:color="auto"/>
              <w:bottom w:val="single" w:sz="12" w:space="0" w:color="auto"/>
            </w:tcBorders>
            <w:shd w:val="clear" w:color="auto" w:fill="auto"/>
            <w:noWrap/>
            <w:vAlign w:val="bottom"/>
            <w:hideMark/>
          </w:tcPr>
          <w:p w14:paraId="570E10E1" w14:textId="77777777" w:rsidR="00BD28A9" w:rsidRPr="003D2D46" w:rsidRDefault="00BD28A9"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w:t>
            </w:r>
          </w:p>
        </w:tc>
      </w:tr>
    </w:tbl>
    <w:p w14:paraId="37F57F83" w14:textId="77777777" w:rsidR="00BD28A9" w:rsidRPr="003D2D46" w:rsidRDefault="00BD28A9"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34965754" w14:textId="3485AA9E" w:rsidR="002D463A" w:rsidRPr="003D2D46" w:rsidRDefault="002D463A" w:rsidP="004F499F">
      <w:pPr>
        <w:widowControl w:val="0"/>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They continued, “I think that in order to keep people healthy that is basically a civil…part of being a citizen is to have your children vaccinated…”</w:t>
      </w:r>
    </w:p>
    <w:p w14:paraId="06A0FD6C" w14:textId="77777777" w:rsidR="002D463A" w:rsidRPr="003D2D46" w:rsidRDefault="002D463A" w:rsidP="00580A15">
      <w:pPr>
        <w:spacing w:line="480" w:lineRule="auto"/>
        <w:rPr>
          <w:rFonts w:ascii="Times New Roman" w:hAnsi="Times New Roman" w:cs="Times New Roman"/>
          <w:color w:val="000000" w:themeColor="text1"/>
        </w:rPr>
      </w:pPr>
    </w:p>
    <w:p w14:paraId="6926CBC8" w14:textId="2A9C8EED" w:rsidR="002D463A" w:rsidRPr="003D2D46" w:rsidRDefault="002D463A" w:rsidP="00580A15">
      <w:pPr>
        <w:widowControl w:val="0"/>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Three (27%) participants had either mixed or negative feelings about at least some aspect of vaccination. Vaguely negative sentiments expressed included Fred indicating that they perceived the necessity of vaccines differently by age group, stating “I think some vaccines work. Obviously, the ones for the polio, the ones you receive as kids. I think those work and flu vaccines are needed maybe for children and the elderly but not as a yearly thing.” Explicitly negative sentiments included participants doubting the efficacy of some vaccine completely; as </w:t>
      </w:r>
      <w:r w:rsidR="00B34D2A" w:rsidRPr="003D2D46">
        <w:rPr>
          <w:rFonts w:ascii="Times New Roman" w:hAnsi="Times New Roman" w:cs="Times New Roman"/>
          <w:color w:val="000000" w:themeColor="text1"/>
        </w:rPr>
        <w:t xml:space="preserve">Fred </w:t>
      </w:r>
      <w:r w:rsidRPr="003D2D46">
        <w:rPr>
          <w:rFonts w:ascii="Times New Roman" w:hAnsi="Times New Roman" w:cs="Times New Roman"/>
          <w:color w:val="000000" w:themeColor="text1"/>
        </w:rPr>
        <w:t xml:space="preserve">said, “The flu shot…that’s just a load of crap.” </w:t>
      </w:r>
    </w:p>
    <w:p w14:paraId="1064B6AA" w14:textId="77777777" w:rsidR="002D463A" w:rsidRPr="003D2D46" w:rsidRDefault="002D463A" w:rsidP="004F499F">
      <w:pPr>
        <w:widowControl w:val="0"/>
        <w:spacing w:line="480" w:lineRule="auto"/>
        <w:rPr>
          <w:rFonts w:ascii="Times New Roman" w:hAnsi="Times New Roman" w:cs="Times New Roman"/>
          <w:color w:val="000000" w:themeColor="text1"/>
        </w:rPr>
      </w:pPr>
    </w:p>
    <w:p w14:paraId="02C046AB" w14:textId="77777777" w:rsidR="002D463A" w:rsidRPr="003D2D46" w:rsidRDefault="005529ED" w:rsidP="004F499F">
      <w:pPr>
        <w:pStyle w:val="Heading41111"/>
        <w:spacing w:line="480" w:lineRule="auto"/>
        <w:rPr>
          <w:rFonts w:cs="Times New Roman"/>
          <w:color w:val="000000" w:themeColor="text1"/>
        </w:rPr>
      </w:pPr>
      <w:bookmarkStart w:id="119" w:name="_Toc15631252"/>
      <w:bookmarkStart w:id="120" w:name="_Toc82445537"/>
      <w:bookmarkStart w:id="121" w:name="_Toc87797100"/>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3</w:t>
      </w:r>
      <w:r w:rsidR="00A0580F" w:rsidRPr="003D2D46">
        <w:rPr>
          <w:rFonts w:cs="Times New Roman"/>
          <w:color w:val="000000" w:themeColor="text1"/>
        </w:rPr>
        <w:t xml:space="preserve"> </w:t>
      </w:r>
      <w:r w:rsidR="002D463A" w:rsidRPr="003D2D46">
        <w:rPr>
          <w:rFonts w:cs="Times New Roman"/>
          <w:color w:val="000000" w:themeColor="text1"/>
        </w:rPr>
        <w:t>Theme 2: Reasons for Supporting Vaccination</w:t>
      </w:r>
      <w:bookmarkEnd w:id="119"/>
      <w:bookmarkEnd w:id="120"/>
      <w:bookmarkEnd w:id="121"/>
      <w:r w:rsidR="002D463A" w:rsidRPr="003D2D46">
        <w:rPr>
          <w:rFonts w:cs="Times New Roman"/>
          <w:color w:val="000000" w:themeColor="text1"/>
        </w:rPr>
        <w:t xml:space="preserve"> </w:t>
      </w:r>
    </w:p>
    <w:p w14:paraId="2563B65C" w14:textId="77777777" w:rsidR="002D463A" w:rsidRPr="003D2D46" w:rsidRDefault="002D463A" w:rsidP="004F499F">
      <w:pPr>
        <w:widowControl w:val="0"/>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most commonly offered explanation when asked why parents chose to vaccinate their children was to prevent their children from getting diseases. “Because we don’t want [them] to get sick,” shared David. Most participants that held positive beliefs about vaccination also cited historical prevalence of many diseases as a contributing factor to their consideration of vaccination. Aileen shared that one of their major considerations when considering vaccination as a general practice was the availability of modern technology and medicine to prevent diseases, </w:t>
      </w:r>
    </w:p>
    <w:p w14:paraId="7D57AFA7" w14:textId="77777777" w:rsidR="002D463A" w:rsidRPr="003D2D46" w:rsidRDefault="002D463A" w:rsidP="00580A15">
      <w:pPr>
        <w:spacing w:line="480" w:lineRule="auto"/>
        <w:rPr>
          <w:rFonts w:ascii="Times New Roman" w:hAnsi="Times New Roman" w:cs="Times New Roman"/>
          <w:color w:val="000000" w:themeColor="text1"/>
        </w:rPr>
      </w:pPr>
    </w:p>
    <w:p w14:paraId="27FA8E68" w14:textId="21781C38" w:rsidR="002D463A" w:rsidRPr="003D2D46" w:rsidRDefault="002D463A" w:rsidP="00580A15">
      <w:pPr>
        <w:spacing w:line="480" w:lineRule="auto"/>
        <w:ind w:left="720" w:right="1440"/>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Because children used to die because we had all of these diseases that killed off I don’t know how many children in their early years </w:t>
      </w:r>
      <w:r w:rsidRPr="003D2D46">
        <w:rPr>
          <w:rFonts w:ascii="Times New Roman" w:hAnsi="Times New Roman" w:cs="Times New Roman"/>
          <w:color w:val="000000" w:themeColor="text1"/>
        </w:rPr>
        <w:lastRenderedPageBreak/>
        <w:t xml:space="preserve">and I think it is incredible that we have these things where you can have one shot and then we don’t have to worry that our kids are going to die of all these…I mean it makes me want to cry that I don’t have to worry about it. So I just think it </w:t>
      </w:r>
      <w:r w:rsidR="00B93CBD" w:rsidRPr="003D2D46">
        <w:rPr>
          <w:rFonts w:ascii="Times New Roman" w:hAnsi="Times New Roman" w:cs="Times New Roman"/>
          <w:color w:val="000000" w:themeColor="text1"/>
        </w:rPr>
        <w:t xml:space="preserve">is </w:t>
      </w:r>
      <w:r w:rsidRPr="003D2D46">
        <w:rPr>
          <w:rFonts w:ascii="Times New Roman" w:hAnsi="Times New Roman" w:cs="Times New Roman"/>
          <w:color w:val="000000" w:themeColor="text1"/>
        </w:rPr>
        <w:t>one of those achievements of modern medicine that we can eradicate and prevent some really awful things.</w:t>
      </w:r>
    </w:p>
    <w:p w14:paraId="5236059F" w14:textId="77777777" w:rsidR="002D463A" w:rsidRPr="003D2D46" w:rsidRDefault="002D463A" w:rsidP="00580A15">
      <w:pPr>
        <w:spacing w:line="480" w:lineRule="auto"/>
        <w:rPr>
          <w:rFonts w:ascii="Times New Roman" w:hAnsi="Times New Roman" w:cs="Times New Roman"/>
          <w:color w:val="000000" w:themeColor="text1"/>
        </w:rPr>
      </w:pPr>
    </w:p>
    <w:p w14:paraId="7D82766E" w14:textId="17DF63D1" w:rsidR="002D463A" w:rsidRPr="003D2D46" w:rsidRDefault="002D463A" w:rsidP="00580A15">
      <w:pPr>
        <w:widowControl w:val="0"/>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Others shared that they would feel guilty if their child got someone else sick. David expressed concern that they “wouldn’t want [their child] to be the vector that got one of [their] immune-suppressed friends sick.” </w:t>
      </w:r>
    </w:p>
    <w:p w14:paraId="110659B8" w14:textId="77777777" w:rsidR="002D463A" w:rsidRPr="003D2D46" w:rsidRDefault="002D463A" w:rsidP="004F499F">
      <w:pPr>
        <w:widowControl w:val="0"/>
        <w:spacing w:line="480" w:lineRule="auto"/>
        <w:rPr>
          <w:rFonts w:ascii="Times New Roman" w:hAnsi="Times New Roman" w:cs="Times New Roman"/>
          <w:color w:val="000000" w:themeColor="text1"/>
        </w:rPr>
      </w:pPr>
    </w:p>
    <w:p w14:paraId="3BAC8FC8" w14:textId="77777777" w:rsidR="002D463A" w:rsidRPr="003D2D46" w:rsidRDefault="005529ED" w:rsidP="004F499F">
      <w:pPr>
        <w:pStyle w:val="Heading41111"/>
        <w:spacing w:line="480" w:lineRule="auto"/>
        <w:rPr>
          <w:rFonts w:cs="Times New Roman"/>
          <w:color w:val="000000" w:themeColor="text1"/>
        </w:rPr>
      </w:pPr>
      <w:bookmarkStart w:id="122" w:name="_Toc15631253"/>
      <w:bookmarkStart w:id="123" w:name="_Toc82445538"/>
      <w:bookmarkStart w:id="124" w:name="_Toc87797101"/>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4</w:t>
      </w:r>
      <w:r w:rsidR="00A0580F" w:rsidRPr="003D2D46">
        <w:rPr>
          <w:rFonts w:cs="Times New Roman"/>
          <w:color w:val="000000" w:themeColor="text1"/>
        </w:rPr>
        <w:t xml:space="preserve"> </w:t>
      </w:r>
      <w:r w:rsidR="002D463A" w:rsidRPr="003D2D46">
        <w:rPr>
          <w:rFonts w:cs="Times New Roman"/>
          <w:color w:val="000000" w:themeColor="text1"/>
        </w:rPr>
        <w:t xml:space="preserve">Theme </w:t>
      </w:r>
      <w:r w:rsidR="00C921B6" w:rsidRPr="003D2D46">
        <w:rPr>
          <w:rFonts w:cs="Times New Roman"/>
          <w:color w:val="000000" w:themeColor="text1"/>
        </w:rPr>
        <w:t>3</w:t>
      </w:r>
      <w:r w:rsidR="002D463A" w:rsidRPr="003D2D46">
        <w:rPr>
          <w:rFonts w:cs="Times New Roman"/>
          <w:color w:val="000000" w:themeColor="text1"/>
        </w:rPr>
        <w:t>: Concerns and Reasons for Hesitancy</w:t>
      </w:r>
      <w:bookmarkEnd w:id="122"/>
      <w:bookmarkEnd w:id="123"/>
      <w:bookmarkEnd w:id="124"/>
    </w:p>
    <w:p w14:paraId="6614BE60" w14:textId="77777777" w:rsidR="002D463A" w:rsidRPr="003D2D46" w:rsidRDefault="005529ED" w:rsidP="004F499F">
      <w:pPr>
        <w:pStyle w:val="Heading511111"/>
        <w:spacing w:line="480" w:lineRule="auto"/>
        <w:rPr>
          <w:rFonts w:cs="Times New Roman"/>
          <w:color w:val="000000" w:themeColor="text1"/>
        </w:rPr>
      </w:pPr>
      <w:bookmarkStart w:id="125" w:name="_Toc82445539"/>
      <w:bookmarkStart w:id="126" w:name="_Toc87797102"/>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4</w:t>
      </w:r>
      <w:r w:rsidR="00A0580F" w:rsidRPr="003D2D46">
        <w:rPr>
          <w:rFonts w:cs="Times New Roman"/>
          <w:color w:val="000000" w:themeColor="text1"/>
        </w:rPr>
        <w:t xml:space="preserve">.1 </w:t>
      </w:r>
      <w:r w:rsidR="002D463A" w:rsidRPr="003D2D46">
        <w:rPr>
          <w:rFonts w:cs="Times New Roman"/>
          <w:color w:val="000000" w:themeColor="text1"/>
        </w:rPr>
        <w:t>Number of Vaccines Administered</w:t>
      </w:r>
      <w:bookmarkEnd w:id="125"/>
      <w:bookmarkEnd w:id="126"/>
      <w:r w:rsidR="002D463A" w:rsidRPr="003D2D46">
        <w:rPr>
          <w:rFonts w:cs="Times New Roman"/>
          <w:color w:val="000000" w:themeColor="text1"/>
        </w:rPr>
        <w:t xml:space="preserve"> </w:t>
      </w:r>
    </w:p>
    <w:p w14:paraId="3A9214FA" w14:textId="60BE16B6" w:rsidR="002D463A" w:rsidRPr="003D2D46" w:rsidRDefault="002D463A" w:rsidP="004F499F">
      <w:pPr>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Vaccine-hesitant participants cited side effects and the number of vaccines administered at once as the primary reasons for delaying their children’s vaccination schedule. Aileen said that they felt like “it’s a lot of stuff to put in [their] tiny body in one visit.” Fred and Rosemary also expressed the same concern. “Personally, I think if you pump five vaccines into your child, their poor little bodies can’t deal with it,” Rosemary offered. Fred asked “How much can your auto-immune system take? Is that something that you should really be pushing with your children’s health?” </w:t>
      </w:r>
    </w:p>
    <w:p w14:paraId="113B8BD2" w14:textId="77777777" w:rsidR="002D463A" w:rsidRPr="003D2D46" w:rsidRDefault="005529ED" w:rsidP="004F499F">
      <w:pPr>
        <w:pStyle w:val="Heading511111"/>
        <w:spacing w:line="480" w:lineRule="auto"/>
        <w:rPr>
          <w:rFonts w:cs="Times New Roman"/>
          <w:color w:val="000000" w:themeColor="text1"/>
        </w:rPr>
      </w:pPr>
      <w:bookmarkStart w:id="127" w:name="_Toc82445540"/>
      <w:bookmarkStart w:id="128" w:name="_Toc87797103"/>
      <w:r w:rsidRPr="003D2D46">
        <w:rPr>
          <w:rFonts w:cs="Times New Roman"/>
          <w:color w:val="000000" w:themeColor="text1"/>
        </w:rPr>
        <w:lastRenderedPageBreak/>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4</w:t>
      </w:r>
      <w:r w:rsidR="00A0580F" w:rsidRPr="003D2D46">
        <w:rPr>
          <w:rFonts w:cs="Times New Roman"/>
          <w:color w:val="000000" w:themeColor="text1"/>
        </w:rPr>
        <w:t xml:space="preserve">.2 </w:t>
      </w:r>
      <w:r w:rsidR="002D463A" w:rsidRPr="003D2D46">
        <w:rPr>
          <w:rFonts w:cs="Times New Roman"/>
          <w:color w:val="000000" w:themeColor="text1"/>
        </w:rPr>
        <w:t>Denial of Efficacy and Safety Concerns</w:t>
      </w:r>
      <w:bookmarkEnd w:id="127"/>
      <w:bookmarkEnd w:id="128"/>
      <w:r w:rsidR="002D463A" w:rsidRPr="003D2D46">
        <w:rPr>
          <w:rFonts w:cs="Times New Roman"/>
          <w:color w:val="000000" w:themeColor="text1"/>
        </w:rPr>
        <w:t xml:space="preserve"> </w:t>
      </w:r>
    </w:p>
    <w:p w14:paraId="269932FA" w14:textId="1A298F9F" w:rsidR="002D463A" w:rsidRPr="003D2D46" w:rsidRDefault="002D463A" w:rsidP="00580A15">
      <w:pPr>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Some participants reported that a major contributor to their refusal or hesitancy to get vaccines included not trusting vaccine efficacy. “The flu shot…that’s just a load of crap,” shared Fred. “Like, you’re injecting the flu shot into your body. It’s a virus…you can’t kill it. So your chances of getting the flu when you take the shot are higher than when you don’t.” Not only does this reject that the influenza vaccine is effective</w:t>
      </w:r>
      <w:r w:rsidR="00B93CBD"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it also suggests that the vaccine causes the very illness it is intended to prevent. Fred was the only participant to explicitly </w:t>
      </w:r>
      <w:r w:rsidR="00B93CBD" w:rsidRPr="003D2D46">
        <w:rPr>
          <w:rFonts w:ascii="Times New Roman" w:hAnsi="Times New Roman" w:cs="Times New Roman"/>
          <w:color w:val="000000" w:themeColor="text1"/>
        </w:rPr>
        <w:t xml:space="preserve">state that </w:t>
      </w:r>
      <w:r w:rsidRPr="003D2D46">
        <w:rPr>
          <w:rFonts w:ascii="Times New Roman" w:hAnsi="Times New Roman" w:cs="Times New Roman"/>
          <w:color w:val="000000" w:themeColor="text1"/>
        </w:rPr>
        <w:t xml:space="preserve">vaccines </w:t>
      </w:r>
      <w:r w:rsidR="00B93CBD" w:rsidRPr="003D2D46">
        <w:rPr>
          <w:rFonts w:ascii="Times New Roman" w:hAnsi="Times New Roman" w:cs="Times New Roman"/>
          <w:color w:val="000000" w:themeColor="text1"/>
        </w:rPr>
        <w:t>were in</w:t>
      </w:r>
      <w:r w:rsidRPr="003D2D46">
        <w:rPr>
          <w:rFonts w:ascii="Times New Roman" w:hAnsi="Times New Roman" w:cs="Times New Roman"/>
          <w:color w:val="000000" w:themeColor="text1"/>
        </w:rPr>
        <w:t>effective.</w:t>
      </w:r>
    </w:p>
    <w:p w14:paraId="5E456621" w14:textId="77777777" w:rsidR="002D463A" w:rsidRPr="003D2D46" w:rsidRDefault="002D463A" w:rsidP="00580A15">
      <w:pPr>
        <w:spacing w:line="480" w:lineRule="auto"/>
        <w:jc w:val="both"/>
        <w:rPr>
          <w:rFonts w:ascii="Times New Roman" w:hAnsi="Times New Roman" w:cs="Times New Roman"/>
          <w:color w:val="000000" w:themeColor="text1"/>
        </w:rPr>
      </w:pPr>
    </w:p>
    <w:p w14:paraId="276BDA81" w14:textId="77777777" w:rsidR="002D463A" w:rsidRPr="003D2D46" w:rsidRDefault="005529ED" w:rsidP="004F499F">
      <w:pPr>
        <w:pStyle w:val="Heading511111"/>
        <w:spacing w:line="480" w:lineRule="auto"/>
        <w:rPr>
          <w:rFonts w:cs="Times New Roman"/>
          <w:color w:val="000000" w:themeColor="text1"/>
        </w:rPr>
      </w:pPr>
      <w:bookmarkStart w:id="129" w:name="_Toc82445541"/>
      <w:bookmarkStart w:id="130" w:name="_Toc87797104"/>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4</w:t>
      </w:r>
      <w:r w:rsidR="00A0580F" w:rsidRPr="003D2D46">
        <w:rPr>
          <w:rFonts w:cs="Times New Roman"/>
          <w:color w:val="000000" w:themeColor="text1"/>
        </w:rPr>
        <w:t xml:space="preserve">.3 </w:t>
      </w:r>
      <w:r w:rsidR="002D463A" w:rsidRPr="003D2D46">
        <w:rPr>
          <w:rFonts w:cs="Times New Roman"/>
          <w:color w:val="000000" w:themeColor="text1"/>
        </w:rPr>
        <w:t>Concern Regarding Safety, Side Effects, or Negative Consequences of Vaccination</w:t>
      </w:r>
      <w:bookmarkEnd w:id="129"/>
      <w:bookmarkEnd w:id="130"/>
      <w:r w:rsidR="002D463A" w:rsidRPr="003D2D46">
        <w:rPr>
          <w:rFonts w:cs="Times New Roman"/>
          <w:color w:val="000000" w:themeColor="text1"/>
        </w:rPr>
        <w:t xml:space="preserve"> </w:t>
      </w:r>
    </w:p>
    <w:p w14:paraId="6FAA4A85" w14:textId="47778973" w:rsidR="002D463A" w:rsidRPr="003D2D46" w:rsidRDefault="002D463A" w:rsidP="004F499F">
      <w:pPr>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Most (n=9, 82%) participants expressed minimal concern regarding the safety of vaccines and stated that while they had safety concerns, they were not significant enough to cause them to delay or </w:t>
      </w:r>
      <w:r w:rsidR="00B93CBD" w:rsidRPr="003D2D46">
        <w:rPr>
          <w:rFonts w:ascii="Times New Roman" w:hAnsi="Times New Roman" w:cs="Times New Roman"/>
          <w:color w:val="000000" w:themeColor="text1"/>
        </w:rPr>
        <w:t xml:space="preserve">refuse </w:t>
      </w:r>
      <w:r w:rsidRPr="003D2D46">
        <w:rPr>
          <w:rFonts w:ascii="Times New Roman" w:hAnsi="Times New Roman" w:cs="Times New Roman"/>
          <w:color w:val="000000" w:themeColor="text1"/>
        </w:rPr>
        <w:t xml:space="preserve">vaccines for themselves or their children. David reported that when they were getting their first child vaccinated they were concerned that their child would have an allergic reaction or adverse outcome because of the ingredients. “Oh there’s egg albumin, does she have any allergies? Then the idea that mercury is one of the preservatives…,” David recalled from when they had their first child and said that their concern as normal, explaining “Oh, we’re parents! We worry.” </w:t>
      </w:r>
    </w:p>
    <w:p w14:paraId="72F9D157" w14:textId="77777777" w:rsidR="002D463A" w:rsidRPr="003D2D46" w:rsidRDefault="002D463A" w:rsidP="00580A15">
      <w:pPr>
        <w:spacing w:line="480" w:lineRule="auto"/>
        <w:jc w:val="both"/>
        <w:rPr>
          <w:rFonts w:ascii="Times New Roman" w:hAnsi="Times New Roman" w:cs="Times New Roman"/>
          <w:color w:val="000000" w:themeColor="text1"/>
        </w:rPr>
      </w:pPr>
    </w:p>
    <w:p w14:paraId="74E0EEB6" w14:textId="77777777" w:rsidR="002D463A" w:rsidRPr="003D2D46" w:rsidRDefault="002D463A" w:rsidP="00580A15">
      <w:pPr>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Some participants had major concerns about side effects and other adverse outcomes. When discussing vaccines and particularly the influenza vaccine with Rosemary, they </w:t>
      </w:r>
      <w:r w:rsidRPr="003D2D46">
        <w:rPr>
          <w:rFonts w:ascii="Times New Roman" w:hAnsi="Times New Roman" w:cs="Times New Roman"/>
          <w:color w:val="000000" w:themeColor="text1"/>
        </w:rPr>
        <w:lastRenderedPageBreak/>
        <w:t xml:space="preserve">expressed major concerns about the vaccine’s safety and its impact. “The thing that I worry about, really, is these diseases mutating and making a comeback…kind of like how the flu makes a new strand every time they come out with a new vaccine.” Fred added, </w:t>
      </w:r>
    </w:p>
    <w:p w14:paraId="7432C2E9" w14:textId="77777777" w:rsidR="002D463A" w:rsidRPr="003D2D46" w:rsidRDefault="002D463A" w:rsidP="00580A15">
      <w:pPr>
        <w:spacing w:line="480" w:lineRule="auto"/>
        <w:jc w:val="both"/>
        <w:rPr>
          <w:rFonts w:ascii="Times New Roman" w:hAnsi="Times New Roman" w:cs="Times New Roman"/>
          <w:color w:val="000000" w:themeColor="text1"/>
        </w:rPr>
      </w:pPr>
    </w:p>
    <w:p w14:paraId="5A6C5C27" w14:textId="77777777" w:rsidR="002D463A" w:rsidRPr="003D2D46" w:rsidRDefault="002D463A" w:rsidP="00580A15">
      <w:pPr>
        <w:spacing w:line="480" w:lineRule="auto"/>
        <w:ind w:left="720" w:right="720"/>
        <w:jc w:val="both"/>
        <w:rPr>
          <w:rFonts w:ascii="Times New Roman" w:hAnsi="Times New Roman" w:cs="Times New Roman"/>
          <w:color w:val="000000" w:themeColor="text1"/>
        </w:rPr>
      </w:pPr>
      <w:r w:rsidRPr="003D2D46">
        <w:rPr>
          <w:rFonts w:ascii="Times New Roman" w:hAnsi="Times New Roman" w:cs="Times New Roman"/>
          <w:color w:val="000000" w:themeColor="text1"/>
        </w:rPr>
        <w:t>I don’t think [influenza vaccines] are healthy for adults. The RNA mutation is a big concern. And they say that the influenza in the shot is dead but I’m like ‘yeah but how do you know that?’ That’s what I can’t seem to get an answer for. A virus can reanimate at any time and you can’t guarantee that. Other than that, I think the rest of them are safe.</w:t>
      </w:r>
    </w:p>
    <w:p w14:paraId="0A183996" w14:textId="77777777" w:rsidR="002D463A" w:rsidRPr="003D2D46" w:rsidRDefault="002D463A" w:rsidP="00580A15">
      <w:pPr>
        <w:spacing w:line="480" w:lineRule="auto"/>
        <w:jc w:val="both"/>
        <w:rPr>
          <w:rFonts w:ascii="Times New Roman" w:hAnsi="Times New Roman" w:cs="Times New Roman"/>
          <w:color w:val="000000" w:themeColor="text1"/>
        </w:rPr>
      </w:pPr>
    </w:p>
    <w:p w14:paraId="5E65D4CE" w14:textId="77777777" w:rsidR="002D463A" w:rsidRPr="003D2D46" w:rsidRDefault="005529ED" w:rsidP="004F499F">
      <w:pPr>
        <w:pStyle w:val="Heading511111"/>
        <w:spacing w:line="480" w:lineRule="auto"/>
        <w:rPr>
          <w:rFonts w:cs="Times New Roman"/>
          <w:color w:val="000000" w:themeColor="text1"/>
        </w:rPr>
      </w:pPr>
      <w:bookmarkStart w:id="131" w:name="_Toc82445542"/>
      <w:bookmarkStart w:id="132" w:name="_Toc87797105"/>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A0580F" w:rsidRPr="003D2D46">
        <w:rPr>
          <w:rFonts w:cs="Times New Roman"/>
          <w:color w:val="000000" w:themeColor="text1"/>
        </w:rPr>
        <w:t>.</w:t>
      </w:r>
      <w:r w:rsidRPr="003D2D46">
        <w:rPr>
          <w:rFonts w:cs="Times New Roman"/>
          <w:color w:val="000000" w:themeColor="text1"/>
        </w:rPr>
        <w:t>4</w:t>
      </w:r>
      <w:r w:rsidR="00C921B6" w:rsidRPr="003D2D46">
        <w:rPr>
          <w:rFonts w:cs="Times New Roman"/>
          <w:color w:val="000000" w:themeColor="text1"/>
        </w:rPr>
        <w:t>.4.</w:t>
      </w:r>
      <w:r w:rsidR="00A0580F" w:rsidRPr="003D2D46">
        <w:rPr>
          <w:rFonts w:cs="Times New Roman"/>
          <w:color w:val="000000" w:themeColor="text1"/>
        </w:rPr>
        <w:t xml:space="preserve"> </w:t>
      </w:r>
      <w:r w:rsidR="002D463A" w:rsidRPr="003D2D46">
        <w:rPr>
          <w:rFonts w:cs="Times New Roman"/>
          <w:color w:val="000000" w:themeColor="text1"/>
        </w:rPr>
        <w:t>Risk Perception of Getting Pertussis</w:t>
      </w:r>
      <w:bookmarkEnd w:id="131"/>
      <w:bookmarkEnd w:id="132"/>
    </w:p>
    <w:p w14:paraId="03A1CE36" w14:textId="77777777" w:rsidR="002D463A" w:rsidRPr="003D2D46" w:rsidRDefault="002D463A" w:rsidP="004F499F">
      <w:pPr>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Most participants conceptualized risk of disease differently for their children than they did for themselves. In fact, many reported that their children were fully vaccinated against pertussis, but they themselves were not sure if they were up to date. Aileen seemed to become aware of this incongruence between their behaviors and self-described attitudes while discussing risk in adult and children. “I feel in some ways that my attitudes are more pro than my actions,” they said while discussing them not receiving an influenza vaccine this year while their children did. They went on to say that “maybe I have some kind of division in my mind between children and adults.” </w:t>
      </w:r>
    </w:p>
    <w:p w14:paraId="7170AC41" w14:textId="77777777" w:rsidR="002D463A" w:rsidRPr="003D2D46" w:rsidRDefault="002D463A" w:rsidP="00580A15">
      <w:pPr>
        <w:spacing w:line="480" w:lineRule="auto"/>
        <w:jc w:val="both"/>
        <w:rPr>
          <w:rFonts w:ascii="Times New Roman" w:hAnsi="Times New Roman" w:cs="Times New Roman"/>
          <w:color w:val="000000" w:themeColor="text1"/>
        </w:rPr>
      </w:pPr>
    </w:p>
    <w:p w14:paraId="0A8D3420" w14:textId="4FE0CD94" w:rsidR="002D463A" w:rsidRPr="003D2D46" w:rsidRDefault="002D463A" w:rsidP="00580A15">
      <w:pPr>
        <w:widowControl w:val="0"/>
        <w:spacing w:line="480" w:lineRule="auto"/>
        <w:jc w:val="both"/>
        <w:rPr>
          <w:rFonts w:ascii="Times New Roman" w:hAnsi="Times New Roman" w:cs="Times New Roman"/>
          <w:color w:val="000000" w:themeColor="text1"/>
        </w:rPr>
      </w:pPr>
      <w:r w:rsidRPr="003D2D46">
        <w:rPr>
          <w:rFonts w:ascii="Times New Roman" w:hAnsi="Times New Roman" w:cs="Times New Roman"/>
          <w:color w:val="000000" w:themeColor="text1"/>
        </w:rPr>
        <w:t xml:space="preserve">All participants perceived themselves at very low risk for contracting pertussis. Fred thought that “now that the kids are older, I don’t see how we could get it.” Rosemary stated, </w:t>
      </w:r>
      <w:r w:rsidRPr="003D2D46">
        <w:rPr>
          <w:rFonts w:ascii="Times New Roman" w:hAnsi="Times New Roman" w:cs="Times New Roman"/>
          <w:color w:val="000000" w:themeColor="text1"/>
        </w:rPr>
        <w:lastRenderedPageBreak/>
        <w:t xml:space="preserve">“I don’t think we can get it. The doctor says everyone carries it around but from what I’ve been told, the chances of an adult getting it are slimmer than elderly or an infant so we’re not worried.” Other notable responses included “I feel like I’ve heard that it </w:t>
      </w:r>
      <w:r w:rsidR="00D26352" w:rsidRPr="003D2D46">
        <w:rPr>
          <w:rFonts w:ascii="Times New Roman" w:hAnsi="Times New Roman" w:cs="Times New Roman"/>
          <w:color w:val="000000" w:themeColor="text1"/>
        </w:rPr>
        <w:t>a</w:t>
      </w:r>
      <w:r w:rsidRPr="003D2D46">
        <w:rPr>
          <w:rFonts w:ascii="Times New Roman" w:hAnsi="Times New Roman" w:cs="Times New Roman"/>
          <w:color w:val="000000" w:themeColor="text1"/>
        </w:rPr>
        <w:t xml:space="preserve">ffects a lot of elderly people, maybe? That’s about it,” offered Ted. Nancy thought they didn’t “think [they] could get it, because [they’ve] had the vaccine.” “I hope,” they continued, “And if I did get it, it probably wouldn’t be as serious.” </w:t>
      </w:r>
    </w:p>
    <w:p w14:paraId="66156280" w14:textId="77777777" w:rsidR="002D463A" w:rsidRPr="003D2D46" w:rsidRDefault="002D463A" w:rsidP="004F499F">
      <w:pPr>
        <w:widowControl w:val="0"/>
        <w:spacing w:line="480" w:lineRule="auto"/>
        <w:jc w:val="both"/>
        <w:rPr>
          <w:rFonts w:ascii="Times New Roman" w:hAnsi="Times New Roman" w:cs="Times New Roman"/>
          <w:color w:val="000000" w:themeColor="text1"/>
        </w:rPr>
      </w:pPr>
    </w:p>
    <w:p w14:paraId="5D70AF26" w14:textId="77777777" w:rsidR="002D463A" w:rsidRPr="003D2D46" w:rsidRDefault="005529ED" w:rsidP="004F499F">
      <w:pPr>
        <w:pStyle w:val="Heading41111"/>
        <w:spacing w:line="480" w:lineRule="auto"/>
        <w:rPr>
          <w:rFonts w:cs="Times New Roman"/>
          <w:color w:val="000000" w:themeColor="text1"/>
        </w:rPr>
      </w:pPr>
      <w:bookmarkStart w:id="133" w:name="_Toc15631254"/>
      <w:bookmarkStart w:id="134" w:name="_Toc82445543"/>
      <w:bookmarkStart w:id="135" w:name="_Toc87797106"/>
      <w:r w:rsidRPr="003D2D46">
        <w:rPr>
          <w:rFonts w:cs="Times New Roman"/>
          <w:color w:val="000000" w:themeColor="text1"/>
        </w:rPr>
        <w:t>3</w:t>
      </w:r>
      <w:r w:rsidR="00A0580F" w:rsidRPr="003D2D46">
        <w:rPr>
          <w:rFonts w:cs="Times New Roman"/>
          <w:color w:val="000000" w:themeColor="text1"/>
        </w:rPr>
        <w:t>.</w:t>
      </w:r>
      <w:r w:rsidR="000D1486" w:rsidRPr="003D2D46">
        <w:rPr>
          <w:rFonts w:cs="Times New Roman"/>
          <w:color w:val="000000" w:themeColor="text1"/>
        </w:rPr>
        <w:t>5</w:t>
      </w:r>
      <w:r w:rsidR="00C921B6" w:rsidRPr="003D2D46">
        <w:rPr>
          <w:rFonts w:cs="Times New Roman"/>
          <w:color w:val="000000" w:themeColor="text1"/>
        </w:rPr>
        <w:t>.</w:t>
      </w:r>
      <w:r w:rsidRPr="003D2D46">
        <w:rPr>
          <w:rFonts w:cs="Times New Roman"/>
          <w:color w:val="000000" w:themeColor="text1"/>
        </w:rPr>
        <w:t>5</w:t>
      </w:r>
      <w:r w:rsidR="00A0580F" w:rsidRPr="003D2D46">
        <w:rPr>
          <w:rFonts w:cs="Times New Roman"/>
          <w:color w:val="000000" w:themeColor="text1"/>
        </w:rPr>
        <w:t xml:space="preserve"> </w:t>
      </w:r>
      <w:r w:rsidR="002D463A" w:rsidRPr="003D2D46">
        <w:rPr>
          <w:rFonts w:cs="Times New Roman"/>
          <w:color w:val="000000" w:themeColor="text1"/>
        </w:rPr>
        <w:t>Theme Four: Knowledge and Information Sources</w:t>
      </w:r>
      <w:bookmarkEnd w:id="133"/>
      <w:bookmarkEnd w:id="134"/>
      <w:bookmarkEnd w:id="135"/>
    </w:p>
    <w:p w14:paraId="46FC3F2A" w14:textId="77777777" w:rsidR="002D463A" w:rsidRPr="003D2D46" w:rsidRDefault="002D463A" w:rsidP="004F499F">
      <w:pPr>
        <w:widowControl w:val="0"/>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The majority of participants reported speaking with physicians or another healthcare provider about vaccines when prompted, but otherwise reported either not intentionally seeking information or seeking it on the internet. Participants that reported never having sought information themselves reported that they spoke with their doctor when it was necessary.</w:t>
      </w:r>
    </w:p>
    <w:p w14:paraId="560FF97C" w14:textId="77777777" w:rsidR="002D463A" w:rsidRPr="003D2D46" w:rsidRDefault="002D463A" w:rsidP="00580A15">
      <w:pPr>
        <w:spacing w:line="480" w:lineRule="auto"/>
        <w:rPr>
          <w:rFonts w:ascii="Times New Roman" w:eastAsia="Calibri" w:hAnsi="Times New Roman" w:cs="Times New Roman"/>
          <w:color w:val="000000" w:themeColor="text1"/>
        </w:rPr>
      </w:pPr>
    </w:p>
    <w:p w14:paraId="4669B4D3" w14:textId="7E3B8792" w:rsidR="002D463A" w:rsidRPr="003D2D46" w:rsidRDefault="002D463A"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Conversations with doctors, pamphlets at physicians’ offices, and internet research were the most cited sources of information about vaccinations. Elizabeth stated that they talked to “my doctor and my kids’ doctors. My husband a little bit. And I’ve heard stories on the news or heard things on the radio, people on TV.” They admitted “Sometimes I google things about ‘what is this…’ but generally I get more information when I go to the doctor and they hand you a sheet that has pros and cons and possible reactions…”. </w:t>
      </w:r>
    </w:p>
    <w:p w14:paraId="604AD48C" w14:textId="77777777" w:rsidR="002D463A" w:rsidRPr="003D2D46" w:rsidRDefault="002D463A"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Amelia reported that they consulted their “primary care physician” and got most of their information at the “the doctor’s office. They give you those pamphlets.” Though the </w:t>
      </w:r>
      <w:r w:rsidRPr="003D2D46">
        <w:rPr>
          <w:rFonts w:ascii="Times New Roman" w:eastAsia="Calibri" w:hAnsi="Times New Roman" w:cs="Times New Roman"/>
          <w:color w:val="000000" w:themeColor="text1"/>
        </w:rPr>
        <w:lastRenderedPageBreak/>
        <w:t xml:space="preserve">same participant also said, “I’ll also go online and look up things…I’ll google and then go to maybe Mayo Clinic, or someplace I recognize…Cleveland Clinic, CDC, some place I feel is more credible.” </w:t>
      </w:r>
    </w:p>
    <w:p w14:paraId="31C8ED28" w14:textId="77777777" w:rsidR="002D463A" w:rsidRPr="003D2D46" w:rsidRDefault="002D463A" w:rsidP="00580A15">
      <w:pPr>
        <w:spacing w:line="480" w:lineRule="auto"/>
        <w:rPr>
          <w:rFonts w:ascii="Times New Roman" w:eastAsia="Calibri" w:hAnsi="Times New Roman" w:cs="Times New Roman"/>
          <w:color w:val="000000" w:themeColor="text1"/>
        </w:rPr>
      </w:pPr>
    </w:p>
    <w:p w14:paraId="043ED966" w14:textId="77777777" w:rsidR="002D463A" w:rsidRPr="003D2D46" w:rsidRDefault="002D463A"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Participants who perceived their knowledge of pertussis and vaccination as high did not have high knowledge of these topics and referenced popular science writing as their primary information sources. Fred and Rosemary cited vague sources like “medical books from the library” and popular science blogs including “IFL Science” as sources of information.</w:t>
      </w:r>
    </w:p>
    <w:p w14:paraId="7A26C491" w14:textId="77777777" w:rsidR="002D463A" w:rsidRPr="003D2D46" w:rsidRDefault="002D463A" w:rsidP="00580A15">
      <w:pPr>
        <w:spacing w:line="480" w:lineRule="auto"/>
        <w:rPr>
          <w:rFonts w:ascii="Times New Roman" w:hAnsi="Times New Roman" w:cs="Times New Roman"/>
          <w:color w:val="000000" w:themeColor="text1"/>
        </w:rPr>
      </w:pPr>
    </w:p>
    <w:p w14:paraId="3C4FD674" w14:textId="77777777"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Many parents that participated in this study (n = 6, 55%) reported that they did not do much research about vaccinations or side effects until faced with the idea of vaccinating their children. Aileen said that they went through “some kind of evolution as far as how I felt about it because I didn’t do a ton of research before I had kids.”</w:t>
      </w:r>
    </w:p>
    <w:p w14:paraId="5DE2E9A5" w14:textId="77777777" w:rsidR="002D463A" w:rsidRPr="003D2D46" w:rsidRDefault="002D463A" w:rsidP="00580A15">
      <w:pPr>
        <w:spacing w:line="480" w:lineRule="auto"/>
        <w:rPr>
          <w:rFonts w:ascii="Times New Roman" w:hAnsi="Times New Roman" w:cs="Times New Roman"/>
          <w:color w:val="000000" w:themeColor="text1"/>
        </w:rPr>
      </w:pPr>
    </w:p>
    <w:p w14:paraId="652A400C" w14:textId="01B07702" w:rsidR="002D463A" w:rsidRPr="003D2D46" w:rsidRDefault="002D463A" w:rsidP="000F5D7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Outside of physicians and the internet, participants reported discussing vaccinations with their family and friends and other social entities. Casey even cited “physicians and coworkers” as the primary two entities with whom they discussed vaccines. David said they talked with their friends and spouse about vaccines. They report</w:t>
      </w:r>
      <w:r w:rsidR="00B93CBD" w:rsidRPr="003D2D46">
        <w:rPr>
          <w:rFonts w:ascii="Times New Roman" w:hAnsi="Times New Roman" w:cs="Times New Roman"/>
          <w:color w:val="000000" w:themeColor="text1"/>
        </w:rPr>
        <w:t>ed</w:t>
      </w:r>
      <w:r w:rsidRPr="003D2D46">
        <w:rPr>
          <w:rFonts w:ascii="Times New Roman" w:hAnsi="Times New Roman" w:cs="Times New Roman"/>
          <w:color w:val="000000" w:themeColor="text1"/>
        </w:rPr>
        <w:t xml:space="preserve"> discussing </w:t>
      </w:r>
      <w:r w:rsidR="00B93CBD" w:rsidRPr="003D2D46">
        <w:rPr>
          <w:rFonts w:ascii="Times New Roman" w:hAnsi="Times New Roman" w:cs="Times New Roman"/>
          <w:color w:val="000000" w:themeColor="text1"/>
        </w:rPr>
        <w:t xml:space="preserve">with </w:t>
      </w:r>
      <w:r w:rsidRPr="003D2D46">
        <w:rPr>
          <w:rFonts w:ascii="Times New Roman" w:hAnsi="Times New Roman" w:cs="Times New Roman"/>
          <w:color w:val="000000" w:themeColor="text1"/>
        </w:rPr>
        <w:t>people in their larger social network that plan</w:t>
      </w:r>
      <w:r w:rsidR="00B93CBD" w:rsidRPr="003D2D46">
        <w:rPr>
          <w:rFonts w:ascii="Times New Roman" w:hAnsi="Times New Roman" w:cs="Times New Roman"/>
          <w:color w:val="000000" w:themeColor="text1"/>
        </w:rPr>
        <w:t>ned</w:t>
      </w:r>
      <w:r w:rsidRPr="003D2D46">
        <w:rPr>
          <w:rFonts w:ascii="Times New Roman" w:hAnsi="Times New Roman" w:cs="Times New Roman"/>
          <w:color w:val="000000" w:themeColor="text1"/>
        </w:rPr>
        <w:t xml:space="preserve"> to not vaccinate their children</w:t>
      </w:r>
      <w:r w:rsidR="00B93CBD" w:rsidRPr="003D2D46">
        <w:rPr>
          <w:rFonts w:ascii="Times New Roman" w:hAnsi="Times New Roman" w:cs="Times New Roman"/>
          <w:color w:val="000000" w:themeColor="text1"/>
        </w:rPr>
        <w:t>. The</w:t>
      </w:r>
      <w:r w:rsidRPr="003D2D46">
        <w:rPr>
          <w:rFonts w:ascii="Times New Roman" w:hAnsi="Times New Roman" w:cs="Times New Roman"/>
          <w:color w:val="000000" w:themeColor="text1"/>
        </w:rPr>
        <w:t xml:space="preserve"> participant report</w:t>
      </w:r>
      <w:r w:rsidR="00B93CBD" w:rsidRPr="003D2D46">
        <w:rPr>
          <w:rFonts w:ascii="Times New Roman" w:hAnsi="Times New Roman" w:cs="Times New Roman"/>
          <w:color w:val="000000" w:themeColor="text1"/>
        </w:rPr>
        <w:t>ed</w:t>
      </w:r>
      <w:r w:rsidRPr="003D2D46">
        <w:rPr>
          <w:rFonts w:ascii="Times New Roman" w:hAnsi="Times New Roman" w:cs="Times New Roman"/>
          <w:color w:val="000000" w:themeColor="text1"/>
        </w:rPr>
        <w:t xml:space="preserve"> that they ha</w:t>
      </w:r>
      <w:r w:rsidR="00B93CBD" w:rsidRPr="003D2D46">
        <w:rPr>
          <w:rFonts w:ascii="Times New Roman" w:hAnsi="Times New Roman" w:cs="Times New Roman"/>
          <w:color w:val="000000" w:themeColor="text1"/>
        </w:rPr>
        <w:t>d</w:t>
      </w:r>
      <w:r w:rsidRPr="003D2D46">
        <w:rPr>
          <w:rFonts w:ascii="Times New Roman" w:hAnsi="Times New Roman" w:cs="Times New Roman"/>
          <w:color w:val="000000" w:themeColor="text1"/>
        </w:rPr>
        <w:t xml:space="preserve"> conversations about th</w:t>
      </w:r>
      <w:r w:rsidR="00B93CBD" w:rsidRPr="003D2D46">
        <w:rPr>
          <w:rFonts w:ascii="Times New Roman" w:hAnsi="Times New Roman" w:cs="Times New Roman"/>
          <w:color w:val="000000" w:themeColor="text1"/>
        </w:rPr>
        <w:t>is</w:t>
      </w:r>
      <w:r w:rsidRPr="003D2D46">
        <w:rPr>
          <w:rFonts w:ascii="Times New Roman" w:hAnsi="Times New Roman" w:cs="Times New Roman"/>
          <w:color w:val="000000" w:themeColor="text1"/>
        </w:rPr>
        <w:t xml:space="preserve"> so that they c</w:t>
      </w:r>
      <w:r w:rsidR="00B93CBD" w:rsidRPr="003D2D46">
        <w:rPr>
          <w:rFonts w:ascii="Times New Roman" w:hAnsi="Times New Roman" w:cs="Times New Roman"/>
          <w:color w:val="000000" w:themeColor="text1"/>
        </w:rPr>
        <w:t>ould</w:t>
      </w:r>
      <w:r w:rsidRPr="003D2D46">
        <w:rPr>
          <w:rFonts w:ascii="Times New Roman" w:hAnsi="Times New Roman" w:cs="Times New Roman"/>
          <w:color w:val="000000" w:themeColor="text1"/>
        </w:rPr>
        <w:t xml:space="preserve"> try to understand. Fred reported discussing vaccines with their mother who is “a nurse and she </w:t>
      </w:r>
      <w:r w:rsidRPr="003D2D46">
        <w:rPr>
          <w:rFonts w:ascii="Times New Roman" w:hAnsi="Times New Roman" w:cs="Times New Roman"/>
          <w:color w:val="000000" w:themeColor="text1"/>
        </w:rPr>
        <w:lastRenderedPageBreak/>
        <w:t xml:space="preserve">even did a little paper about the chemicals in the vaccines and the things that build up in your system.” </w:t>
      </w:r>
    </w:p>
    <w:p w14:paraId="20E7F5C9" w14:textId="77777777" w:rsidR="002D463A" w:rsidRPr="003D2D46" w:rsidRDefault="002D463A" w:rsidP="008C0934">
      <w:pPr>
        <w:spacing w:line="480" w:lineRule="auto"/>
        <w:rPr>
          <w:rFonts w:ascii="Times New Roman" w:hAnsi="Times New Roman" w:cs="Times New Roman"/>
          <w:b/>
          <w:bCs/>
          <w:color w:val="000000" w:themeColor="text1"/>
        </w:rPr>
      </w:pPr>
    </w:p>
    <w:p w14:paraId="7DCCE94C" w14:textId="77777777" w:rsidR="002D463A" w:rsidRPr="003D2D46" w:rsidRDefault="005529ED" w:rsidP="005043F7">
      <w:pPr>
        <w:pStyle w:val="Heading2"/>
        <w:spacing w:before="0" w:after="0" w:line="480" w:lineRule="auto"/>
        <w:rPr>
          <w:rFonts w:cs="Times New Roman"/>
          <w:color w:val="000000" w:themeColor="text1"/>
          <w:szCs w:val="24"/>
        </w:rPr>
      </w:pPr>
      <w:bookmarkStart w:id="136" w:name="_Toc82445544"/>
      <w:bookmarkStart w:id="137" w:name="_Toc87797107"/>
      <w:r w:rsidRPr="003D2D46">
        <w:rPr>
          <w:rFonts w:cs="Times New Roman"/>
          <w:color w:val="000000" w:themeColor="text1"/>
          <w:szCs w:val="24"/>
        </w:rPr>
        <w:t>3</w:t>
      </w:r>
      <w:r w:rsidR="004B759B" w:rsidRPr="003D2D46">
        <w:rPr>
          <w:rFonts w:cs="Times New Roman"/>
          <w:color w:val="000000" w:themeColor="text1"/>
          <w:szCs w:val="24"/>
        </w:rPr>
        <w:t>.</w:t>
      </w:r>
      <w:r w:rsidR="000D1486" w:rsidRPr="003D2D46">
        <w:rPr>
          <w:rFonts w:cs="Times New Roman"/>
          <w:color w:val="000000" w:themeColor="text1"/>
          <w:szCs w:val="24"/>
        </w:rPr>
        <w:t>6</w:t>
      </w:r>
      <w:r w:rsidR="004B759B" w:rsidRPr="003D2D46">
        <w:rPr>
          <w:rFonts w:cs="Times New Roman"/>
          <w:color w:val="000000" w:themeColor="text1"/>
          <w:szCs w:val="24"/>
        </w:rPr>
        <w:t xml:space="preserve"> </w:t>
      </w:r>
      <w:r w:rsidR="002D463A" w:rsidRPr="003D2D46">
        <w:rPr>
          <w:rFonts w:cs="Times New Roman"/>
          <w:color w:val="000000" w:themeColor="text1"/>
          <w:szCs w:val="24"/>
        </w:rPr>
        <w:t>Discussion</w:t>
      </w:r>
      <w:bookmarkEnd w:id="136"/>
      <w:bookmarkEnd w:id="137"/>
    </w:p>
    <w:p w14:paraId="391EFB2D" w14:textId="77777777" w:rsidR="002D463A" w:rsidRPr="003D2D46" w:rsidRDefault="002D463A" w:rsidP="00E547A1">
      <w:pPr>
        <w:spacing w:line="480" w:lineRule="auto"/>
        <w:jc w:val="both"/>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We found that our participants were generally supportive of vaccination, though some expressed hesitation and concerns. Two participants would be best described as “hesitant compliers”, people who have major concerns or objections but ultimately decide to comply with vaccination recommendations. Knowledge about vaccines and disease risk, types of information sources utilized, and the attitudes of friends and family were important considerations in our participants’ vaccine behaviors. </w:t>
      </w:r>
    </w:p>
    <w:p w14:paraId="7496BCD8" w14:textId="77777777" w:rsidR="002D463A" w:rsidRPr="003D2D46" w:rsidRDefault="002D463A" w:rsidP="00580A15">
      <w:pPr>
        <w:spacing w:line="480" w:lineRule="auto"/>
        <w:jc w:val="both"/>
        <w:rPr>
          <w:rFonts w:ascii="Times New Roman" w:eastAsia="Calibri" w:hAnsi="Times New Roman" w:cs="Times New Roman"/>
          <w:color w:val="000000" w:themeColor="text1"/>
        </w:rPr>
      </w:pPr>
    </w:p>
    <w:p w14:paraId="55D79FF5" w14:textId="77777777" w:rsidR="002D463A" w:rsidRPr="003D2D46" w:rsidRDefault="005529ED" w:rsidP="00AC2C5D">
      <w:pPr>
        <w:pStyle w:val="Heading41111"/>
        <w:spacing w:line="480" w:lineRule="auto"/>
        <w:rPr>
          <w:rFonts w:eastAsia="Calibri" w:cs="Times New Roman"/>
          <w:color w:val="000000" w:themeColor="text1"/>
        </w:rPr>
      </w:pPr>
      <w:bookmarkStart w:id="138" w:name="_Toc82445545"/>
      <w:bookmarkStart w:id="139" w:name="_Toc87797108"/>
      <w:r w:rsidRPr="003D2D46">
        <w:rPr>
          <w:rFonts w:eastAsia="Calibri" w:cs="Times New Roman"/>
          <w:color w:val="000000" w:themeColor="text1"/>
        </w:rPr>
        <w:t>3</w:t>
      </w:r>
      <w:r w:rsidR="00A0580F" w:rsidRPr="003D2D46">
        <w:rPr>
          <w:rFonts w:eastAsia="Calibri" w:cs="Times New Roman"/>
          <w:color w:val="000000" w:themeColor="text1"/>
        </w:rPr>
        <w:t>.</w:t>
      </w:r>
      <w:r w:rsidR="000D1486" w:rsidRPr="003D2D46">
        <w:rPr>
          <w:rFonts w:eastAsia="Calibri" w:cs="Times New Roman"/>
          <w:color w:val="000000" w:themeColor="text1"/>
        </w:rPr>
        <w:t>6</w:t>
      </w:r>
      <w:r w:rsidR="00A0580F" w:rsidRPr="003D2D46">
        <w:rPr>
          <w:rFonts w:eastAsia="Calibri" w:cs="Times New Roman"/>
          <w:color w:val="000000" w:themeColor="text1"/>
        </w:rPr>
        <w:t xml:space="preserve">.1 </w:t>
      </w:r>
      <w:r w:rsidR="002D463A" w:rsidRPr="003D2D46">
        <w:rPr>
          <w:rFonts w:eastAsia="Calibri" w:cs="Times New Roman"/>
          <w:color w:val="000000" w:themeColor="text1"/>
        </w:rPr>
        <w:t>Dunning-Kruger, Knowledge, and Vaccine Hesitancy</w:t>
      </w:r>
      <w:bookmarkEnd w:id="138"/>
      <w:bookmarkEnd w:id="139"/>
    </w:p>
    <w:p w14:paraId="4C204CA6" w14:textId="69D22D1D" w:rsidR="002D463A" w:rsidRPr="003D2D46" w:rsidRDefault="002D463A" w:rsidP="00580A15">
      <w:pPr>
        <w:spacing w:line="480" w:lineRule="auto"/>
        <w:jc w:val="both"/>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An important finding in our study was that participants that perceived their knowledge of pertussis and vaccination as high did not, in fact, have high knowledge of those topics. This cognitive phenomenon is known as the Dunning-Kruger effect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{"citationItems":[{"id":"ITEM-1","itemData":{"DOI":"10.1016/B978-0-12-385522-0.00005-6","ISBN":"9780123855220","author":[{"dropping-particle":"","family":"Dunning","given":"David","non-dropping-particle":"","parse-names":false,"suffix":""}],"container-title":"Advances in Experimental Social Psychology","id":"ITEM-1","issued":{"date-parts":[["2011"]]},"page":"247-296","title":"The Dunning–Kruger Effect: On Being Ignorant of One’s Own Ignorance","type":"article-journal","volume":"44"},"uris":["http://www.mendeley.com/documents/?uuid=63e69469-6c12-39e8-aa32-12a2148cdc83","http://www.mendeley.com/documents/?uuid=e583c090-ae72-4279-958c-29de9b63d93e","http://www.mendeley.com/documents/?uuid=6c0610b2-926d-4638-b1f5-f0763634aece"]}],"mendeley":{"formattedCitation":"(Dunning, 2011)","plainTextFormattedCitation":"(Dunning, 2011)","previouslyFormattedCitation":"(Dunning, 2011)"},"properties":{"noteIndex":0},"schema":"https://github.com/citation-style-language/schema/raw/master/csl-citation.json"}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(Dunning, 2011)</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These participants were more likely to cite non-academic, non-peer-reviewed, or vague sources of information when attributing facts. Our participants who demonstrated the most confidence in their knowledge of pertussis and vaccination and their associated risks were also the most likely to be incorrect about pertussis risk factors and vaccination side effects. These participants were also the most vaccine hesitant. Motta and colleagues (2018) propose that vaccine receipt and vaccination policy ideas are influenced by the Dunning-Kruger effect, a cognitive bias that results from an overconfidence and assessment of their </w:t>
      </w:r>
      <w:r w:rsidRPr="003D2D46">
        <w:rPr>
          <w:rFonts w:ascii="Times New Roman" w:eastAsia="Calibri" w:hAnsi="Times New Roman" w:cs="Times New Roman"/>
          <w:color w:val="000000" w:themeColor="text1"/>
        </w:rPr>
        <w:lastRenderedPageBreak/>
        <w:t xml:space="preserve">own knowledge regarding a subject as higher than it truly is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{"citationItems":[{"id":"ITEM-1","itemData":{"DOI":"10.1016/B978-0-12-385522-0.00005-6","ISBN":"9780123855220","author":[{"dropping-particle":"","family":"Dunning","given":"David","non-dropping-particle":"","parse-names":false,"suffix":""}],"container-title":"Advances in Experimental Social Psychology","id":"ITEM-1","issued":{"date-parts":[["2011"]]},"page":"247-296","title":"The Dunning–Kruger Effect: On Being Ignorant of One’s Own Ignorance","type":"article-journal","volume":"44"},"uris":["http://www.mendeley.com/documents/?uuid=6c0610b2-926d-4638-b1f5-f0763634aece","http://www.mendeley.com/documents/?uuid=e583c090-ae72-4279-958c-29de9b63d93e","http://www.mendeley.com/documents/?uuid=63e69469-6c12-39e8-aa32-12a2148cdc83"]}],"mendeley":{"formattedCitation":"(Dunning, 2011)","plainTextFormattedCitation":"(Dunning, 2011)","previouslyFormattedCitation":"(Dunning, 2011)"},"properties":{"noteIndex":0},"schema":"https://github.com/citation-style-language/schema/raw/master/csl-citation.json"}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(Dunning, 2011)</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Fred is an excellent example of this phenomenon—they offered what they considered factual knowledge about vaccinations and pertussis with confidence (“The flu makes a new strand every time they come out with a new vaccine”), referred to the information sources they utilized and thought them trustworthy (“IFL Science and New Scientist…I try to go with more credible sources.”), and had major concerns about vaccinating their children (“How much can your auto-immune system take? Is that something that you should really be pushing with your children’s health?”). Fred’s overconfidence in their own knowledge of pertussis, vaccination, and biology is not unusual in vaccine-hesitant or vaccine-refusing parents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{"citationItems":[{"id":"ITEM-1","itemData":{"DOI":"10.1016/j.socscimed.2018.06.032","ISSN":"18735347","abstract":"Objective: Although the benefits of vaccines are widely recognized by medical experts, public opinion about vaccination policies is mixed. We analyze public opinion about vaccination policies to assess whether Dunning-Kruger effects can help to explain anti-vaccination policy attitudes. Rationale: People low in autism awareness – that is, the knowledge of basic facts and dismissal of misinformation about autism – should be the most likely to think that they are better informed than medical experts about the causes of autism (a Dunning-Kruger effect). This “overconfidence” should be associated with decreased support for mandatory vaccination policies and skepticism about the role that medical professionals play in the policymaking process. Method: In an original survey of U.S. adults (N = 1310), we modeled self-reported overconfidence as a function of responses to a knowledge test about the causes of autism, and the endorsement of misinformation about a link between vaccines and autism. We then modeled anti-vaccination policy support and attitudes toward the role that experts play in the policymaking process as a function of overconfidence and the autism awareness indicators while controlling for potential confounding factors. Results: More than a third of respondents in our sample thought that they knew as much or more than doctors (36%) and scientists (34%) about the causes of autism. Our analysis indicates that this overconfidence is highest among those with low levels of knowledge about the causes of autism and those with high levels of misinformation endorsement. Further, our results suggest that this overconfidence is associated with opposition to mandatory vaccination policy. Overconfidence is also associated with increased support for the role that non-experts (e.g., celebrities) play in the policymaking process. Conclusion: Dunning-Kruger effects can help to explain public opposition to vaccination policies and should be carefully considered in future research on anti-vaccine policy attitudes.","author":[{"dropping-particle":"","family":"Motta","given":"Matthew","non-dropping-particle":"","parse-names":false,"suffix":""},{"dropping-particle":"","family":"Callaghan","given":"Timothy","non-dropping-particle":"","parse-names":false,"suffix":""},{"dropping-particle":"","family":"Sylvester","given":"Steven","non-dropping-particle":"","parse-names":false,"suffix":""}],"container-title":"Social Science and Medicine","id":"ITEM-1","issue":"June","issued":{"date-parts":[["2018"]]},"page":"274-281","publisher":"Elsevier","title":"Knowing less but presuming more: Dunning-Kruger effects and the endorsement of anti-vaccine policy attitudes","type":"article-journal","volume":"211"},"uris":["http://www.mendeley.com/documents/?uuid=050c212e-8da8-4dec-a51c-3abe99dcb728","http://www.mendeley.com/documents/?uuid=45c1b7f5-2f67-45f8-b2af-2b86cfdc8058","http://www.mendeley.com/documents/?uuid=82e9c61b-5c21-4438-8c4e-91303fdc34dd"]}],"mendeley":{"formattedCitation":"(Motta, Callaghan &amp; Sylvester, 2018)","plainTextFormattedCitation":"(Motta, Callaghan &amp; Sylvester, 2018)","previouslyFormattedCitation":"(Motta, Callaghan &amp; Sylvester, 2018)"},"properties":{"noteIndex":0},"schema":"https://github.com/citation-style-language/schema/raw/master/csl-citation.json"}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0C1FD1" w:rsidRPr="003D2D46">
        <w:rPr>
          <w:rFonts w:ascii="Times New Roman" w:eastAsia="Calibri" w:hAnsi="Times New Roman" w:cs="Times New Roman"/>
          <w:noProof/>
          <w:color w:val="000000" w:themeColor="text1"/>
        </w:rPr>
        <w:t>(Motta, Callaghan &amp; Sylvester, 2018)</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w:t>
      </w:r>
    </w:p>
    <w:p w14:paraId="0E29638F" w14:textId="77777777" w:rsidR="002D463A" w:rsidRPr="003D2D46" w:rsidRDefault="002D463A" w:rsidP="00580A15">
      <w:pPr>
        <w:spacing w:line="480" w:lineRule="auto"/>
        <w:jc w:val="both"/>
        <w:rPr>
          <w:rFonts w:ascii="Times New Roman" w:eastAsia="Calibri" w:hAnsi="Times New Roman" w:cs="Times New Roman"/>
          <w:color w:val="000000" w:themeColor="text1"/>
        </w:rPr>
      </w:pPr>
    </w:p>
    <w:p w14:paraId="64DD23F6" w14:textId="6A933976" w:rsidR="002D463A" w:rsidRPr="003D2D46" w:rsidRDefault="002D463A" w:rsidP="00580A15">
      <w:pPr>
        <w:spacing w:line="480" w:lineRule="auto"/>
        <w:jc w:val="both"/>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Participants that shared concerns about side effects or consequences of vaccination but who were not as confident in their knowledge reported following the professional recommendations of the medical community. </w:t>
      </w:r>
      <w:r w:rsidRPr="003D2D46">
        <w:rPr>
          <w:rFonts w:ascii="Times New Roman" w:hAnsi="Times New Roman" w:cs="Times New Roman"/>
          <w:color w:val="000000" w:themeColor="text1"/>
        </w:rPr>
        <w:t xml:space="preserve">David admitted that while they “didn’t know much about vaccines,” and “were more on the disbelief side and with the belief that there might be some link to autism,” they ultimately vaccinated their children at their physician’s recommendation. Vaccinating despite being uncertain about health or other outcomes is common in vaccine-hesitant parents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{"citationItems":[{"id":"ITEM-1","itemData":{"DOI":"10.1016/j.vaccine.2017.09.088","ISSN":"18732518","abstract":"Objective: Some parents are hesitant about vaccines and yet still vaccinate their children. Vaccine behaviours are not fixed and parents who are concerned but nonetheless adherent to standard schedules could switch to an unconventional schedule, delaying or cherry-picking vaccines. There is a need to better understand vaccine hesitancy in specific contexts, acknowledging cultural and geographical variation, to ensure interventions targeting hesitancy are well directed and received. Methods: To identify the behaviours, knowledge and attitudes of ‘hesitant compliers’ in Perth, Western Australia, nine one-on-one in-depth interviews were conducted with vaccinating parents of children (&lt;5 years) who were identified as being hesitant. Interview transcripts were analysed qualitatively and themes developed inductively, following a constructivist paradigm. Results: Parents saw vaccination as important for themselves and their community, despite their limited knowledge of vaccine preventable diseases. Parents reported concerns about potential side effects, and worried about the safety of the measles-mumps-rubella (MMR) and seasonal influenza vaccines. Concerned about the role of anti-vaccination information in the community, some sought to isolate themselves from parents who did not vaccinate, although others were concerned that this could entrench non-vaccinators’ behaviours. Parents’ views were all underlaid by two pivotal ‘vaccine-related events’ that had occurred in the community: the severe injury of a baby from seasonal influenza vaccination in 2010, and the death of a baby from whooping cough in 2015. Conclusions: Parents interpreted pivotal vaccine-related events in the community as requiring them to take personal responsibility for vaccine decisions. Their reports of continued vaccine fears (evident in international studies in recent decades) demonstrate that vaccine scares have long lasting effects. With vaccine rates high and stable, current strategies appear to be have little impact on addressing parental vaccine concerns. Further research is required to determine the prevalence of hesitancy amongst vaccinating parents and identify critical points for intervention.","author":[{"dropping-particle":"","family":"Enkel","given":"Stephanie L.","non-dropping-particle":"","parse-names":false,"suffix":""},{"dropping-particle":"","family":"Attwell","given":"Katie","non-dropping-particle":"","parse-names":false,"suffix":""},{"dropping-particle":"","family":"Snelling","given":"Thomas L.","non-dropping-particle":"","parse-names":false,"suffix":""},{"dropping-particle":"","family":"Christian","given":"Hayley E.","non-dropping-particle":"","parse-names":false,"suffix":""}],"container-title":"Vaccine","id":"ITEM-1","issue":"44","issued":{"date-parts":[["2018"]]},"page":"6459-6463","publisher":"Elsevier Ltd","title":"‘Hesitant compliers’: Qualitative analysis of concerned fully-vaccinating parents","type":"article-journal","volume":"36"},"uris":["http://www.mendeley.com/documents/?uuid=821e3b10-d154-4b10-943d-59bbce656161","http://www.mendeley.com/documents/?uuid=db63a3d2-0161-43a0-bd08-9a71df06935c","http://www.mendeley.com/documents/?uuid=c4e191e4-8994-475e-9257-81455462ddff"]}],"mendeley":{"formattedCitation":"(Enkel et al., 2018)","plainTextFormattedCitation":"(Enkel et al., 2018)","previouslyFormattedCitation":"(Enkel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(Enkel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2B98B5B" w14:textId="77777777" w:rsidR="002D463A" w:rsidRPr="003D2D46" w:rsidRDefault="002D463A" w:rsidP="00580A15">
      <w:pPr>
        <w:spacing w:line="480" w:lineRule="auto"/>
        <w:jc w:val="both"/>
        <w:rPr>
          <w:rFonts w:ascii="Times New Roman" w:eastAsia="Calibri" w:hAnsi="Times New Roman" w:cs="Times New Roman"/>
          <w:color w:val="000000" w:themeColor="text1"/>
        </w:rPr>
      </w:pPr>
    </w:p>
    <w:p w14:paraId="668AA9A9" w14:textId="55B0C042" w:rsidR="002D463A" w:rsidRPr="003D2D46" w:rsidRDefault="002D463A" w:rsidP="00580A15">
      <w:pPr>
        <w:spacing w:line="480" w:lineRule="auto"/>
        <w:rPr>
          <w:rFonts w:ascii="Times New Roman" w:eastAsia="Calibri" w:hAnsi="Times New Roman" w:cs="Times New Roman"/>
          <w:iCs/>
          <w:color w:val="000000" w:themeColor="text1"/>
        </w:rPr>
      </w:pPr>
      <w:r w:rsidRPr="003D2D46">
        <w:rPr>
          <w:rFonts w:ascii="Times New Roman" w:eastAsia="Calibri" w:hAnsi="Times New Roman" w:cs="Times New Roman"/>
          <w:iCs/>
          <w:color w:val="000000" w:themeColor="text1"/>
        </w:rPr>
        <w:t xml:space="preserve">Finally, participants that admitted their lack of knowledge regarding pertussis or vaccination, such as Casey, who at one point in our conversation asked, “is there a vaccine for pertussis?”, were fully vaccinated and did not express any concerns that </w:t>
      </w:r>
      <w:r w:rsidRPr="003D2D46">
        <w:rPr>
          <w:rFonts w:ascii="Times New Roman" w:eastAsia="Calibri" w:hAnsi="Times New Roman" w:cs="Times New Roman"/>
          <w:iCs/>
          <w:color w:val="000000" w:themeColor="text1"/>
        </w:rPr>
        <w:lastRenderedPageBreak/>
        <w:t>would prevent them from getting a vaccine.</w:t>
      </w:r>
      <w:r w:rsidR="008B2D6A" w:rsidRPr="003D2D46">
        <w:rPr>
          <w:rFonts w:ascii="Times New Roman" w:eastAsia="Calibri" w:hAnsi="Times New Roman" w:cs="Times New Roman"/>
          <w:iCs/>
          <w:color w:val="000000" w:themeColor="text1"/>
        </w:rPr>
        <w:t xml:space="preserve"> </w:t>
      </w:r>
      <w:r w:rsidRPr="003D2D46">
        <w:rPr>
          <w:rFonts w:ascii="Times New Roman" w:eastAsia="Calibri" w:hAnsi="Times New Roman" w:cs="Times New Roman"/>
          <w:iCs/>
          <w:color w:val="000000" w:themeColor="text1"/>
        </w:rPr>
        <w:t xml:space="preserve">This spectrum of knowledge confidence and outcomes seen in our participants echoes the hypothesis that overconfidence in one’s own knowledge about vaccines is consistent with high hesitancy </w:t>
      </w:r>
      <w:r w:rsidRPr="003D2D46">
        <w:rPr>
          <w:rFonts w:ascii="Times New Roman" w:eastAsia="Calibri" w:hAnsi="Times New Roman" w:cs="Times New Roman"/>
          <w:iCs/>
          <w:color w:val="000000" w:themeColor="text1"/>
        </w:rPr>
        <w:fldChar w:fldCharType="begin" w:fldLock="1"/>
      </w:r>
      <w:r w:rsidR="00476116" w:rsidRPr="003D2D46">
        <w:rPr>
          <w:rFonts w:ascii="Times New Roman" w:eastAsia="Calibri" w:hAnsi="Times New Roman" w:cs="Times New Roman"/>
          <w:iCs/>
          <w:color w:val="000000" w:themeColor="text1"/>
        </w:rPr>
        <w:instrText>ADDIN CSL_CITATION {"citationItems":[{"id":"ITEM-1","itemData":{"DOI":"10.1016/j.socscimed.2018.06.032","ISSN":"18735347","abstract":"Objective: Although the benefits of vaccines are widely recognized by medical experts, public opinion about vaccination policies is mixed. We analyze public opinion about vaccination policies to assess whether Dunning-Kruger effects can help to explain anti-vaccination policy attitudes. Rationale: People low in autism awareness – that is, the knowledge of basic facts and dismissal of misinformation about autism – should be the most likely to think that they are better informed than medical experts about the causes of autism (a Dunning-Kruger effect). This “overconfidence” should be associated with decreased support for mandatory vaccination policies and skepticism about the role that medical professionals play in the policymaking process. Method: In an original survey of U.S. adults (N = 1310), we modeled self-reported overconfidence as a function of responses to a knowledge test about the causes of autism, and the endorsement of misinformation about a link between vaccines and autism. We then modeled anti-vaccination policy support and attitudes toward the role that experts play in the policymaking process as a function of overconfidence and the autism awareness indicators while controlling for potential confounding factors. Results: More than a third of respondents in our sample thought that they knew as much or more than doctors (36%) and scientists (34%) about the causes of autism. Our analysis indicates that this overconfidence is highest among those with low levels of knowledge about the causes of autism and those with high levels of misinformation endorsement. Further, our results suggest that this overconfidence is associated with opposition to mandatory vaccination policy. Overconfidence is also associated with increased support for the role that non-experts (e.g., celebrities) play in the policymaking process. Conclusion: Dunning-Kruger effects can help to explain public opposition to vaccination policies and should be carefully considered in future research on anti-vaccine policy attitudes.","author":[{"dropping-particle":"","family":"Motta","given":"Matthew","non-dropping-particle":"","parse-names":false,"suffix":""},{"dropping-particle":"","family":"Callaghan","given":"Timothy","non-dropping-particle":"","parse-names":false,"suffix":""},{"dropping-particle":"","family":"Sylvester","given":"Steven","non-dropping-particle":"","parse-names":false,"suffix":""}],"container-title":"Social Science and Medicine","id":"ITEM-1","issue":"June","issued":{"date-parts":[["2018"]]},"page":"274-281","publisher":"Elsevier","title":"Knowing less but presuming more: Dunning-Kruger effects and the endorsement of anti-vaccine policy attitudes","type":"article-journal","volume":"211"},"uris":["http://www.mendeley.com/documents/?uuid=82e9c61b-5c21-4438-8c4e-91303fdc34dd","http://www.mendeley.com/documents/?uuid=45c1b7f5-2f67-45f8-b2af-2b86cfdc8058","http://www.mendeley.com/documents/?uuid=050c212e-8da8-4dec-a51c-3abe99dcb728"]}],"mendeley":{"formattedCitation":"(Motta, Callaghan &amp; Sylvester, 2018)","plainTextFormattedCitation":"(Motta, Callaghan &amp; Sylvester, 2018)","previouslyFormattedCitation":"(Motta, Callaghan &amp; Sylvester, 2018)"},"properties":{"noteIndex":0},"schema":"https://github.com/citation-style-language/schema/raw/master/csl-citation.json"}</w:instrText>
      </w:r>
      <w:r w:rsidRPr="003D2D46">
        <w:rPr>
          <w:rFonts w:ascii="Times New Roman" w:eastAsia="Calibri" w:hAnsi="Times New Roman" w:cs="Times New Roman"/>
          <w:iCs/>
          <w:color w:val="000000" w:themeColor="text1"/>
        </w:rPr>
        <w:fldChar w:fldCharType="separate"/>
      </w:r>
      <w:r w:rsidR="000C1FD1" w:rsidRPr="003D2D46">
        <w:rPr>
          <w:rFonts w:ascii="Times New Roman" w:eastAsia="Calibri" w:hAnsi="Times New Roman" w:cs="Times New Roman"/>
          <w:iCs/>
          <w:noProof/>
          <w:color w:val="000000" w:themeColor="text1"/>
        </w:rPr>
        <w:t>(Motta, Callaghan &amp; Sylvester, 2018)</w:t>
      </w:r>
      <w:r w:rsidRPr="003D2D46">
        <w:rPr>
          <w:rFonts w:ascii="Times New Roman" w:eastAsia="Calibri" w:hAnsi="Times New Roman" w:cs="Times New Roman"/>
          <w:iCs/>
          <w:color w:val="000000" w:themeColor="text1"/>
        </w:rPr>
        <w:fldChar w:fldCharType="end"/>
      </w:r>
      <w:r w:rsidRPr="003D2D46">
        <w:rPr>
          <w:rFonts w:ascii="Times New Roman" w:eastAsia="Calibri" w:hAnsi="Times New Roman" w:cs="Times New Roman"/>
          <w:iCs/>
          <w:color w:val="000000" w:themeColor="text1"/>
        </w:rPr>
        <w:t xml:space="preserve">. </w:t>
      </w:r>
    </w:p>
    <w:p w14:paraId="709B9D3F" w14:textId="77777777" w:rsidR="002D463A" w:rsidRPr="003D2D46" w:rsidRDefault="002D463A" w:rsidP="00580A15">
      <w:pPr>
        <w:spacing w:line="480" w:lineRule="auto"/>
        <w:rPr>
          <w:rFonts w:ascii="Times New Roman" w:eastAsia="Calibri" w:hAnsi="Times New Roman" w:cs="Times New Roman"/>
          <w:iCs/>
          <w:color w:val="000000" w:themeColor="text1"/>
        </w:rPr>
      </w:pPr>
    </w:p>
    <w:p w14:paraId="1CEC6676" w14:textId="77777777" w:rsidR="002D463A" w:rsidRPr="003D2D46" w:rsidRDefault="005529ED" w:rsidP="004F499F">
      <w:pPr>
        <w:pStyle w:val="Heading41111"/>
        <w:spacing w:line="480" w:lineRule="auto"/>
        <w:rPr>
          <w:rFonts w:eastAsia="Calibri" w:cs="Times New Roman"/>
          <w:color w:val="000000" w:themeColor="text1"/>
        </w:rPr>
      </w:pPr>
      <w:bookmarkStart w:id="140" w:name="_Toc15631258"/>
      <w:bookmarkStart w:id="141" w:name="_Toc82445546"/>
      <w:bookmarkStart w:id="142" w:name="_Toc87797109"/>
      <w:r w:rsidRPr="003D2D46">
        <w:rPr>
          <w:rFonts w:eastAsia="Calibri" w:cs="Times New Roman"/>
          <w:color w:val="000000" w:themeColor="text1"/>
        </w:rPr>
        <w:t>3</w:t>
      </w:r>
      <w:r w:rsidR="00A0580F" w:rsidRPr="003D2D46">
        <w:rPr>
          <w:rFonts w:eastAsia="Calibri" w:cs="Times New Roman"/>
          <w:color w:val="000000" w:themeColor="text1"/>
        </w:rPr>
        <w:t>.</w:t>
      </w:r>
      <w:r w:rsidR="000D1486" w:rsidRPr="003D2D46">
        <w:rPr>
          <w:rFonts w:eastAsia="Calibri" w:cs="Times New Roman"/>
          <w:color w:val="000000" w:themeColor="text1"/>
        </w:rPr>
        <w:t>6</w:t>
      </w:r>
      <w:r w:rsidR="00A0580F" w:rsidRPr="003D2D46">
        <w:rPr>
          <w:rFonts w:eastAsia="Calibri" w:cs="Times New Roman"/>
          <w:color w:val="000000" w:themeColor="text1"/>
        </w:rPr>
        <w:t xml:space="preserve">.2 </w:t>
      </w:r>
      <w:r w:rsidR="002D463A" w:rsidRPr="003D2D46">
        <w:rPr>
          <w:rFonts w:eastAsia="Calibri" w:cs="Times New Roman"/>
          <w:color w:val="000000" w:themeColor="text1"/>
        </w:rPr>
        <w:t>Social and Familial Group Influence</w:t>
      </w:r>
      <w:bookmarkEnd w:id="140"/>
      <w:bookmarkEnd w:id="141"/>
      <w:bookmarkEnd w:id="142"/>
    </w:p>
    <w:p w14:paraId="4FBEE473" w14:textId="78CC95CA" w:rsidR="002D463A" w:rsidRPr="003D2D46" w:rsidRDefault="002D463A"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Many participants reported that family and friends significantly contributed to their vaccination beliefs and decisions to get a vaccine for themselves, particularly when considering vaccinating their children. Rosemary and Fred mentioned that they got their kids their pertussis vaccine because Fred’s mother “encouraged us to do it” and that “some friends that had kids said so.” Another participant reported that they had not considered not vaccinating their child until a family member suggested that they should not. At that point, the participant reported becoming concerned about vaccines and their side effects, citing the difficulty of understanding the information about vaccines and deciding what resources could be trusted. Ultimately, they did decide to vaccine their children, but the participant reported that it caused a great deal of anxiety. These findings are consistent with previous literature that suggests that social networks play a significant role in vaccination decision-making for parents </w:t>
      </w:r>
      <w:r w:rsidRPr="003D2D46">
        <w:rPr>
          <w:rFonts w:ascii="Times New Roman" w:eastAsia="Calibri" w:hAnsi="Times New Roman" w:cs="Times New Roman"/>
          <w:color w:val="000000" w:themeColor="text1"/>
        </w:rPr>
        <w:fldChar w:fldCharType="begin" w:fldLock="1"/>
      </w:r>
      <w:r w:rsidR="00476116" w:rsidRPr="003D2D46">
        <w:rPr>
          <w:rFonts w:ascii="Times New Roman" w:eastAsia="Calibri" w:hAnsi="Times New Roman" w:cs="Times New Roman"/>
          <w:color w:val="000000" w:themeColor="text1"/>
        </w:rPr>
        <w:instrText>ADDIN CSL_CITATION {"citationItems":[{"id":"ITEM-1","itemData":{"DOI":"10.1542/peds.2012-2452","ISSN":"10984275","PMID":"23589813","abstract":"BACKGROUND AND OBJECTIVE: Parents decide whether their children are vaccinated, but they rarely reach these decisions on their own. Instead parents are in fluenced by their social networks, broadly defined as the people and sources they go to for information, direction, and advice. This study used social network analysis to formally examine parents' social networks (people networks and source networks) related to their vaccination decision-making. In addition to providing descriptions of typical networks of parents who conform to the recommended vaccination schedule (conformers) and those who do not (nonconformers), this study also quantified the effect of network variables on parents' vaccination choices. METHODS: This study took place in King County, Washington. Participation was limited to US-born, fi rst-time parents with children aged ≤18 months. Data were collected via an online survey. Logistic regression was used to analyze the resulting data. RESULTS: One hundred twenty-six conformers and 70 nonconformers completed the survey. Although people networks were reported by 95% of parents in both groups, nonconformers were significantly more likely to report source networks (100% vs 80%, P &lt; .001). Model comparisons of parent, people, and source network characteristics indicated that people network variables were better predictors of parents' vaccination choices than parents' own characteristics or the characteristics of their source networks. In fact, the variable most predictive of parents' vaccination decisions was the percent of parents' people networks recommending nonconformity. CONCLUSIONS: These results strongly suggest that social networks, and particularly parents' people networks, play an important role in parents' vaccination decision-making. Copyright © 2013 by the American Academy of Pediatrics.","author":[{"dropping-particle":"","family":"Brunson","given":"Emily K.","non-dropping-particle":"","parse-names":false,"suffix":""}],"container-title":"Pediatrics","id":"ITEM-1","issue":"5","issued":{"date-parts":[["2013"]]},"publisher":"American Academy of Pediatrics","title":"The impact of social networks on parents' vaccination decisions","type":"article-journal","volume":"131"},"uris":["http://www.mendeley.com/documents/?uuid=f5cd3caa-d3ed-3666-91ca-a6273f0988c6","http://www.mendeley.com/documents/?uuid=384f6587-6d46-4512-9628-a12746cbe44f","http://www.mendeley.com/documents/?uuid=c47f1a56-de3c-46b7-80f8-8f2c3dbc5802"]}],"mendeley":{"formattedCitation":"(Brunson, 2013)","plainTextFormattedCitation":"(Brunson, 2013)","previouslyFormattedCitation":"(Brunson, 2013)"},"properties":{"noteIndex":0},"schema":"https://github.com/citation-style-language/schema/raw/master/csl-citation.json"}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(Brunson, 2013)</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Acknowledging the impact that family and friends’ attitudes have on the development of vaccine attitudes may be useful when developing public health initiatives to address vaccination hesitancy. </w:t>
      </w:r>
    </w:p>
    <w:p w14:paraId="694EEAD0" w14:textId="6D551656" w:rsidR="002D463A"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Unfortunately, we were unable to recruit any participants who reported being wholly anti-vaccination despite purposive recruitment efforts. The purposive methodology used </w:t>
      </w:r>
      <w:r w:rsidRPr="003D2D46">
        <w:rPr>
          <w:rFonts w:ascii="Times New Roman" w:hAnsi="Times New Roman" w:cs="Times New Roman"/>
          <w:color w:val="000000" w:themeColor="text1"/>
        </w:rPr>
        <w:lastRenderedPageBreak/>
        <w:t xml:space="preserve">(posting invitations to participate in an anti-vaccination Facebook group) allowed us to access a large anti-vaccination group in the study area but no members agreed to participate. We expect that this is the result of other cultural and ideological factors shared by this population. It is possible that the anti-vaccination group shares a reluctance to participate with other hard-to-reach populations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{"citationItems":[{"id":"ITEM-1","itemData":{"DOI":"10.1016/j.vaccine.2019.06.081","ISSN":"18732518","abstract":"Extending the benefits of vaccination to everyone who is eligible requires an understanding of which populations current vaccination efforts have struggled to reach. A clear definition of “hard-to-reach” populations – also known as high-risk or marginalized populations, or reaching the last mile – is essential for estimating the size of target groups, sharing lessons learned based on consistent definitions, and allocating resources appropriately. A literature review was conducted to determine what formal definitions of hard-to-reach populations exist and how they are being used, and to propose definitions to consider for future use. Overall, we found that (1) there is a need to distinguish populations that are hard to reach versus hard to vaccinate, and (2) the existing literature poorly defined these populations and clear criteria or thresholds for classifying them were missing. Based on this review, we propose that hard-to-reach populations be defined as those facing supply-side barriers to vaccination due to geography by distance or terrain, transient or nomadic movement, healthcare provider discrimination, lack of healthcare provider recommendations, inadequate vaccination systems, war and conflict, home births or other home-bound mobility limitations, or legal restrictions. Although multiple mechanisms may apply to the same population, supply-side barriers should be distinguished from demand-side barriers. Hard-to-vaccinate populations are defined as those who are reachable but difficult to vaccinate due to distrust, religious beliefs, lack of awareness of vaccine benefits and recommendations, poverty or low socioeconomic status, lack of time to access available vaccination services, or gender-based discrimination. Further work is needed to better define hard-to-reach populations and delineate them from populations that may be hard to vaccinate due to complex refusal reasons, improve measurement of the size and importance of their impact, and examine interventions related to overcoming barriers for each mechanism. This will enable policy makers, governments, donors, and the vaccine community to better plan interventions and allocate necessary resources to remove existing barriers to vaccination.","author":[{"dropping-particle":"","family":"Ozawa","given":"Sachiko","non-dropping-particle":"","parse-names":false,"suffix":""},{"dropping-particle":"","family":"Yemeke","given":"Tatenda T.","non-dropping-particle":"","parse-names":false,"suffix":""},{"dropping-particle":"","family":"Evans","given":"Daniel R.","non-dropping-particle":"","parse-names":false,"suffix":""},{"dropping-particle":"","family":"Pallas","given":"Sarah E.","non-dropping-particle":"","parse-names":false,"suffix":""},{"dropping-particle":"","family":"Wallace","given":"Aaron S.","non-dropping-particle":"","parse-names":false,"suffix":""},{"dropping-particle":"","family":"Lee","given":"Bruce Y.","non-dropping-particle":"","parse-names":false,"suffix":""}],"container-title":"Vaccine","id":"ITEM-1","issue":"37","issued":{"date-parts":[["2019","9"]]},"page":"5525-5534","publisher":"Elsevier Ltd","title":"Defining hard-to-reach populations for vaccination","type":"article","volume":"37"},"uris":["http://www.mendeley.com/documents/?uuid=1f4b539a-6ef2-3d55-a3a1-759dabaa3a5f","http://www.mendeley.com/documents/?uuid=94ca9000-9f79-4e11-858a-35a8f7cc3d68","http://www.mendeley.com/documents/?uuid=f18ec177-7a9f-40bd-bd73-075041960c9c"]}],"mendeley":{"formattedCitation":"(Ozawa et al., 2019)","plainTextFormattedCitation":"(Ozawa et al., 2019)","previouslyFormattedCitation":"(Ozawa et al.,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(Ozawa et al.,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Anti-vaccination attitudes are not the mainstream ideology and it is possible that people who hold anti-vaccination beliefs may feel persecuted or unable to safely share their thoughts. Threat of social consequences, specifically concerns over child protective services being called, have been expressed in social media posts as a barrier to participation of anti-vaccine parents. </w:t>
      </w:r>
    </w:p>
    <w:p w14:paraId="13932201" w14:textId="77777777" w:rsidR="002D463A" w:rsidRPr="003D2D46" w:rsidRDefault="002D463A" w:rsidP="00580A15">
      <w:pPr>
        <w:spacing w:line="480" w:lineRule="auto"/>
        <w:rPr>
          <w:rFonts w:ascii="Times New Roman" w:hAnsi="Times New Roman" w:cs="Times New Roman"/>
          <w:color w:val="000000" w:themeColor="text1"/>
        </w:rPr>
      </w:pPr>
    </w:p>
    <w:p w14:paraId="31E8C665" w14:textId="4B58D59A" w:rsidR="002D43E9" w:rsidRPr="003D2D46" w:rsidRDefault="002D463A"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Our research did not identify any attitudinal barriers to pertussis vaccination </w:t>
      </w:r>
      <w:r w:rsidR="00F451CB" w:rsidRPr="003D2D46">
        <w:rPr>
          <w:rFonts w:ascii="Times New Roman" w:hAnsi="Times New Roman" w:cs="Times New Roman"/>
          <w:color w:val="000000" w:themeColor="text1"/>
        </w:rPr>
        <w:t>specifically</w:t>
      </w:r>
      <w:r w:rsidRPr="003D2D46">
        <w:rPr>
          <w:rFonts w:ascii="Times New Roman" w:hAnsi="Times New Roman" w:cs="Times New Roman"/>
          <w:color w:val="000000" w:themeColor="text1"/>
        </w:rPr>
        <w:t xml:space="preserve">. A lack of awareness of the vaccine was common amongst our participants, with 73% of participants unsure if they were vaccinated against pertussis or not. Participants that were aware of their </w:t>
      </w:r>
      <w:r w:rsidR="00F451CB" w:rsidRPr="003D2D46">
        <w:rPr>
          <w:rFonts w:ascii="Times New Roman" w:hAnsi="Times New Roman" w:cs="Times New Roman"/>
          <w:color w:val="000000" w:themeColor="text1"/>
        </w:rPr>
        <w:t xml:space="preserve">pertussis </w:t>
      </w:r>
      <w:r w:rsidRPr="003D2D46">
        <w:rPr>
          <w:rFonts w:ascii="Times New Roman" w:hAnsi="Times New Roman" w:cs="Times New Roman"/>
          <w:color w:val="000000" w:themeColor="text1"/>
        </w:rPr>
        <w:t xml:space="preserve">vaccination status </w:t>
      </w:r>
      <w:r w:rsidR="00F451CB" w:rsidRPr="003D2D46">
        <w:rPr>
          <w:rFonts w:ascii="Times New Roman" w:hAnsi="Times New Roman" w:cs="Times New Roman"/>
          <w:color w:val="000000" w:themeColor="text1"/>
        </w:rPr>
        <w:t>indicated that</w:t>
      </w:r>
      <w:r w:rsidRPr="003D2D46">
        <w:rPr>
          <w:rFonts w:ascii="Times New Roman" w:hAnsi="Times New Roman" w:cs="Times New Roman"/>
          <w:color w:val="000000" w:themeColor="text1"/>
        </w:rPr>
        <w:t xml:space="preserve"> recent news reports or recently having a baby as the only reason they knew they were vaccinated. Many participants perceived their risk of getting pertussis to be low, assumed they were vaccinated as children and therefore still protected, or assumed that pertussis only made infants sick. These findings are consistent with</w:t>
      </w:r>
      <w:r w:rsidR="00F451CB" w:rsidRPr="003D2D46">
        <w:rPr>
          <w:rFonts w:ascii="Times New Roman" w:hAnsi="Times New Roman" w:cs="Times New Roman"/>
          <w:color w:val="000000" w:themeColor="text1"/>
        </w:rPr>
        <w:t xml:space="preserve"> reports by</w:t>
      </w:r>
      <w:r w:rsidRPr="003D2D46">
        <w:rPr>
          <w:rFonts w:ascii="Times New Roman" w:hAnsi="Times New Roman" w:cs="Times New Roman"/>
          <w:color w:val="000000" w:themeColor="text1"/>
        </w:rPr>
        <w:t xml:space="preserve"> Miller et al. (2011) and </w:t>
      </w:r>
      <w:r w:rsidRPr="003D2D46">
        <w:rPr>
          <w:rFonts w:ascii="Times New Roman" w:eastAsia="Calibri" w:hAnsi="Times New Roman" w:cs="Times New Roman"/>
          <w:color w:val="000000" w:themeColor="text1"/>
        </w:rPr>
        <w:t>McAuliffe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et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al</w:t>
      </w:r>
      <w:r w:rsidRPr="003D2D46">
        <w:rPr>
          <w:rFonts w:ascii="Times New Roman" w:hAnsi="Times New Roman" w:cs="Times New Roman"/>
          <w:color w:val="000000" w:themeColor="text1"/>
        </w:rPr>
        <w:t>. (2011).</w:t>
      </w:r>
    </w:p>
    <w:p w14:paraId="5FD8F2C0" w14:textId="77777777" w:rsidR="002D43E9" w:rsidRPr="003D2D46" w:rsidRDefault="002D43E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68D1099" w14:textId="77777777" w:rsidR="002D463A" w:rsidRPr="003D2D46" w:rsidRDefault="005529ED" w:rsidP="004F499F">
      <w:pPr>
        <w:pStyle w:val="Heading41111"/>
        <w:spacing w:line="480" w:lineRule="auto"/>
        <w:rPr>
          <w:rFonts w:cs="Times New Roman"/>
          <w:color w:val="000000" w:themeColor="text1"/>
        </w:rPr>
      </w:pPr>
      <w:bookmarkStart w:id="143" w:name="_Toc82445547"/>
      <w:bookmarkStart w:id="144" w:name="_Toc87797110"/>
      <w:r w:rsidRPr="003D2D46">
        <w:rPr>
          <w:rFonts w:eastAsia="Calibri" w:cs="Times New Roman"/>
          <w:color w:val="000000" w:themeColor="text1"/>
        </w:rPr>
        <w:lastRenderedPageBreak/>
        <w:t>3</w:t>
      </w:r>
      <w:r w:rsidR="00A0580F" w:rsidRPr="003D2D46">
        <w:rPr>
          <w:rFonts w:eastAsia="Calibri" w:cs="Times New Roman"/>
          <w:color w:val="000000" w:themeColor="text1"/>
        </w:rPr>
        <w:t>.</w:t>
      </w:r>
      <w:r w:rsidR="000D1486" w:rsidRPr="003D2D46">
        <w:rPr>
          <w:rFonts w:eastAsia="Calibri" w:cs="Times New Roman"/>
          <w:color w:val="000000" w:themeColor="text1"/>
        </w:rPr>
        <w:t>6</w:t>
      </w:r>
      <w:r w:rsidR="00A0580F" w:rsidRPr="003D2D46">
        <w:rPr>
          <w:rFonts w:eastAsia="Calibri" w:cs="Times New Roman"/>
          <w:color w:val="000000" w:themeColor="text1"/>
        </w:rPr>
        <w:t xml:space="preserve">.3 </w:t>
      </w:r>
      <w:r w:rsidR="002D463A" w:rsidRPr="003D2D46">
        <w:rPr>
          <w:rFonts w:eastAsia="Calibri" w:cs="Times New Roman"/>
          <w:color w:val="000000" w:themeColor="text1"/>
        </w:rPr>
        <w:t>Strengths</w:t>
      </w:r>
      <w:r w:rsidR="002D463A" w:rsidRPr="003D2D46">
        <w:rPr>
          <w:rFonts w:cs="Times New Roman"/>
          <w:color w:val="000000" w:themeColor="text1"/>
        </w:rPr>
        <w:t xml:space="preserve"> </w:t>
      </w:r>
      <w:r w:rsidR="002D463A" w:rsidRPr="003D2D46">
        <w:rPr>
          <w:rFonts w:eastAsia="Calibri" w:cs="Times New Roman"/>
          <w:color w:val="000000" w:themeColor="text1"/>
        </w:rPr>
        <w:t>and</w:t>
      </w:r>
      <w:r w:rsidR="002D463A" w:rsidRPr="003D2D46">
        <w:rPr>
          <w:rFonts w:cs="Times New Roman"/>
          <w:color w:val="000000" w:themeColor="text1"/>
        </w:rPr>
        <w:t xml:space="preserve"> </w:t>
      </w:r>
      <w:r w:rsidR="002D463A" w:rsidRPr="003D2D46">
        <w:rPr>
          <w:rFonts w:eastAsia="Calibri" w:cs="Times New Roman"/>
          <w:color w:val="000000" w:themeColor="text1"/>
        </w:rPr>
        <w:t>Limitations</w:t>
      </w:r>
      <w:bookmarkEnd w:id="143"/>
      <w:bookmarkEnd w:id="144"/>
      <w:r w:rsidR="002D463A" w:rsidRPr="003D2D46">
        <w:rPr>
          <w:rFonts w:cs="Times New Roman"/>
          <w:color w:val="000000" w:themeColor="text1"/>
        </w:rPr>
        <w:t xml:space="preserve"> </w:t>
      </w:r>
    </w:p>
    <w:p w14:paraId="3CC272C8" w14:textId="77777777" w:rsidR="002D463A" w:rsidRPr="003D2D46" w:rsidRDefault="002D463A" w:rsidP="004F499F">
      <w:pPr>
        <w:widowControl w:val="0"/>
        <w:autoSpaceDE w:val="0"/>
        <w:autoSpaceDN w:val="0"/>
        <w:adjustRightInd w:val="0"/>
        <w:spacing w:line="480" w:lineRule="auto"/>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This study has several limitations. We were unable to successfully recruit any explicitly anti-vaccine persons despite purposive recruitment strategies. As a result, those voices are not included in our study. Future research should include the perspective of people who hold anti-vaccination attitudes so that those may be better understood and so that we can develop and test interventions that would assist in improving vaccination rates for these groups. </w:t>
      </w:r>
      <w:r w:rsidRPr="003D2D46">
        <w:rPr>
          <w:rFonts w:ascii="Times New Roman" w:hAnsi="Times New Roman" w:cs="Times New Roman"/>
          <w:color w:val="000000" w:themeColor="text1"/>
        </w:rPr>
        <w:t xml:space="preserve">Finally, the study sample for this research was small but saturation was achieved. </w:t>
      </w:r>
    </w:p>
    <w:p w14:paraId="0ABA3B26" w14:textId="77777777" w:rsidR="002D463A" w:rsidRPr="003D2D46" w:rsidRDefault="002D463A" w:rsidP="00580A15">
      <w:pPr>
        <w:spacing w:line="480" w:lineRule="auto"/>
        <w:contextualSpacing/>
        <w:rPr>
          <w:rFonts w:ascii="Times New Roman" w:eastAsia="Calibri" w:hAnsi="Times New Roman" w:cs="Times New Roman"/>
          <w:color w:val="000000" w:themeColor="text1"/>
        </w:rPr>
      </w:pPr>
    </w:p>
    <w:p w14:paraId="257BE823" w14:textId="4E0DA6B0" w:rsidR="002D463A" w:rsidRPr="003D2D46" w:rsidRDefault="002D463A" w:rsidP="000F5D77">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Despite this, the authors still feel confident that the major research </w:t>
      </w:r>
      <w:r w:rsidR="00607F17" w:rsidRPr="003D2D46">
        <w:rPr>
          <w:rFonts w:ascii="Times New Roman" w:eastAsia="Calibri" w:hAnsi="Times New Roman" w:cs="Times New Roman"/>
          <w:color w:val="000000" w:themeColor="text1"/>
        </w:rPr>
        <w:t xml:space="preserve">objective </w:t>
      </w:r>
      <w:r w:rsidRPr="003D2D46">
        <w:rPr>
          <w:rFonts w:ascii="Times New Roman" w:eastAsia="Calibri" w:hAnsi="Times New Roman" w:cs="Times New Roman"/>
          <w:color w:val="000000" w:themeColor="text1"/>
        </w:rPr>
        <w:t>of understanding important factors of vaccine attitudes was addressed. Additionally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theoretical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framework</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that was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utilized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create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interview</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protocol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initial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deductive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coding</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analysis</w:t>
      </w:r>
      <w:r w:rsidRPr="003D2D46">
        <w:rPr>
          <w:rFonts w:ascii="Times New Roman" w:hAnsi="Times New Roman" w:cs="Times New Roman"/>
          <w:color w:val="000000" w:themeColor="text1"/>
        </w:rPr>
        <w:t xml:space="preserve"> aided in</w:t>
      </w:r>
      <w:r w:rsidRPr="003D2D46">
        <w:rPr>
          <w:rFonts w:ascii="Times New Roman" w:eastAsia="Calibri" w:hAnsi="Times New Roman" w:cs="Times New Roman"/>
          <w:color w:val="000000" w:themeColor="text1"/>
        </w:rPr>
        <w:t xml:space="preserve"> analyzing interplay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social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cultural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contextual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factors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 the best of the authors’ knowledge, this study is the first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utilize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Theory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Triadic</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Influence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analyze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behavior</w:t>
      </w:r>
      <w:r w:rsidRPr="003D2D46">
        <w:rPr>
          <w:rFonts w:ascii="Times New Roman" w:hAnsi="Times New Roman" w:cs="Times New Roman"/>
          <w:color w:val="000000" w:themeColor="text1"/>
        </w:rPr>
        <w:t>.</w:t>
      </w:r>
    </w:p>
    <w:p w14:paraId="1D855D8F" w14:textId="77777777" w:rsidR="002D463A" w:rsidRPr="003D2D46" w:rsidRDefault="002D463A" w:rsidP="005043F7">
      <w:pPr>
        <w:spacing w:line="480" w:lineRule="auto"/>
        <w:contextualSpacing/>
        <w:rPr>
          <w:rFonts w:ascii="Times New Roman" w:hAnsi="Times New Roman" w:cs="Times New Roman"/>
          <w:color w:val="000000" w:themeColor="text1"/>
        </w:rPr>
      </w:pPr>
    </w:p>
    <w:p w14:paraId="2062FE6F" w14:textId="77777777" w:rsidR="002D463A" w:rsidRPr="003D2D46" w:rsidRDefault="005529ED" w:rsidP="005043F7">
      <w:pPr>
        <w:pStyle w:val="Heading2"/>
        <w:spacing w:before="0" w:after="0" w:line="480" w:lineRule="auto"/>
        <w:rPr>
          <w:rFonts w:cs="Times New Roman"/>
          <w:color w:val="000000" w:themeColor="text1"/>
          <w:szCs w:val="24"/>
        </w:rPr>
      </w:pPr>
      <w:bookmarkStart w:id="145" w:name="_Toc82445548"/>
      <w:bookmarkStart w:id="146" w:name="_Toc87797111"/>
      <w:r w:rsidRPr="003D2D46">
        <w:rPr>
          <w:rFonts w:cs="Times New Roman"/>
          <w:color w:val="000000" w:themeColor="text1"/>
          <w:szCs w:val="24"/>
        </w:rPr>
        <w:t>3</w:t>
      </w:r>
      <w:r w:rsidR="004B759B" w:rsidRPr="003D2D46">
        <w:rPr>
          <w:rFonts w:cs="Times New Roman"/>
          <w:color w:val="000000" w:themeColor="text1"/>
          <w:szCs w:val="24"/>
        </w:rPr>
        <w:t>.</w:t>
      </w:r>
      <w:r w:rsidR="000D1486" w:rsidRPr="003D2D46">
        <w:rPr>
          <w:rFonts w:cs="Times New Roman"/>
          <w:color w:val="000000" w:themeColor="text1"/>
          <w:szCs w:val="24"/>
        </w:rPr>
        <w:t>7</w:t>
      </w:r>
      <w:r w:rsidR="004B759B" w:rsidRPr="003D2D46">
        <w:rPr>
          <w:rFonts w:cs="Times New Roman"/>
          <w:color w:val="000000" w:themeColor="text1"/>
          <w:szCs w:val="24"/>
        </w:rPr>
        <w:t xml:space="preserve"> </w:t>
      </w:r>
      <w:r w:rsidR="002D463A" w:rsidRPr="003D2D46">
        <w:rPr>
          <w:rFonts w:cs="Times New Roman"/>
          <w:color w:val="000000" w:themeColor="text1"/>
          <w:szCs w:val="24"/>
        </w:rPr>
        <w:t>Conclusions</w:t>
      </w:r>
      <w:bookmarkEnd w:id="145"/>
      <w:bookmarkEnd w:id="146"/>
    </w:p>
    <w:p w14:paraId="10C7A6BE" w14:textId="7A510755" w:rsidR="002D463A" w:rsidRPr="003D2D46" w:rsidRDefault="002D463A" w:rsidP="00E547A1">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results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this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study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identified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themes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persons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Knoxville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TN</w:t>
      </w:r>
      <w:r w:rsidRPr="003D2D46">
        <w:rPr>
          <w:rFonts w:ascii="Times New Roman" w:hAnsi="Times New Roman" w:cs="Times New Roman"/>
          <w:color w:val="000000" w:themeColor="text1"/>
        </w:rPr>
        <w:t xml:space="preserve">. We found that </w:t>
      </w:r>
      <w:r w:rsidRPr="003D2D46">
        <w:rPr>
          <w:rFonts w:ascii="Times New Roman" w:eastAsia="Calibri" w:hAnsi="Times New Roman" w:cs="Times New Roman"/>
          <w:color w:val="000000" w:themeColor="text1"/>
        </w:rPr>
        <w:t xml:space="preserve">risk perception and family and social group attitudes were the primary influences on vaccination decision making, whether for themselves or on behalf of their children. This is consistent with prior literature that aims at increasing trust </w:t>
      </w:r>
      <w:r w:rsidRPr="003D2D46">
        <w:rPr>
          <w:rFonts w:ascii="Times New Roman" w:eastAsia="Calibri" w:hAnsi="Times New Roman" w:cs="Times New Roman"/>
          <w:color w:val="000000" w:themeColor="text1"/>
        </w:rPr>
        <w:lastRenderedPageBreak/>
        <w:t>in and improving access to accurate knowledge about vaccination, increasing educational campaigns regarding vaccine-preventable diseases, and highlighting the importance of a physician or medical professional actively addressing vaccine hesitancy in clinical settings. Our</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results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contribute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knowledge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base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utilized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public</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officials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develop</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direct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immunization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health</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policies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initiatives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knowledge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local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barriers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towards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necessary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guide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coverage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improvement</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awareness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campaigns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We recommend that future </w:t>
      </w:r>
      <w:r w:rsidR="00B41358" w:rsidRPr="003D2D46">
        <w:rPr>
          <w:rFonts w:ascii="Times New Roman" w:eastAsia="Calibri" w:hAnsi="Times New Roman" w:cs="Times New Roman"/>
          <w:color w:val="000000" w:themeColor="text1"/>
        </w:rPr>
        <w:t xml:space="preserve">studies </w:t>
      </w:r>
      <w:r w:rsidRPr="003D2D46">
        <w:rPr>
          <w:rFonts w:ascii="Times New Roman" w:eastAsia="Calibri" w:hAnsi="Times New Roman" w:cs="Times New Roman"/>
          <w:color w:val="000000" w:themeColor="text1"/>
        </w:rPr>
        <w:t>include anti-vaccination participants</w:t>
      </w:r>
      <w:r w:rsidR="00B41358" w:rsidRPr="003D2D46">
        <w:rPr>
          <w:rFonts w:ascii="Times New Roman" w:eastAsia="Calibri" w:hAnsi="Times New Roman" w:cs="Times New Roman"/>
          <w:color w:val="000000" w:themeColor="text1"/>
        </w:rPr>
        <w:t xml:space="preserve"> and</w:t>
      </w:r>
      <w:r w:rsidRPr="003D2D46">
        <w:rPr>
          <w:rFonts w:ascii="Times New Roman" w:eastAsia="Calibri" w:hAnsi="Times New Roman" w:cs="Times New Roman"/>
          <w:color w:val="000000" w:themeColor="text1"/>
        </w:rPr>
        <w:t xml:space="preserve"> </w:t>
      </w:r>
      <w:r w:rsidR="00B41358" w:rsidRPr="003D2D46">
        <w:rPr>
          <w:rFonts w:ascii="Times New Roman" w:eastAsia="Calibri" w:hAnsi="Times New Roman" w:cs="Times New Roman"/>
          <w:color w:val="000000" w:themeColor="text1"/>
        </w:rPr>
        <w:t>should</w:t>
      </w:r>
      <w:r w:rsidRPr="003D2D46">
        <w:rPr>
          <w:rFonts w:ascii="Times New Roman" w:eastAsia="Calibri" w:hAnsi="Times New Roman" w:cs="Times New Roman"/>
          <w:color w:val="000000" w:themeColor="text1"/>
        </w:rPr>
        <w:t xml:space="preserve"> further explore the relationship between perception of one’s own knowledge and health behaviors.</w:t>
      </w:r>
    </w:p>
    <w:p w14:paraId="56548643" w14:textId="77777777" w:rsidR="00C81385" w:rsidRPr="003D2D46" w:rsidRDefault="00C81385" w:rsidP="00580A15">
      <w:pPr>
        <w:spacing w:line="480" w:lineRule="auto"/>
        <w:rPr>
          <w:rFonts w:ascii="Times New Roman" w:hAnsi="Times New Roman" w:cs="Times New Roman"/>
          <w:b/>
          <w:bCs/>
          <w:color w:val="000000" w:themeColor="text1"/>
        </w:rPr>
      </w:pPr>
      <w:r w:rsidRPr="003D2D46">
        <w:rPr>
          <w:rFonts w:ascii="Times New Roman" w:hAnsi="Times New Roman" w:cs="Times New Roman"/>
          <w:b/>
          <w:bCs/>
          <w:color w:val="000000" w:themeColor="text1"/>
        </w:rPr>
        <w:br w:type="page"/>
      </w:r>
    </w:p>
    <w:p w14:paraId="2C292D7B" w14:textId="11933D25" w:rsidR="005A5C03" w:rsidRPr="003D2D46" w:rsidRDefault="00CF36A2" w:rsidP="00580A15">
      <w:pPr>
        <w:pStyle w:val="Heading1"/>
        <w:spacing w:line="480" w:lineRule="auto"/>
        <w:rPr>
          <w:rFonts w:ascii="Times New Roman" w:hAnsi="Times New Roman" w:cs="Times New Roman"/>
          <w:color w:val="000000" w:themeColor="text1"/>
          <w:sz w:val="24"/>
        </w:rPr>
      </w:pPr>
      <w:bookmarkStart w:id="147" w:name="_Toc87797112"/>
      <w:bookmarkStart w:id="148" w:name="_Toc82445549"/>
      <w:r w:rsidRPr="003D2D46">
        <w:rPr>
          <w:rFonts w:ascii="Times New Roman" w:hAnsi="Times New Roman" w:cs="Times New Roman"/>
          <w:color w:val="000000" w:themeColor="text1"/>
          <w:sz w:val="24"/>
        </w:rPr>
        <w:lastRenderedPageBreak/>
        <w:t xml:space="preserve">CHAPTER </w:t>
      </w:r>
      <w:r w:rsidR="000D1486" w:rsidRPr="003D2D46">
        <w:rPr>
          <w:rFonts w:ascii="Times New Roman" w:hAnsi="Times New Roman" w:cs="Times New Roman"/>
          <w:color w:val="000000" w:themeColor="text1"/>
          <w:sz w:val="24"/>
        </w:rPr>
        <w:t>4</w:t>
      </w:r>
      <w:bookmarkEnd w:id="147"/>
    </w:p>
    <w:p w14:paraId="3F3CE90B" w14:textId="77777777" w:rsidR="005A5C03" w:rsidRPr="003D2D46" w:rsidRDefault="005A5C03" w:rsidP="00580A15">
      <w:pPr>
        <w:pStyle w:val="Heading1"/>
        <w:spacing w:line="480" w:lineRule="auto"/>
        <w:rPr>
          <w:rFonts w:ascii="Times New Roman" w:hAnsi="Times New Roman" w:cs="Times New Roman"/>
          <w:color w:val="000000" w:themeColor="text1"/>
          <w:sz w:val="24"/>
        </w:rPr>
      </w:pPr>
    </w:p>
    <w:p w14:paraId="03AF9DDF" w14:textId="42C29E3A" w:rsidR="00EA09C6" w:rsidRPr="003D2D46" w:rsidRDefault="00EA09C6" w:rsidP="00580A15">
      <w:pPr>
        <w:pStyle w:val="Heading1"/>
        <w:spacing w:line="480" w:lineRule="auto"/>
        <w:rPr>
          <w:rFonts w:ascii="Times New Roman" w:hAnsi="Times New Roman" w:cs="Times New Roman"/>
          <w:color w:val="000000" w:themeColor="text1"/>
          <w:sz w:val="24"/>
        </w:rPr>
      </w:pPr>
      <w:bookmarkStart w:id="149" w:name="_Toc87797113"/>
      <w:r w:rsidRPr="003D2D46">
        <w:rPr>
          <w:rFonts w:ascii="Times New Roman" w:hAnsi="Times New Roman" w:cs="Times New Roman"/>
          <w:color w:val="000000" w:themeColor="text1"/>
          <w:sz w:val="24"/>
        </w:rPr>
        <w:t>Geographic Disparities and Predictors of Vaccination Exemptions in Florida</w:t>
      </w:r>
      <w:bookmarkEnd w:id="148"/>
      <w:bookmarkEnd w:id="149"/>
    </w:p>
    <w:p w14:paraId="03482C36" w14:textId="77777777"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02D4CFF0" w14:textId="77777777" w:rsidR="00A41EE3" w:rsidRPr="003D2D46" w:rsidRDefault="00A41EE3" w:rsidP="005F5C47">
      <w:pPr>
        <w:pStyle w:val="Heading2"/>
        <w:spacing w:line="480" w:lineRule="auto"/>
        <w:rPr>
          <w:rFonts w:cs="Times New Roman"/>
          <w:color w:val="000000" w:themeColor="text1"/>
          <w:szCs w:val="24"/>
        </w:rPr>
      </w:pPr>
      <w:bookmarkStart w:id="150" w:name="_Toc82445550"/>
      <w:bookmarkStart w:id="151" w:name="_Toc87797114"/>
      <w:r w:rsidRPr="003D2D46">
        <w:rPr>
          <w:rFonts w:cs="Times New Roman"/>
          <w:color w:val="000000" w:themeColor="text1"/>
          <w:szCs w:val="24"/>
        </w:rPr>
        <w:lastRenderedPageBreak/>
        <w:t>4.1 Disclosure</w:t>
      </w:r>
      <w:bookmarkEnd w:id="150"/>
      <w:bookmarkEnd w:id="151"/>
    </w:p>
    <w:p w14:paraId="3939E622" w14:textId="533FCEBA" w:rsidR="00A41EE3" w:rsidRPr="003D2D46" w:rsidRDefault="00A41EE3" w:rsidP="005F5C4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A version of this chapter has been submitted</w:t>
      </w:r>
      <w:r w:rsidR="008D20B5" w:rsidRPr="003D2D46">
        <w:rPr>
          <w:rFonts w:ascii="Times New Roman" w:hAnsi="Times New Roman" w:cs="Times New Roman"/>
          <w:color w:val="000000" w:themeColor="text1"/>
        </w:rPr>
        <w:t xml:space="preserve"> for publication</w:t>
      </w:r>
      <w:r w:rsidRPr="003D2D46">
        <w:rPr>
          <w:rFonts w:ascii="Times New Roman" w:hAnsi="Times New Roman" w:cs="Times New Roman"/>
          <w:color w:val="000000" w:themeColor="text1"/>
        </w:rPr>
        <w:t xml:space="preserve"> </w:t>
      </w:r>
      <w:r w:rsidR="008D20B5" w:rsidRPr="003D2D46">
        <w:rPr>
          <w:rFonts w:ascii="Times New Roman" w:hAnsi="Times New Roman" w:cs="Times New Roman"/>
          <w:color w:val="000000" w:themeColor="text1"/>
        </w:rPr>
        <w:t xml:space="preserve">in </w:t>
      </w:r>
      <w:r w:rsidRPr="003D2D46">
        <w:rPr>
          <w:rFonts w:ascii="Times New Roman" w:hAnsi="Times New Roman" w:cs="Times New Roman"/>
          <w:color w:val="000000" w:themeColor="text1"/>
        </w:rPr>
        <w:t xml:space="preserve">PeerJ. The full citation is: </w:t>
      </w:r>
    </w:p>
    <w:p w14:paraId="7D3E7CD0" w14:textId="77777777" w:rsidR="00A41EE3" w:rsidRPr="003D2D46" w:rsidRDefault="00A41EE3" w:rsidP="00580A15">
      <w:pPr>
        <w:spacing w:line="480" w:lineRule="auto"/>
        <w:rPr>
          <w:rFonts w:ascii="Times New Roman" w:hAnsi="Times New Roman" w:cs="Times New Roman"/>
          <w:color w:val="000000" w:themeColor="text1"/>
        </w:rPr>
      </w:pPr>
    </w:p>
    <w:p w14:paraId="61472149" w14:textId="28B83714" w:rsidR="00A41EE3" w:rsidRPr="003D2D46" w:rsidRDefault="00A41EE3"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C</w:t>
      </w:r>
      <w:r w:rsidR="00E90128" w:rsidRPr="003D2D46">
        <w:rPr>
          <w:rFonts w:ascii="Times New Roman" w:hAnsi="Times New Roman" w:cs="Times New Roman"/>
          <w:color w:val="000000" w:themeColor="text1"/>
        </w:rPr>
        <w:t xml:space="preserve">orinne </w:t>
      </w:r>
      <w:r w:rsidRPr="003D2D46">
        <w:rPr>
          <w:rFonts w:ascii="Times New Roman" w:hAnsi="Times New Roman" w:cs="Times New Roman"/>
          <w:color w:val="000000" w:themeColor="text1"/>
        </w:rPr>
        <w:t>B</w:t>
      </w:r>
      <w:r w:rsidR="00E90128"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Tandy, Odoi A</w:t>
      </w:r>
      <w:r w:rsidR="00E90128" w:rsidRPr="003D2D46">
        <w:rPr>
          <w:rFonts w:ascii="Times New Roman" w:hAnsi="Times New Roman" w:cs="Times New Roman"/>
          <w:color w:val="000000" w:themeColor="text1"/>
        </w:rPr>
        <w:t>gricola</w:t>
      </w:r>
      <w:r w:rsidRPr="003D2D46">
        <w:rPr>
          <w:rFonts w:ascii="Times New Roman" w:hAnsi="Times New Roman" w:cs="Times New Roman"/>
          <w:color w:val="000000" w:themeColor="text1"/>
        </w:rPr>
        <w:t>. 2021.</w:t>
      </w:r>
      <w:r w:rsidR="008057C1"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Geographic Disparities and Predictors of Vaccination Exemptions in Florida. Submitted to </w:t>
      </w:r>
      <w:r w:rsidRPr="003D2D46">
        <w:rPr>
          <w:rFonts w:ascii="Times New Roman" w:hAnsi="Times New Roman" w:cs="Times New Roman"/>
          <w:i/>
          <w:color w:val="000000" w:themeColor="text1"/>
        </w:rPr>
        <w:t>PeerJ</w:t>
      </w:r>
      <w:r w:rsidRPr="003D2D46">
        <w:rPr>
          <w:rFonts w:ascii="Times New Roman" w:hAnsi="Times New Roman" w:cs="Times New Roman"/>
          <w:color w:val="000000" w:themeColor="text1"/>
        </w:rPr>
        <w:t>.</w:t>
      </w:r>
    </w:p>
    <w:p w14:paraId="00D4D2C0" w14:textId="77777777" w:rsidR="00A41EE3" w:rsidRPr="003D2D46" w:rsidRDefault="00A41EE3" w:rsidP="00580A15">
      <w:pPr>
        <w:spacing w:line="480" w:lineRule="auto"/>
        <w:rPr>
          <w:rFonts w:ascii="Times New Roman" w:hAnsi="Times New Roman" w:cs="Times New Roman"/>
          <w:color w:val="000000" w:themeColor="text1"/>
        </w:rPr>
      </w:pPr>
    </w:p>
    <w:p w14:paraId="7FA5D26F" w14:textId="2F24D9F7" w:rsidR="00580A15" w:rsidRPr="003D2D46" w:rsidRDefault="00580A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My contributions to the paper included study design, data identification, data analysis and interpretation, and preparation of the manuscript. Dr. Agricola Odoi was involved in the development of the research idea, data analysis</w:t>
      </w:r>
      <w:r w:rsidR="00E90128"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interpretation, and preparation of the manuscript.</w:t>
      </w:r>
    </w:p>
    <w:p w14:paraId="1786DF7E" w14:textId="77777777" w:rsidR="00A41EE3" w:rsidRPr="003D2D46" w:rsidRDefault="00A41EE3"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2C38AAD5" w14:textId="77777777" w:rsidR="00EA09C6" w:rsidRPr="003D2D46" w:rsidRDefault="00EA09C6" w:rsidP="005F5C47">
      <w:pPr>
        <w:pStyle w:val="Heading2"/>
        <w:spacing w:line="480" w:lineRule="auto"/>
        <w:rPr>
          <w:rFonts w:cs="Times New Roman"/>
          <w:color w:val="000000" w:themeColor="text1"/>
          <w:szCs w:val="24"/>
        </w:rPr>
      </w:pPr>
      <w:bookmarkStart w:id="152" w:name="_Toc82445551"/>
      <w:bookmarkStart w:id="153" w:name="_Toc87797115"/>
      <w:r w:rsidRPr="003D2D46">
        <w:rPr>
          <w:rFonts w:cs="Times New Roman"/>
          <w:color w:val="000000" w:themeColor="text1"/>
          <w:szCs w:val="24"/>
        </w:rPr>
        <w:lastRenderedPageBreak/>
        <w:t>4.</w:t>
      </w:r>
      <w:r w:rsidR="005F5C47" w:rsidRPr="003D2D46">
        <w:rPr>
          <w:rFonts w:cs="Times New Roman"/>
          <w:color w:val="000000" w:themeColor="text1"/>
          <w:szCs w:val="24"/>
        </w:rPr>
        <w:t>2</w:t>
      </w:r>
      <w:r w:rsidRPr="003D2D46">
        <w:rPr>
          <w:rFonts w:cs="Times New Roman"/>
          <w:color w:val="000000" w:themeColor="text1"/>
          <w:szCs w:val="24"/>
        </w:rPr>
        <w:t xml:space="preserve"> Abstract</w:t>
      </w:r>
      <w:bookmarkEnd w:id="152"/>
      <w:bookmarkEnd w:id="153"/>
    </w:p>
    <w:p w14:paraId="14FE80DA" w14:textId="77777777" w:rsidR="00EA09C6" w:rsidRPr="003D2D46" w:rsidRDefault="00EA09C6" w:rsidP="005F5C47">
      <w:pPr>
        <w:spacing w:line="480" w:lineRule="auto"/>
        <w:rPr>
          <w:rFonts w:ascii="Times New Roman" w:eastAsia="Calibri" w:hAnsi="Times New Roman" w:cs="Times New Roman"/>
          <w:color w:val="000000" w:themeColor="text1"/>
        </w:rPr>
      </w:pPr>
      <w:r w:rsidRPr="003D2D46">
        <w:rPr>
          <w:rFonts w:ascii="Times New Roman" w:hAnsi="Times New Roman" w:cs="Times New Roman"/>
          <w:b/>
          <w:color w:val="000000" w:themeColor="text1"/>
        </w:rPr>
        <w:t xml:space="preserve">Background: </w:t>
      </w:r>
      <w:r w:rsidRPr="003D2D46">
        <w:rPr>
          <w:rFonts w:ascii="Times New Roman" w:eastAsia="Calibri" w:hAnsi="Times New Roman" w:cs="Times New Roman"/>
          <w:color w:val="000000" w:themeColor="text1"/>
        </w:rPr>
        <w:t xml:space="preserve">In the United States, state-level policies requiring vaccination of school-going children constitute a critical strategy for improving vaccination coverage. However, policies allowing vaccination exemptions have also been implemented and contribute to reductions in vaccination coverage and potential increases in the burden of vaccine-preventable diseases. </w:t>
      </w:r>
      <w:r w:rsidRPr="003D2D46">
        <w:rPr>
          <w:rFonts w:ascii="Times New Roman" w:hAnsi="Times New Roman" w:cs="Times New Roman"/>
          <w:color w:val="000000" w:themeColor="text1"/>
        </w:rPr>
        <w:t xml:space="preserve">Understanding the geographic disparities in the distribution of vaccination exemptions and identifying high risk areas is necessary for guiding resource allocation and public health control strategies. </w:t>
      </w:r>
      <w:r w:rsidRPr="003D2D46">
        <w:rPr>
          <w:rFonts w:ascii="Times New Roman" w:eastAsia="Calibri" w:hAnsi="Times New Roman" w:cs="Times New Roman"/>
          <w:color w:val="000000" w:themeColor="text1"/>
        </w:rPr>
        <w:t>This study investigated geographic disparities in vaccination exemptions as well as socioeconomic and demographic predictors of vaccination exemptions in Florida.</w:t>
      </w:r>
    </w:p>
    <w:p w14:paraId="02A1EC03" w14:textId="77777777"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b/>
          <w:color w:val="000000" w:themeColor="text1"/>
        </w:rPr>
        <w:t xml:space="preserve">Methods: </w:t>
      </w:r>
      <w:r w:rsidRPr="003D2D46">
        <w:rPr>
          <w:rFonts w:ascii="Times New Roman" w:hAnsi="Times New Roman" w:cs="Times New Roman"/>
          <w:color w:val="000000" w:themeColor="text1"/>
        </w:rPr>
        <w:t>Vaccination exemption data were obtained from the Florida Department of Health’s Florida HealthCHARTS web interface. Spatial patterns in geographic distribution of total and non-medical vaccination exemptions were assessed using county-level choropleth maps. Negative binomial models were used to identify significant predictors of county-level risks of both total and non-medical vaccination exemptions.</w:t>
      </w:r>
    </w:p>
    <w:p w14:paraId="18E7E724" w14:textId="77777777"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b/>
          <w:color w:val="000000" w:themeColor="text1"/>
        </w:rPr>
        <w:t>Results</w:t>
      </w:r>
      <w:r w:rsidRPr="003D2D46">
        <w:rPr>
          <w:rFonts w:ascii="Times New Roman" w:hAnsi="Times New Roman" w:cs="Times New Roman"/>
          <w:b/>
          <w:bCs/>
          <w:color w:val="000000" w:themeColor="text1"/>
        </w:rPr>
        <w:t>:</w:t>
      </w:r>
      <w:r w:rsidRPr="003D2D46">
        <w:rPr>
          <w:rFonts w:ascii="Times New Roman" w:hAnsi="Times New Roman" w:cs="Times New Roman"/>
          <w:color w:val="000000" w:themeColor="text1"/>
        </w:rPr>
        <w:t xml:space="preserve"> Total exemptions varied from 0 to 30.2 per 10,000 people. Nine counties had exemption risks in the top two classes (10.4-15.9 and 15.9-30.2 exemptions per 10,000 people). These counties were distributed in five distinct areas: Western Panhandle, central northern area, central, South-eastern coastal area, and the southern coastal border of the state. Non-medical exemptions varied from 0 to 10.4 per 10,000 people. Fifteen counties had exemption risks in the top two classes (3.7-5.6 and 5.6-10.4 exemptions per 10,000 people), and were located in six distinct areas: Western and Central Panhandle, </w:t>
      </w:r>
      <w:r w:rsidRPr="003D2D46">
        <w:rPr>
          <w:rFonts w:ascii="Times New Roman" w:hAnsi="Times New Roman" w:cs="Times New Roman"/>
          <w:color w:val="000000" w:themeColor="text1"/>
        </w:rPr>
        <w:lastRenderedPageBreak/>
        <w:t>Northeastern, Central-eastern coastal area, Central-western coastal area, and the South-western coastal border of the state. Predictors of high risk of total vaccination exemptions were high density of primary care providers (p&lt;0.001), high median income (p=0.001), high percentage of Hispanic population (p=0.046), and low percentage of population with a college education (p=0.013). A predictor of high risk of non-medical vaccination exemptions was high percentage of White population (p=0.045). However, predictors of low risks of non-medical exemptions were high percentages of population: living in rural areas (p=0.023), with college education (p=0.013), with high school education (p=0.009), and with less than high school education (p&lt;0.001).</w:t>
      </w:r>
    </w:p>
    <w:p w14:paraId="139AFE77" w14:textId="77777777"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b/>
          <w:color w:val="000000" w:themeColor="text1"/>
        </w:rPr>
        <w:t xml:space="preserve">Conclusions: </w:t>
      </w:r>
      <w:r w:rsidRPr="003D2D46">
        <w:rPr>
          <w:rFonts w:ascii="Times New Roman" w:hAnsi="Times New Roman" w:cs="Times New Roman"/>
          <w:color w:val="000000" w:themeColor="text1"/>
        </w:rPr>
        <w:t>There is evidence of county-level geographic disparities in both total and non-medical vaccination exemption risks in Florida. These disparities are explained by differences in county-level socioeconomic and demographic factors. Study findings are important in guiding resource allocation for health planning aimed at improving vaccination rates and reducing incidence of vaccine-preventable diseases.</w:t>
      </w:r>
    </w:p>
    <w:p w14:paraId="3C20D00E" w14:textId="77777777"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51DA8519" w14:textId="77777777" w:rsidR="00EA09C6" w:rsidRPr="003D2D46" w:rsidRDefault="00EA09C6" w:rsidP="005F5C47">
      <w:pPr>
        <w:pStyle w:val="Heading2"/>
        <w:spacing w:line="480" w:lineRule="auto"/>
        <w:rPr>
          <w:rFonts w:cs="Times New Roman"/>
          <w:color w:val="000000" w:themeColor="text1"/>
          <w:szCs w:val="24"/>
        </w:rPr>
      </w:pPr>
      <w:bookmarkStart w:id="154" w:name="_Toc82445552"/>
      <w:bookmarkStart w:id="155" w:name="_Toc87797116"/>
      <w:r w:rsidRPr="003D2D46">
        <w:rPr>
          <w:rFonts w:cs="Times New Roman"/>
          <w:color w:val="000000" w:themeColor="text1"/>
          <w:szCs w:val="24"/>
        </w:rPr>
        <w:lastRenderedPageBreak/>
        <w:t>4.2 Introduction</w:t>
      </w:r>
      <w:bookmarkEnd w:id="154"/>
      <w:bookmarkEnd w:id="155"/>
    </w:p>
    <w:p w14:paraId="4730EC05" w14:textId="1501892A" w:rsidR="00EA09C6" w:rsidRPr="003D2D46" w:rsidRDefault="00EA09C6" w:rsidP="005F5C47">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The United States and Europe are experiencing an increase in incidence of vaccine-preventable diseases which has been attributed to anti-vaccine movements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{"citationItems":[{"id":"ITEM-1","itemData":{"DOI":"10.1038/s41390-019-0354-3","ISSN":"15300447","author":[{"dropping-particle":"","family":"Hotez","given":"Peter","non-dropping-particle":"","parse-names":false,"suffix":""}],"container-title":"Pediatric Research","id":"ITEM-1","issue":"7","issued":{"date-parts":[["2019","6"]]},"page":"912-914","publisher":"Nature Publishing Group","title":"America and Europe’s new normal: the return of vaccine-preventable diseases","type":"article","volume":"85"},"uris":["http://www.mendeley.com/documents/?uuid=be327a4c-20c6-44c0-b5ca-391e13c9a9dd"]}],"mendeley":{"formattedCitation":"(Hotez, 2019)","plainTextFormattedCitation":"(Hotez, 2019)","previouslyFormattedCitation":"(Hotez,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(Hotez,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As a result, the United States has experienced multiple outbreaks of vaccine-preventable diseases such as measles and pertussis among mostly unvaccinated persons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{"citationItems":[{"id":"ITEM-1","itemData":{"DOI":"10.1177/0046958019894098","ISSN":"00469580","PMID":"31823676","abstract":"Since 2018 and currently in 2019, the United States and Canada experienced a rapidly spreading measles virus outbreak. The developing outbreak may be due to a lack of vaccination, an inadequate dosage of measles (MMR) vaccine, clusters of intentionally under-vaccinated children, imported measles from global travel, and from those who are immunocompromised or have other life-threatening diseases. The infection originated mainly from travelers who acquired measles abroad and has thus led to a major outbreak and health concern not only in the United States and Canada but also in other parts of the world. According to World Health Organization, from January 2019 through September 2019, 1234 cases of measles have been reported in the United States and 91 reported cases in Canada, while in 2018, 372 and 28 cases were reported in the United States and Canada, respectively. A potential driving factor to the increased cases maybe because fewer children have been vaccinated over the last number of years in both countries. This article is a narrative review of cases discussing the measles outbreak among partially vaccinated and unvaccinated children and adults in the United States and Canada in 2018 and 2019.","author":[{"dropping-particle":"","family":"Sanyaolu","given":"Adekunle","non-dropping-particle":"","parse-names":false,"suffix":""},{"dropping-particle":"","family":"Okorie","given":"Chuku","non-dropping-particle":"","parse-names":false,"suffix":""},{"dropping-particle":"","family":"Marinkovic","given":"Aleksandra","non-dropping-particle":"","parse-names":false,"suffix":""},{"dropping-particle":"","family":"Ayodele","given":"Oladapo","non-dropping-particle":"","parse-names":false,"suffix":""},{"dropping-particle":"","family":"Abbasi","given":"Abu Fahad","non-dropping-particle":"","parse-names":false,"suffix":""},{"dropping-particle":"","family":"Prakash","given":"Stephanie","non-dropping-particle":"","parse-names":false,"suffix":""},{"dropping-particle":"","family":"Gosse","given":"Jessica","non-dropping-particle":"","parse-names":false,"suffix":""},{"dropping-particle":"","family":"Younis","given":"Sadaf","non-dropping-particle":"","parse-names":false,"suffix":""},{"dropping-particle":"","family":"Mangat","given":"Jasmine","non-dropping-particle":"","parse-names":false,"suffix":""},{"dropping-particle":"","family":"Chan","given":"Henry","non-dropping-particle":"","parse-names":false,"suffix":""}],"container-title":"Inquiry (United States)","id":"ITEM-1","issued":{"date-parts":[["2019"]]},"title":"Measles Outbreak in Unvaccinated and Partially Vaccinated Children and Adults in the United States and Canada (2018-2019): A Narrative Review of Cases","type":"article-journal","volume":"56"},"uris":["http://www.mendeley.com/documents/?uuid=67bcf6fb-1e3d-4e52-90ed-9499de714c62"]}],"mendeley":{"formattedCitation":"(Sanyaolu et al., 2019)","plainTextFormattedCitation":"(Sanyaolu et al., 2019)","previouslyFormattedCitation":"(Sanyaolu et al., 2019)"},"properties":{"noteIndex":0},"schema":"https://github.com/citation-style-language/schema/raw/master/csl-citation.json"}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(Sanyaolu et al., 2019)</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.The resurgence of vaccine preventable diseases has been, at least partially, attributed to decreased vaccination coverage.</w:t>
      </w:r>
    </w:p>
    <w:p w14:paraId="3ADB50C9" w14:textId="77777777" w:rsidR="00EA09C6" w:rsidRPr="003D2D46" w:rsidRDefault="00EA09C6" w:rsidP="00580A15">
      <w:pPr>
        <w:spacing w:line="480" w:lineRule="auto"/>
        <w:rPr>
          <w:rFonts w:ascii="Times New Roman" w:eastAsia="Calibri" w:hAnsi="Times New Roman" w:cs="Times New Roman"/>
          <w:color w:val="000000" w:themeColor="text1"/>
        </w:rPr>
      </w:pPr>
    </w:p>
    <w:p w14:paraId="0AB7081D" w14:textId="3F8B1EFE"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eastAsia="Calibri" w:hAnsi="Times New Roman" w:cs="Times New Roman"/>
          <w:color w:val="000000" w:themeColor="text1"/>
        </w:rPr>
        <w:t xml:space="preserve">There is evidence that vaccination coverage varies by geographic region. In the United States, state-level policies requiring vaccination of school-going children have been identified as important strategies for improving vaccination coverage (Omer et al, 2009). On the other hand, policies allowing vaccination exemptions, particularly philosophical and religious exemptions, have been implicated in contributing to reductions in vaccination coverage and potential increases in the burden of vaccine-preventable diseases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{"citationItems":[{"id":"ITEM-1","itemData":{"DOI":"10.1377/hlthaff.2013.0239","ISSN":"02782715","PMID":"23836745","abstract":"Rates of nonmedical exemptions from school immunizations are increasing and have been associated with resurfacing clusters of vaccine-preventable diseases, such as measles. Historically, state-level school immunization policies successfully suppressed such diseases. We examined state immunization exemption regulations across the United States. We assessed procedures for exempting schoolchildren and whether exemption rates were associated with the complexity of the procedures. We also analyzed legal definitions of religious objections and state legislatures' recent modifications to exemption policies. We found that states with simpler immunization exemption procedures had nonmedical exemption rates that were more than twice as high as those in states with more-complex procedures. We also found that the stringency of legal definitions of religious exemptions was not associated with exemption procedure complexity. Finally, we found that although there were more attempts by state legislatures to broaden exemptions than to tighten them in 2011-13, only bills tightening exemptions passed. Policy makers seeking to control exemption rates to achieve public health goals should consider tightening nonmedical exemption procedures and should add vaccine education components to the procedures by either mandating or encouraging yearly educational sessions in schools for parents reluctant to have their children vaccinated. © 2013 Project HOPE- The People-to-People Health Foundation, Inc.","author":[{"dropping-particle":"","family":"Blank","given":"Nina R.","non-dropping-particle":"","parse-names":false,"suffix":""},{"dropping-particle":"","family":"Caplan","given":"Arthur L.","non-dropping-particle":"","parse-names":false,"suffix":""},{"dropping-particle":"","family":"Constable","given":"Catherine","non-dropping-particle":"","parse-names":false,"suffix":""}],"container-title":"Health Affairs","id":"ITEM-1","issue":"7","issued":{"date-parts":[["2013"]]},"page":"1282-1290","title":"Exempting schoolchildren from immunizations: States with few barriers had highest rates of nonmedical exemptions","type":"article-journal","volume":"32"},"uris":["http://www.mendeley.com/documents/?uuid=b72ec141-6353-40f0-9e3b-8df76e523c7b"]}],"mendeley":{"formattedCitation":"(Blank, Caplan &amp; Constable, 2013)","plainTextFormattedCitation":"(Blank, Caplan &amp; Constable, 2013)","previouslyFormattedCitation":"(Blank, Caplan &amp; Constable, 2013)"},"properties":{"noteIndex":0},"schema":"https://github.com/citation-style-language/schema/raw/master/csl-citation.json"}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(Blank, Caplan &amp; Constable, 2013)</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Unfortunately, vaccination exemption policies are not consistent across the country and vary widely from state to state. Currently, all 50 US states and Washington, DC allow medical exemptions for school-going children while 48 states and Washington, DC allow religious exemptions, and 20 allow philosophical or personal belief exemptions </w:t>
      </w:r>
      <w:r w:rsidRPr="003D2D46">
        <w:rPr>
          <w:rFonts w:ascii="Times New Roman" w:eastAsia="Calibri" w:hAnsi="Times New Roman" w:cs="Times New Roman"/>
          <w:color w:val="000000" w:themeColor="text1"/>
        </w:rPr>
        <w:fldChar w:fldCharType="begin" w:fldLock="1"/>
      </w:r>
      <w:r w:rsidR="00201EA9" w:rsidRPr="003D2D46">
        <w:rPr>
          <w:rFonts w:ascii="Times New Roman" w:eastAsia="Calibri" w:hAnsi="Times New Roman" w:cs="Times New Roman"/>
          <w:color w:val="000000" w:themeColor="text1"/>
        </w:rPr>
        <w:instrText>ADDIN CSL_CITATION {"citationItems":[{"id":"ITEM-1","itemData":{"URL":"https://www.ncsl.org/research/health/school-immunization-exemption-state-laws.aspx","accessed":{"date-parts":[["2021","11","14"]]},"author":[{"dropping-particle":"","family":"National Conference of State Legislatures (NCSL)","given":"","non-dropping-particle":"","parse-names":false,"suffix":""}],"id":"ITEM-1","issued":{"date-parts":[["2021"]]},"title":"States With Religious and Philosophical Exemptions From School Immunization Requirements","type":"webpage"},"uris":["http://www.mendeley.com/documents/?uuid=0bce8b1b-4e3d-48df-b1bd-7885904aad8c"]}],"mendeley":{"formattedCitation":"(National Conference of State Legislatures (NCSL), 2021)","plainTextFormattedCitation":"(National Conference of State Legislatures (NCSL), 2021)","previouslyFormattedCitation":"(National Conference of State Legislatures (NCSL), 2021)"},"properties":{"noteIndex":0},"schema":"https://github.com/citation-style-language/schema/raw/master/csl-citation.json"}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16B8D" w:rsidRPr="003D2D46">
        <w:rPr>
          <w:rFonts w:ascii="Times New Roman" w:eastAsia="Calibri" w:hAnsi="Times New Roman" w:cs="Times New Roman"/>
          <w:noProof/>
          <w:color w:val="000000" w:themeColor="text1"/>
        </w:rPr>
        <w:t>(National Conference of State Legislatures (NCSL), 2021)</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Across the country, only California, Maine, New York, Mississippi, and West Virginia do not allow these types of non-medical exemptions </w:t>
      </w:r>
      <w:r w:rsidRPr="003D2D46">
        <w:rPr>
          <w:rFonts w:ascii="Times New Roman" w:eastAsia="Calibri" w:hAnsi="Times New Roman" w:cs="Times New Roman"/>
          <w:color w:val="000000" w:themeColor="text1"/>
        </w:rPr>
        <w:fldChar w:fldCharType="begin" w:fldLock="1"/>
      </w:r>
      <w:r w:rsidR="00201EA9" w:rsidRPr="003D2D46">
        <w:rPr>
          <w:rFonts w:ascii="Times New Roman" w:eastAsia="Calibri" w:hAnsi="Times New Roman" w:cs="Times New Roman"/>
          <w:color w:val="000000" w:themeColor="text1"/>
        </w:rPr>
        <w:instrText>ADDIN CSL_CITATION {"citationItems":[{"id":"ITEM-1","itemData":{"DOI":"10.1016/j.vaccine.2014.01.085","ISSN":"18732518","PMID":"24530934","abstract":"Parents of school-age children are increasingly claiming nonmedical exemptions to refuse vaccinations required for school entry. The resultant unvaccinated pockets in many areas of the country have been linked with outbreaks of vaccine-preventable diseases. Many states are now focused on reducing rates of nonmedical exemptions by making exemption processes more restrictive or burdensome for the exemptor. These strategies, however, pose ethical problems and may ultimately be inadequate. A shift to strategies that raise the financial liabilities of exemptors may lead to better success and prove ethically more sound. Potential areas of reform include tax law, health insurance, and private school funding programs. We advocate an approach that combines this type of incentive with more effective vaccination education. © 2014 Elsevier Ltd.","author":[{"dropping-particle":"","family":"Constable","given":"Catherine","non-dropping-particle":"","parse-names":false,"suffix":""},{"dropping-particle":"","family":"Blank","given":"Nina R.","non-dropping-particle":"","parse-names":false,"suffix":""},{"dropping-particle":"","family":"Caplan","given":"Arthur L.","non-dropping-particle":"","parse-names":false,"suffix":""}],"container-title":"Vaccine","id":"ITEM-1","issue":"16","issued":{"date-parts":[["2014"]]},"page":"1793-1797","publisher":"Elsevier Ltd","title":"Rising rates of vaccine exemptions: Problems with current policy and more promising remedies","type":"article-journal","volume":"32"},"uris":["http://www.mendeley.com/documents/?uuid=38214769-27f5-46d3-9eb5-4fee051a790d"]},{"id":"ITEM-2","itemData":{"DOI":"10.1542/peds.2019-2710","ISSN":"0031-4005","abstract":"Forty-five states permit religious exemptions to school immunization laws; 15 allow personal belief exemptions. Updated religious exemption estimates are lacking, and it is unclear if personal belief exemption availability impacts religious exemption rates. We aimed to (1) update religious exemption trends in kindergartners, (2) compare states' proportions of kindergartners with religious exemptions by personal belief exemption availability, and (3) describe whether the proportion of kindergartners with religious exemptions changed in Vermont after it eliminated personal belief exemptions in 2016.\nWe analyzed Centers for Disease Control and Prevention data on exemptions for children entering kindergarten from 2011 to 2018, including 295 state-years in our final analysis. Using a quasi-binomial regression analysis, we compared mean proportions of kindergartners with religious exemptions in states allowing both nonmedical exemptions against states with religious exemptions only, adjusting for policy strength and school year.\nStates with religious and personal belief exemptions were one-fourth as likely to have kindergartners with religious exemptions as states with religious exemptions only (risk ratio 0.25; 95% confidence interval 0.16-0.38). After Vermont's policy change, the mean proportion of kindergartners with a religious exemption increased from 0.5% to 3.7%. States were significantly more likely to have kindergartners with religious exemptions during the 2017-2018 school year compared with the 2011-2012 school year ( = .04).\nReligious exemption rates appear to be associated with personal belief exemption availability, may be subject to a replacement effect on personal belief exemption elimination, and are increasing. Researchers and policy makers should confirm findings with individual-level studies and reconsider the purpose and nature of religious exemption laws.","author":[{"dropping-particle":"","family":"Williams","given":"Joshua T.B.","non-dropping-particle":"","parse-names":false,"suffix":""},{"dropping-particle":"","family":"Rice","given":"John","non-dropping-particle":"","parse-names":false,"suffix":""},{"dropping-particle":"","family":"Cox-Martin","given":"Matt","non-dropping-particle":"","parse-names":false,"suffix":""},{"dropping-particle":"","family":"Bayliss","given":"Elizabeth A","non-dropping-particle":"","parse-names":false,"suffix":""},{"dropping-particle":"","family":"O’Leary","given":"Sean T.","non-dropping-particle":"","parse-names":false,"suffix":""}],"container-title":"Pediatrics","id":"ITEM-2","issue":"6","issued":{"date-parts":[["2019"]]},"page":"e20192710","title":"Religious Vaccine Exemptions in Kindergartners: 2011–2018","type":"article-journal","volume":"144"},"uris":["http://www.mendeley.com/documents/?uuid=07a90bea-cfe0-40e7-9299-9553cdebb788"]},{"id":"ITEM-3","itemData":{"URL":"https://www.ncsl.org/research/health/school-immunization-exemption-state-laws.aspx","accessed":{"date-parts":[["2021","11","14"]]},"author":[{"dropping-particle":"","family":"National Conference of State Legislatures (NCSL)","given":"","non-dropping-particle":"","parse-names":false,"suffix":""}],"id":"ITEM-3","issued":{"date-parts":[["2021"]]},"title":"States With Religious and Philosophical Exemptions From School Immunization Requirements","type":"webpage"},"uris":["http://www.mendeley.com/documents/?uuid=0bce8b1b-4e3d-48df-b1bd-7885904aad8c"]}],"mendeley":{"formattedCitation":"(Constable, Blank &amp; Caplan, 2014; Williams et al., 2019; National Conference of State Legislatures (NCSL), 2021)","plainTextFormattedCitation":"(Constable, Blank &amp; Caplan, 2014; Williams et al., 2019; National Conference of State Legislatures (NCSL), 2021)","previouslyFormattedCitation":"(Constable, Blank &amp; Caplan, 2014; Williams et al., 2019; National Conference of State Legislatures (NCSL), 2021)"},"properties":{"noteIndex":0},"schema":"https://github.com/citation-style-language/schema/raw/master/csl-citation.json"}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16B8D" w:rsidRPr="003D2D46">
        <w:rPr>
          <w:rFonts w:ascii="Times New Roman" w:eastAsia="Calibri" w:hAnsi="Times New Roman" w:cs="Times New Roman"/>
          <w:noProof/>
          <w:color w:val="000000" w:themeColor="text1"/>
        </w:rPr>
        <w:t xml:space="preserve">(Constable, Blank &amp; Caplan, 2014; Williams et al., 2019; National Conference of State </w:t>
      </w:r>
      <w:r w:rsidR="00116B8D" w:rsidRPr="003D2D46">
        <w:rPr>
          <w:rFonts w:ascii="Times New Roman" w:eastAsia="Calibri" w:hAnsi="Times New Roman" w:cs="Times New Roman"/>
          <w:noProof/>
          <w:color w:val="000000" w:themeColor="text1"/>
        </w:rPr>
        <w:lastRenderedPageBreak/>
        <w:t>Legislatures (NCSL), 2021)</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Since states vary widely in the rates of accommodations of religious or philosophical objections to vaccination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{"citationItems":[{"id":"ITEM-1","itemData":{"DOI":"10.1093/aje/kwn263","ISSN":"00029262","abstract":"School immunization requirements are important in controlling vaccine-preventable diseases in the United States. Forty-eight states offer nonmedical exemptions to school immunization requirements. Children with exemptions are at increased risk of contracting and transmitting vaccine-preventable diseases. The clustering of nonmedical exemptions can affect community risk of vaccine-preventable diseases. The authors evaluated spatial clustering of nonmedical exemptions in Michigan and geographic overlap between exemptions clusters and clusters of reported pertussis cases. Kulldorf's scan statistic identified 23 statistically significant census tract clusters for exemption rates and 6 significant census tract clusters for reported pertussis cases between 1993 and 2004. The time frames for significant space-time pertussis clusters were August 1993-September 1993, August 1994-February 1995, May 1998-June 1998, April 2002, May 2003-July 2003, and June 2004-November 2004. Census tracts in exemptions clusters were more likely to be in pertussis clusters (odds ratio = 3.0, 95% confidence interval: 2.5, 3.6). The overlap of exemptions clusters and pertussis clusters remained significant after adjustment for population density, proportion of racial/ethnic minorities, proportion of children aged 5 years or younger, percentage of persons below the poverty level, and average family size (odds ratio = 2.7, 95% confidence interval: 2.2, 3.3). Geographic pockets of vaccine exemptors pose a risk to the whole community. In addition to monitoring state-level exemption rates, health authorities should be mindful of within-state heterogeneity. © The Author 2008. Published by the Johns Hopkins Bloomberg School of Public Health. All rights reserved.","author":[{"dropping-particle":"","family":"Omer","given":"Saad B.","non-dropping-particle":"","parse-names":false,"suffix":""},{"dropping-particle":"","family":"Enger","given":"Kyle S.","non-dropping-particle":"","parse-names":false,"suffix":""},{"dropping-particle":"","family":"Moulton","given":"Lawrence H.","non-dropping-particle":"","parse-names":false,"suffix":""},{"dropping-particle":"","family":"Halsey","given":"Neal A.","non-dropping-particle":"","parse-names":false,"suffix":""},{"dropping-particle":"","family":"Stokley","given":"Shannon","non-dropping-particle":"","parse-names":false,"suffix":""},{"dropping-particle":"","family":"Salmon","given":"Daniel A.","non-dropping-particle":"","parse-names":false,"suffix":""}],"container-title":"American Journal of Epidemiology","id":"ITEM-1","issue":"12","issued":{"date-parts":[["2008","12"]]},"page":"1389-1396","title":"Geographic clustering of nonmedical exemptions to school immunization requirements and associations with geographic clustering of pertussis","type":"article-journal","volume":"168"},"uris":["http://www.mendeley.com/documents/?uuid=c7078780-e5ce-465d-b6ba-b6813a598960"]},{"id":"ITEM-2","itemData":{"DOI":"10.1016/j.vaccine.2014.01.085","ISSN":"18732518","PMID":"24530934","abstract":"Parents of school-age children are increasingly claiming nonmedical exemptions to refuse vaccinations required for school entry. The resultant unvaccinated pockets in many areas of the country have been linked with outbreaks of vaccine-preventable diseases. Many states are now focused on reducing rates of nonmedical exemptions by making exemption processes more restrictive or burdensome for the exemptor. These strategies, however, pose ethical problems and may ultimately be inadequate. A shift to strategies that raise the financial liabilities of exemptors may lead to better success and prove ethically more sound. Potential areas of reform include tax law, health insurance, and private school funding programs. We advocate an approach that combines this type of incentive with more effective vaccination education. © 2014 Elsevier Ltd.","author":[{"dropping-particle":"","family":"Constable","given":"Catherine","non-dropping-particle":"","parse-names":false,"suffix":""},{"dropping-particle":"","family":"Blank","given":"Nina R.","non-dropping-particle":"","parse-names":false,"suffix":""},{"dropping-particle":"","family":"Caplan","given":"Arthur L.","non-dropping-particle":"","parse-names":false,"suffix":""}],"container-title":"Vaccine","id":"ITEM-2","issue":"16","issued":{"date-parts":[["2014"]]},"page":"1793-1797","publisher":"Elsevier Ltd","title":"Rising rates of vaccine exemptions: Problems with current policy and more promising remedies","type":"article-journal","volume":"32"},"uris":["http://www.mendeley.com/documents/?uuid=38214769-27f5-46d3-9eb5-4fee051a790d"]},{"id":"ITEM-3","itemData":{"DOI":"10.1542/peds.2013-0878","ISSN":"00314005","abstract":"Background: In 2010, 9120 cases of pertussis were reported in California, more than any year since 1947. Although this resurgence has been widely attributed to waning immunity of the acellular vaccine, the role of vaccine refusal has not been explored in the published literature. Many factors likely contributed to the outbreak, includingthe cyclical nature of pertussis, improved diagnosis, and waning immunity; however, itis important to understand if clustering of unvaccinated individuals also played a role. Methods: We analyzed nonmedical exemptions (NMEs) for children entering kindergarten from 2005 through 2010 and pertussis cases with onset in 2010 in California to determine if NMEs increased in that period, if children obtaining NMEs clustered spatially, if pertussis cases clustered spatially and temporally, and if there was statistically significant overlap between clusters of NMEs and cases. Results: Kulldorff's scan statistics identified 39 statistically significant clusters of high NME rates and 2 statistically significant clusters of pertussis cases in this time period. Census tracts within an exemptions cluster were 2.5 times more likely to be in a pertussis cluster (odds ratio = 2.47, 95% confidence interval: 2.22-2.75). More cases occurred within as compared with outside exemptions clusters (incident rate ratios = 1.20, 95% confidence interval: 1.10-1.30). The association remained significant after adjustment for demographic factors. NMEs clustered spatially and were associated with clusters of pertussiscases. Conclusions: Our data suggest clustering of NMEs may have been 1 of several factors in the 2010 California pertussis resurgence. © 2013 by the American Academy of Pediatrics.","author":[{"dropping-particle":"","family":"Atwell","given":"Jessica E.","non-dropping-particle":"","parse-names":false,"suffix":""},{"dropping-particle":"","family":"Otterloo","given":"Josh","non-dropping-particle":"Van","parse-names":false,"suffix":""},{"dropping-particle":"","family":"Zipprich","given":"Jennifer","non-dropping-particle":"","parse-names":false,"suffix":""},{"dropping-particle":"","family":"Winter","given":"Kathleen","non-dropping-particle":"","parse-names":false,"suffix":""},{"dropping-particle":"","family":"Harriman","given":"Kathleen","non-dropping-particle":"","parse-names":false,"suffix":""},{"dropping-particle":"","family":"Salmon","given":"Daniel A.","non-dropping-particle":"","parse-names":false,"suffix":""},{"dropping-particle":"","family":"Halsey","given":"Neal A.","non-dropping-particle":"","parse-names":false,"suffix":""},{"dropping-particle":"","family":"Omer","given":"Saad B.","non-dropping-particle":"","parse-names":false,"suffix":""}],"container-title":"Pediatrics","id":"ITEM-3","issue":"4","issued":{"date-parts":[["2013"]]},"page":"624-630","title":"Nonmedical vaccine exemptions and pertussis in California, 2010","type":"article-journal","volume":"132"},"uris":["http://www.mendeley.com/documents/?uuid=0c05451c-1436-423b-9a47-6baa9d857108"]},{"id":"ITEM-4","itemData":{"DOI":"10.1001/jama.296.14.1757","ISSN":"0098-7484","abstract":"ContextSchool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A.","non-dropping-particle":"","parse-names":false,"suffix":""}],"container-title":"Jama","id":"ITEM-4","issue":"14","issued":{"date-parts":[["2006"]]},"page":"1757","title":"Nonmedical Exemptions to School Immunization Requirements","type":"article-journal","volume":"296"},"uris":["http://www.mendeley.com/documents/?uuid=63cf2c52-42f3-4e7f-bb8d-fd5244a0e858"]}],"mendeley":{"formattedCitation":"(Omer et al., 2006, 2008; Atwell et al., 2013; Constable, Blank &amp; Caplan, 2014)","plainTextFormattedCitation":"(Omer et al., 2006, 2008; Atwell et al., 2013; Constable, Blank &amp; Caplan, 2014)","previouslyFormattedCitation":"(Omer et al., 2006, 2008; Atwell et al., 2013; Constable, Blank &amp; Caplan, 2014)"},"properties":{"noteIndex":0},"schema":"https://github.com/citation-style-language/schema/raw/master/csl-citation.json"}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0C1FD1" w:rsidRPr="003D2D46">
        <w:rPr>
          <w:rFonts w:ascii="Times New Roman" w:eastAsia="Calibri" w:hAnsi="Times New Roman" w:cs="Times New Roman"/>
          <w:noProof/>
          <w:color w:val="000000" w:themeColor="text1"/>
        </w:rPr>
        <w:t>(Omer et al., 2006, 2008; Atwell et al., 2013; Constable, Blank &amp; Caplan, 2014)</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the ease of getting vaccination exemptions varies widely. As a result, states having more strict or arduous exemption processes have lower rates of vaccination exemptions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{"citationItems":[{"id":"ITEM-1","itemData":{"DOI":"10.1016/j.vaccine.2014.01.085","ISSN":"18732518","PMID":"24530934","abstract":"Parents of school-age children are increasingly claiming nonmedical exemptions to refuse vaccinations required for school entry. The resultant unvaccinated pockets in many areas of the country have been linked with outbreaks of vaccine-preventable diseases. Many states are now focused on reducing rates of nonmedical exemptions by making exemption processes more restrictive or burdensome for the exemptor. These strategies, however, pose ethical problems and may ultimately be inadequate. A shift to strategies that raise the financial liabilities of exemptors may lead to better success and prove ethically more sound. Potential areas of reform include tax law, health insurance, and private school funding programs. We advocate an approach that combines this type of incentive with more effective vaccination education. © 2014 Elsevier Ltd.","author":[{"dropping-particle":"","family":"Constable","given":"Catherine","non-dropping-particle":"","parse-names":false,"suffix":""},{"dropping-particle":"","family":"Blank","given":"Nina R.","non-dropping-particle":"","parse-names":false,"suffix":""},{"dropping-particle":"","family":"Caplan","given":"Arthur L.","non-dropping-particle":"","parse-names":false,"suffix":""}],"container-title":"Vaccine","id":"ITEM-1","issue":"16","issued":{"date-parts":[["2014"]]},"page":"1793-1797","publisher":"Elsevier Ltd","title":"Rising rates of vaccine exemptions: Problems with current policy and more promising remedies","type":"article-journal","volume":"32"},"uris":["http://www.mendeley.com/documents/?uuid=38214769-27f5-46d3-9eb5-4fee051a790d"]},{"id":"ITEM-2","itemData":{"DOI":"10.1093/aje/kwn263","ISSN":"00029262","abstract":"School immunization requirements are important in controlling vaccine-preventable diseases in the United States. Forty-eight states offer nonmedical exemptions to school immunization requirements. Children with exemptions are at increased risk of contracting and transmitting vaccine-preventable diseases. The clustering of nonmedical exemptions can affect community risk of vaccine-preventable diseases. The authors evaluated spatial clustering of nonmedical exemptions in Michigan and geographic overlap between exemptions clusters and clusters of reported pertussis cases. Kulldorf's scan statistic identified 23 statistically significant census tract clusters for exemption rates and 6 significant census tract clusters for reported pertussis cases between 1993 and 2004. The time frames for significant space-time pertussis clusters were August 1993-September 1993, August 1994-February 1995, May 1998-June 1998, April 2002, May 2003-July 2003, and June 2004-November 2004. Census tracts in exemptions clusters were more likely to be in pertussis clusters (odds ratio = 3.0, 95% confidence interval: 2.5, 3.6). The overlap of exemptions clusters and pertussis clusters remained significant after adjustment for population density, proportion of racial/ethnic minorities, proportion of children aged 5 years or younger, percentage of persons below the poverty level, and average family size (odds ratio = 2.7, 95% confidence interval: 2.2, 3.3). Geographic pockets of vaccine exemptors pose a risk to the whole community. In addition to monitoring state-level exemption rates, health authorities should be mindful of within-state heterogeneity. © The Author 2008. Published by the Johns Hopkins Bloomberg School of Public Health. All rights reserved.","author":[{"dropping-particle":"","family":"Omer","given":"Saad B.","non-dropping-particle":"","parse-names":false,"suffix":""},{"dropping-particle":"","family":"Enger","given":"Kyle S.","non-dropping-particle":"","parse-names":false,"suffix":""},{"dropping-particle":"","family":"Moulton","given":"Lawrence H.","non-dropping-particle":"","parse-names":false,"suffix":""},{"dropping-particle":"","family":"Halsey","given":"Neal A.","non-dropping-particle":"","parse-names":false,"suffix":""},{"dropping-particle":"","family":"Stokley","given":"Shannon","non-dropping-particle":"","parse-names":false,"suffix":""},{"dropping-particle":"","family":"Salmon","given":"Daniel A.","non-dropping-particle":"","parse-names":false,"suffix":""}],"container-title":"American Journal of Epidemiology","id":"ITEM-2","issue":"12","issued":{"date-parts":[["2008","12"]]},"page":"1389-1396","title":"Geographic clustering of nonmedical exemptions to school immunization requirements and associations with geographic clustering of pertussis","type":"article-journal","volume":"168"},"uris":["http://www.mendeley.com/documents/?uuid=c7078780-e5ce-465d-b6ba-b6813a598960"]},{"id":"ITEM-3","itemData":{"DOI":"10.1542/peds.2013-0878","ISSN":"00314005","abstract":"Background: In 2010, 9120 cases of pertussis were reported in California, more than any year since 1947. Although this resurgence has been widely attributed to waning immunity of the acellular vaccine, the role of vaccine refusal has not been explored in the published literature. Many factors likely contributed to the outbreak, includingthe cyclical nature of pertussis, improved diagnosis, and waning immunity; however, itis important to understand if clustering of unvaccinated individuals also played a role. Methods: We analyzed nonmedical exemptions (NMEs) for children entering kindergarten from 2005 through 2010 and pertussis cases with onset in 2010 in California to determine if NMEs increased in that period, if children obtaining NMEs clustered spatially, if pertussis cases clustered spatially and temporally, and if there was statistically significant overlap between clusters of NMEs and cases. Results: Kulldorff's scan statistics identified 39 statistically significant clusters of high NME rates and 2 statistically significant clusters of pertussis cases in this time period. Census tracts within an exemptions cluster were 2.5 times more likely to be in a pertussis cluster (odds ratio = 2.47, 95% confidence interval: 2.22-2.75). More cases occurred within as compared with outside exemptions clusters (incident rate ratios = 1.20, 95% confidence interval: 1.10-1.30). The association remained significant after adjustment for demographic factors. NMEs clustered spatially and were associated with clusters of pertussiscases. Conclusions: Our data suggest clustering of NMEs may have been 1 of several factors in the 2010 California pertussis resurgence. © 2013 by the American Academy of Pediatrics.","author":[{"dropping-particle":"","family":"Atwell","given":"Jessica E.","non-dropping-particle":"","parse-names":false,"suffix":""},{"dropping-particle":"","family":"Otterloo","given":"Josh","non-dropping-particle":"Van","parse-names":false,"suffix":""},{"dropping-particle":"","family":"Zipprich","given":"Jennifer","non-dropping-particle":"","parse-names":false,"suffix":""},{"dropping-particle":"","family":"Winter","given":"Kathleen","non-dropping-particle":"","parse-names":false,"suffix":""},{"dropping-particle":"","family":"Harriman","given":"Kathleen","non-dropping-particle":"","parse-names":false,"suffix":""},{"dropping-particle":"","family":"Salmon","given":"Daniel A.","non-dropping-particle":"","parse-names":false,"suffix":""},{"dropping-particle":"","family":"Halsey","given":"Neal A.","non-dropping-particle":"","parse-names":false,"suffix":""},{"dropping-particle":"","family":"Omer","given":"Saad B.","non-dropping-particle":"","parse-names":false,"suffix":""}],"container-title":"Pediatrics","id":"ITEM-3","issue":"4","issued":{"date-parts":[["2013"]]},"page":"624-630","title":"Nonmedical vaccine exemptions and pertussis in California, 2010","type":"article-journal","volume":"132"},"uris":["http://www.mendeley.com/documents/?uuid=0c05451c-1436-423b-9a47-6baa9d857108"]},{"id":"ITEM-4","itemData":{"DOI":"10.1001/jama.296.14.1757","ISSN":"0098-7484","abstract":"ContextSchool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A.","non-dropping-particle":"","parse-names":false,"suffix":""}],"container-title":"Jama","id":"ITEM-4","issue":"14","issued":{"date-parts":[["2006"]]},"page":"1757","title":"Nonmedical Exemptions to School Immunization Requirements","type":"article-journal","volume":"296"},"uris":["http://www.mendeley.com/documents/?uuid=63cf2c52-42f3-4e7f-bb8d-fd5244a0e858"]}],"mendeley":{"formattedCitation":"(Omer et al., 2006, 2008; Atwell et al., 2013; Constable, Blank &amp; Caplan, 2014)","plainTextFormattedCitation":"(Omer et al., 2006, 2008; Atwell et al., 2013; Constable, Blank &amp; Caplan, 2014)","previouslyFormattedCitation":"(Omer et al., 2006, 2008; Atwell et al., 2013; Constable, Blank &amp; Caplan, 2014)"},"properties":{"noteIndex":0},"schema":"https://github.com/citation-style-language/schema/raw/master/csl-citation.json"}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0C1FD1" w:rsidRPr="003D2D46">
        <w:rPr>
          <w:rFonts w:ascii="Times New Roman" w:eastAsia="Calibri" w:hAnsi="Times New Roman" w:cs="Times New Roman"/>
          <w:noProof/>
          <w:color w:val="000000" w:themeColor="text1"/>
        </w:rPr>
        <w:t>(Omer et al., 2006, 2008; Atwell et al., 2013; Constable, Blank &amp; Caplan, 2014)</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xml:space="preserve">. The rigor of the approval process for religious exemptions also varies significantly across the country and often only requires a parent/guardian’s signature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{"citationItems":[{"id":"ITEM-1","itemData":{"DOI":"10.1377/hlthaff.2013.0239","ISSN":"02782715","PMID":"23836745","abstract":"Rates of nonmedical exemptions from school immunizations are increasing and have been associated with resurfacing clusters of vaccine-preventable diseases, such as measles. Historically, state-level school immunization policies successfully suppressed such diseases. We examined state immunization exemption regulations across the United States. We assessed procedures for exempting schoolchildren and whether exemption rates were associated with the complexity of the procedures. We also analyzed legal definitions of religious objections and state legislatures' recent modifications to exemption policies. We found that states with simpler immunization exemption procedures had nonmedical exemption rates that were more than twice as high as those in states with more-complex procedures. We also found that the stringency of legal definitions of religious exemptions was not associated with exemption procedure complexity. Finally, we found that although there were more attempts by state legislatures to broaden exemptions than to tighten them in 2011-13, only bills tightening exemptions passed. Policy makers seeking to control exemption rates to achieve public health goals should consider tightening nonmedical exemption procedures and should add vaccine education components to the procedures by either mandating or encouraging yearly educational sessions in schools for parents reluctant to have their children vaccinated. © 2013 Project HOPE- The People-to-People Health Foundation, Inc.","author":[{"dropping-particle":"","family":"Blank","given":"Nina R.","non-dropping-particle":"","parse-names":false,"suffix":""},{"dropping-particle":"","family":"Caplan","given":"Arthur L.","non-dropping-particle":"","parse-names":false,"suffix":""},{"dropping-particle":"","family":"Constable","given":"Catherine","non-dropping-particle":"","parse-names":false,"suffix":""}],"container-title":"Health Affairs","id":"ITEM-1","issue":"7","issued":{"date-parts":[["2013"]]},"page":"1282-1290","title":"Exempting schoolchildren from immunizations: States with few barriers had highest rates of nonmedical exemptions","type":"article-journal","volume":"32"},"uris":["http://www.mendeley.com/documents/?uuid=b72ec141-6353-40f0-9e3b-8df76e523c7b"]}],"mendeley":{"formattedCitation":"(Blank, Caplan &amp; Constable, 2013)","plainTextFormattedCitation":"(Blank, Caplan &amp; Constable, 2013)","previouslyFormattedCitation":"(Blank, Caplan &amp; Constable, 2013)"},"properties":{"noteIndex":0},"schema":"https://github.com/citation-style-language/schema/raw/master/csl-citation.json"}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(Blank, Caplan &amp; Constable, 2013)</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w:t>
      </w:r>
    </w:p>
    <w:p w14:paraId="2ABEF2E3" w14:textId="77777777" w:rsidR="00EA09C6" w:rsidRPr="003D2D46" w:rsidRDefault="00EA09C6" w:rsidP="00580A15">
      <w:pPr>
        <w:spacing w:line="480" w:lineRule="auto"/>
        <w:rPr>
          <w:rFonts w:ascii="Times New Roman" w:hAnsi="Times New Roman" w:cs="Times New Roman"/>
          <w:color w:val="000000" w:themeColor="text1"/>
        </w:rPr>
      </w:pPr>
    </w:p>
    <w:p w14:paraId="7A78CAB3" w14:textId="38AF5CBB" w:rsidR="00EA09C6" w:rsidRPr="003D2D46" w:rsidRDefault="00EA09C6"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t xml:space="preserve">The role of vaccine exemptions in the transmission of vaccine-preventable diseases, particularly measles and pertussis, has been of particular interest as incidence rates of vaccine-preventable diseases have increased. Omer et al. (2006) reported that philosophical/personal belief exemptions were associated with increased pertussis incidence (Incidence Risk Ratio [IRR])=1.48) between 2000 and 2004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A.","non-dropping-particle":"","parse-names":false,"suffix":""}],"container-title":"Jama","id":"ITEM-1","issue":"14","issued":{"date-parts":[["2006"]]},"page":"1757","title":"Nonmedical Exemptions to School Immunization Requirements","type":"article-journal","volume":"296"},"uris":["http://www.mendeley.com/documents/?uuid=63cf2c52-42f3-4e7f-bb8d-fd5244a0e858"]}],"mendeley":{"formattedCitation":"(Omer et al., 2006)","plainTextFormattedCitation":"(Omer et al., 2006)","previouslyFormattedCitation":"(Omer et al., 2006)"},"properties":{"noteIndex":0},"schema":"https://github.com/citation-style-language/schema/raw/master/csl-citation.json"}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0C1FD1" w:rsidRPr="003D2D46">
        <w:rPr>
          <w:rFonts w:ascii="Times New Roman" w:eastAsia="Calibri" w:hAnsi="Times New Roman" w:cs="Times New Roman"/>
          <w:noProof/>
          <w:color w:val="000000" w:themeColor="text1"/>
        </w:rPr>
        <w:t>(Omer et al., 2006)</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Similarly, Atwell et al.’s geographic analysis of non</w:t>
      </w:r>
      <w:r w:rsidR="00631820" w:rsidRPr="003D2D46">
        <w:rPr>
          <w:rFonts w:ascii="Times New Roman" w:eastAsia="Calibri" w:hAnsi="Times New Roman" w:cs="Times New Roman"/>
          <w:color w:val="000000" w:themeColor="text1"/>
        </w:rPr>
        <w:t>-</w:t>
      </w:r>
      <w:r w:rsidRPr="003D2D46">
        <w:rPr>
          <w:rFonts w:ascii="Times New Roman" w:eastAsia="Calibri" w:hAnsi="Times New Roman" w:cs="Times New Roman"/>
          <w:color w:val="000000" w:themeColor="text1"/>
        </w:rPr>
        <w:t xml:space="preserve">medical exemptions and pertussis risk in California reported that clusters of non-medical exemptions at the census tract level were associated with higher pertussis risk (IRR=1.20)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{"citationItems":[{"id":"ITEM-1","itemData":{"DOI":"10.1542/peds.2013-0878","ISSN":"00314005","abstract":"Background: In 2010, 9120 cases of pertussis were reported in California, more than any year since 1947. Although this resurgence has been widely attributed to waning immunity of the acellular vaccine, the role of vaccine refusal has not been explored in the published literature. Many factors likely contributed to the outbreak, includingthe cyclical nature of pertussis, improved diagnosis, and waning immunity; however, itis important to understand if clustering of unvaccinated individuals also played a role. Methods: We analyzed nonmedical exemptions (NMEs) for children entering kindergarten from 2005 through 2010 and pertussis cases with onset in 2010 in California to determine if NMEs increased in that period, if children obtaining NMEs clustered spatially, if pertussis cases clustered spatially and temporally, and if there was statistically significant overlap between clusters of NMEs and cases. Results: Kulldorff's scan statistics identified 39 statistically significant clusters of high NME rates and 2 statistically significant clusters of pertussis cases in this time period. Census tracts within an exemptions cluster were 2.5 times more likely to be in a pertussis cluster (odds ratio = 2.47, 95% confidence interval: 2.22-2.75). More cases occurred within as compared with outside exemptions clusters (incident rate ratios = 1.20, 95% confidence interval: 1.10-1.30). The association remained significant after adjustment for demographic factors. NMEs clustered spatially and were associated with clusters of pertussiscases. Conclusions: Our data suggest clustering of NMEs may have been 1 of several factors in the 2010 California pertussis resurgence. © 2013 by the American Academy of Pediatrics.","author":[{"dropping-particle":"","family":"Atwell","given":"Jessica E.","non-dropping-particle":"","parse-names":false,"suffix":""},{"dropping-particle":"","family":"Otterloo","given":"Josh","non-dropping-particle":"Van","parse-names":false,"suffix":""},{"dropping-particle":"","family":"Zipprich","given":"Jennifer","non-dropping-particle":"","parse-names":false,"suffix":""},{"dropping-particle":"","family":"Winter","given":"Kathleen","non-dropping-particle":"","parse-names":false,"suffix":""},{"dropping-particle":"","family":"Harriman","given":"Kathleen","non-dropping-particle":"","parse-names":false,"suffix":""},{"dropping-particle":"","family":"Salmon","given":"Daniel A.","non-dropping-particle":"","parse-names":false,"suffix":""},{"dropping-particle":"","family":"Halsey","given":"Neal A.","non-dropping-particle":"","parse-names":false,"suffix":""},{"dropping-particle":"","family":"Omer","given":"Saad B.","non-dropping-particle":"","parse-names":false,"suffix":""}],"container-title":"Pediatrics","id":"ITEM-1","issue":"4","issued":{"date-parts":[["2013"]]},"page":"624-630","title":"Nonmedical vaccine exemptions and pertussis in California, 2010","type":"article-journal","volume":"132"},"uris":["http://www.mendeley.com/documents/?uuid=0c05451c-1436-423b-9a47-6baa9d857108"]}],"mendeley":{"formattedCitation":"(Atwell et al., 2013)","plainTextFormattedCitation":"(Atwell et al., 2013)","previouslyFormattedCitation":"(Atwell et al., 2013)"},"properties":{"noteIndex":0},"schema":"https://github.com/citation-style-language/schema/raw/master/csl-citation.json"}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(Atwell et al., 2013)</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 An understanding of the predictors of vaccination exemptions may be useful in guiding public health policy decisions and efforts geared towards improving vaccination coverage.</w:t>
      </w:r>
    </w:p>
    <w:p w14:paraId="070525E0" w14:textId="77777777" w:rsidR="00EA09C6" w:rsidRPr="003D2D46" w:rsidRDefault="00EA09C6" w:rsidP="00580A15">
      <w:pPr>
        <w:spacing w:line="480" w:lineRule="auto"/>
        <w:rPr>
          <w:rFonts w:ascii="Times New Roman" w:eastAsia="Calibri" w:hAnsi="Times New Roman" w:cs="Times New Roman"/>
          <w:color w:val="000000" w:themeColor="text1"/>
        </w:rPr>
      </w:pPr>
    </w:p>
    <w:p w14:paraId="6B8AA4C4" w14:textId="77777777" w:rsidR="00EA09C6" w:rsidRPr="003D2D46" w:rsidRDefault="00EA09C6" w:rsidP="00580A15">
      <w:pPr>
        <w:spacing w:line="480" w:lineRule="auto"/>
        <w:rPr>
          <w:rFonts w:ascii="Times New Roman" w:eastAsia="Calibri" w:hAnsi="Times New Roman" w:cs="Times New Roman"/>
          <w:color w:val="000000" w:themeColor="text1"/>
        </w:rPr>
      </w:pPr>
      <w:r w:rsidRPr="003D2D46">
        <w:rPr>
          <w:rFonts w:ascii="Times New Roman" w:eastAsia="Calibri" w:hAnsi="Times New Roman" w:cs="Times New Roman"/>
          <w:color w:val="000000" w:themeColor="text1"/>
        </w:rPr>
        <w:lastRenderedPageBreak/>
        <w:t>Non-medical reasons for vaccination exemptions may be closely related to population socioeconomic and demographic characteristics that, if identified, would guide efforts to reduce these non-medical exemptions, improve vaccination coverage, and better control vaccine-preventable diseases. Therefore, the objectives of this study were to identify: (a) geographic disparities in prevalence of vaccination exemptions; (b) socioeconomic and demographic predictors of vaccination exemptions among school-going children in Florida.</w:t>
      </w:r>
    </w:p>
    <w:p w14:paraId="40DFDB5B" w14:textId="77777777" w:rsidR="00ED4919" w:rsidRPr="003D2D46" w:rsidRDefault="00ED4919" w:rsidP="00580A15">
      <w:pPr>
        <w:spacing w:line="480" w:lineRule="auto"/>
        <w:rPr>
          <w:rFonts w:ascii="Times New Roman" w:hAnsi="Times New Roman" w:cs="Times New Roman"/>
          <w:color w:val="000000" w:themeColor="text1"/>
        </w:rPr>
      </w:pPr>
    </w:p>
    <w:p w14:paraId="66EEF81D" w14:textId="77777777" w:rsidR="00EA09C6" w:rsidRPr="003D2D46" w:rsidRDefault="00EA09C6" w:rsidP="00EF6B30">
      <w:pPr>
        <w:pStyle w:val="Heading2"/>
        <w:spacing w:line="480" w:lineRule="auto"/>
        <w:rPr>
          <w:rFonts w:cs="Times New Roman"/>
          <w:color w:val="000000" w:themeColor="text1"/>
          <w:szCs w:val="24"/>
        </w:rPr>
      </w:pPr>
      <w:bookmarkStart w:id="156" w:name="_Toc82445553"/>
      <w:bookmarkStart w:id="157" w:name="_Toc87797117"/>
      <w:r w:rsidRPr="003D2D46">
        <w:rPr>
          <w:rFonts w:cs="Times New Roman"/>
          <w:color w:val="000000" w:themeColor="text1"/>
          <w:szCs w:val="24"/>
        </w:rPr>
        <w:t>4.3 Methods</w:t>
      </w:r>
      <w:bookmarkEnd w:id="156"/>
      <w:bookmarkEnd w:id="157"/>
    </w:p>
    <w:p w14:paraId="78B16A5E" w14:textId="77777777" w:rsidR="00EA09C6" w:rsidRPr="003D2D46" w:rsidRDefault="00EA09C6" w:rsidP="005F5C47">
      <w:pPr>
        <w:pStyle w:val="Heading41111"/>
        <w:spacing w:line="480" w:lineRule="auto"/>
        <w:rPr>
          <w:rFonts w:cs="Times New Roman"/>
          <w:color w:val="000000" w:themeColor="text1"/>
        </w:rPr>
      </w:pPr>
      <w:bookmarkStart w:id="158" w:name="_Toc82445554"/>
      <w:bookmarkStart w:id="159" w:name="_Toc87797118"/>
      <w:r w:rsidRPr="003D2D46">
        <w:rPr>
          <w:rFonts w:cs="Times New Roman"/>
          <w:color w:val="000000" w:themeColor="text1"/>
        </w:rPr>
        <w:t>4.3.1 Study Area</w:t>
      </w:r>
      <w:bookmarkEnd w:id="158"/>
      <w:bookmarkEnd w:id="159"/>
    </w:p>
    <w:p w14:paraId="494A7F53" w14:textId="6F9A62C0" w:rsidR="00EA09C6" w:rsidRPr="003D2D46" w:rsidRDefault="00EA09C6" w:rsidP="005F5C4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retrospective study was conducted in Florida, which consists of 67 counties, both rural and urban (Figure </w:t>
      </w:r>
      <w:r w:rsidR="00BE62C7" w:rsidRPr="003D2D46">
        <w:rPr>
          <w:rFonts w:ascii="Times New Roman" w:hAnsi="Times New Roman" w:cs="Times New Roman"/>
          <w:color w:val="000000" w:themeColor="text1"/>
        </w:rPr>
        <w:t>4.1</w:t>
      </w:r>
      <w:r w:rsidRPr="003D2D46">
        <w:rPr>
          <w:rFonts w:ascii="Times New Roman" w:hAnsi="Times New Roman" w:cs="Times New Roman"/>
          <w:color w:val="000000" w:themeColor="text1"/>
        </w:rPr>
        <w:t xml:space="preserve">). Miami-Dade County is the most urban and most populated with approximately 2.7 million residents while Liberty County is the most rural and least populated county with approximately 8,300 residents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{"citationItems":[{"id":"ITEM-1","itemData":{"URL":"https://www.census.gov/programs-surveys/acs","accessed":{"date-parts":[["2020","1","30"]]},"author":[{"dropping-particle":"","family":"US Census Bureau","given":"","non-dropping-particle":"","parse-names":false,"suffix":""}],"id":"ITEM-1","issued":{"date-parts":[["2018"]]},"title":"ACS Demographic and Housing Estimates, 2018: 5-Year Estimates.","type":"webpage"},"uris":["http://www.mendeley.com/documents/?uuid=4d68b619-b226-43e4-af9a-e2b59fdbf971"]}],"mendeley":{"formattedCitation":"(US Census Bureau, 2018)","plainTextFormattedCitation":"(US Census Bureau, 2018)","previouslyFormattedCitation":"(US Census Bureau,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(US Census Bureau,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Florida population is comprised of 53.2% non-Hispanic White, 26.4% Hispanic, 3% Asian, and 16.9% Black or African American. The remaining 0.5% of the population are Native Hawaiian or Other Pacific Islander or two or more races </w:t>
      </w:r>
      <w:r w:rsidRPr="003D2D46">
        <w:rPr>
          <w:rFonts w:ascii="Times New Roman" w:hAnsi="Times New Roman" w:cs="Times New Roman"/>
          <w:color w:val="000000" w:themeColor="text1"/>
        </w:rPr>
        <w:fldChar w:fldCharType="begin" w:fldLock="1"/>
      </w:r>
      <w:r w:rsidR="004F4056" w:rsidRPr="003D2D46">
        <w:rPr>
          <w:rFonts w:ascii="Times New Roman" w:hAnsi="Times New Roman" w:cs="Times New Roman"/>
          <w:color w:val="000000" w:themeColor="text1"/>
        </w:rPr>
        <w:instrText>ADDIN CSL_CITATION {"citationItems":[{"id":"ITEM-1","itemData":{"URL":"https://www.census.gov/quickfacts/fact/table/US/PST045219","accessed":{"date-parts":[["2021","1","18"]]},"author":[{"dropping-particle":"","family":"United States Census Bureau","given":"","non-dropping-particle":"","parse-names":false,"suffix":""}],"id":"ITEM-1","issued":{"date-parts":[["0"]]},"title":"US Census Bureau Quick Facts, Florida","type":"webpage"},"uris":["http://www.mendeley.com/documents/?uuid=e7595cf1-075e-4a44-9528-2b0d27eb25ff","http://www.mendeley.com/documents/?uuid=37bec1d7-328f-4e7d-9eb8-4daf1625fd4c","http://www.mendeley.com/documents/?uuid=9e02dcf4-acc7-4f37-819d-c323add97536"]}],"mendeley":{"formattedCitation":"(United States Census Bureau)","plainTextFormattedCitation":"(United States Census Bureau)","previouslyFormattedCitation":"(United States Census Bureau)"},"properties":{"noteIndex":0},"schema":"https://github.com/citation-style-language/schema/raw/master/csl-citation.json"}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(United States Census Bureau)</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population is 51.1% female and 48.9% male and has the following age distribution: &lt;5 years (5.3%), 6-18 years (19.7%), 19-64 (54.1%), and 65 years and older (20.9%) </w:t>
      </w:r>
      <w:r w:rsidRPr="003D2D46">
        <w:rPr>
          <w:rFonts w:ascii="Times New Roman" w:hAnsi="Times New Roman" w:cs="Times New Roman"/>
          <w:color w:val="000000" w:themeColor="text1"/>
        </w:rPr>
        <w:fldChar w:fldCharType="begin" w:fldLock="1"/>
      </w:r>
      <w:r w:rsidR="004F4056" w:rsidRPr="003D2D46">
        <w:rPr>
          <w:rFonts w:ascii="Times New Roman" w:hAnsi="Times New Roman" w:cs="Times New Roman"/>
          <w:color w:val="000000" w:themeColor="text1"/>
        </w:rPr>
        <w:instrText>ADDIN CSL_CITATION {"citationItems":[{"id":"ITEM-1","itemData":{"URL":"https://www.census.gov/quickfacts/fact/table/US/PST045219","accessed":{"date-parts":[["2021","1","18"]]},"author":[{"dropping-particle":"","family":"United States Census Bureau","given":"","non-dropping-particle":"","parse-names":false,"suffix":""}],"id":"ITEM-1","issued":{"date-parts":[["0"]]},"title":"US Census Bureau Quick Facts, Florida","type":"webpage"},"uris":["http://www.mendeley.com/documents/?uuid=9e02dcf4-acc7-4f37-819d-c323add97536","http://www.mendeley.com/documents/?uuid=37bec1d7-328f-4e7d-9eb8-4daf1625fd4c","http://www.mendeley.com/documents/?uuid=e7595cf1-075e-4a44-9528-2b0d27eb25ff"]}],"mendeley":{"formattedCitation":"(United States Census Bureau)","plainTextFormattedCitation":"(United States Census Bureau)","previouslyFormattedCitation":"(United States Census Bureau)"},"properties":{"noteIndex":0},"schema":"https://github.com/citation-style-language/schema/raw/master/csl-citation.json"}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(United States Census Bureau)</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4A0371A3" w14:textId="77777777" w:rsidR="00EA09C6" w:rsidRPr="003D2D46" w:rsidRDefault="00EA09C6" w:rsidP="00EE2A89">
      <w:pPr>
        <w:rPr>
          <w:rFonts w:ascii="Times New Roman" w:hAnsi="Times New Roman" w:cs="Times New Roman"/>
          <w:color w:val="000000" w:themeColor="text1"/>
        </w:rPr>
      </w:pPr>
    </w:p>
    <w:p w14:paraId="012B55EE" w14:textId="77777777" w:rsidR="00FF4BED" w:rsidRPr="003D2D46" w:rsidRDefault="00FF4BED" w:rsidP="00EE2A89">
      <w:pPr>
        <w:rPr>
          <w:rFonts w:ascii="Times New Roman" w:hAnsi="Times New Roman" w:cs="Times New Roman"/>
          <w:color w:val="000000" w:themeColor="text1"/>
        </w:rPr>
        <w:sectPr w:rsidR="00FF4BED" w:rsidRPr="003D2D46" w:rsidSect="00B93CBD">
          <w:pgSz w:w="12240" w:h="15840" w:code="1"/>
          <w:pgMar w:top="1440" w:right="1800" w:bottom="1872" w:left="1800" w:header="720" w:footer="1440" w:gutter="0"/>
          <w:pgNumType w:start="1"/>
          <w:cols w:space="720"/>
          <w:noEndnote/>
          <w:docGrid w:linePitch="360"/>
        </w:sectPr>
      </w:pPr>
    </w:p>
    <w:p w14:paraId="768C4B86" w14:textId="77777777" w:rsidR="00EA09C6" w:rsidRPr="003D2D46" w:rsidRDefault="00EF6B30" w:rsidP="00EF6B30">
      <w:pPr>
        <w:rPr>
          <w:rFonts w:ascii="Times New Roman" w:hAnsi="Times New Roman" w:cs="Times New Roman"/>
          <w:color w:val="000000" w:themeColor="text1"/>
        </w:rPr>
      </w:pPr>
      <w:r w:rsidRPr="003D2D46">
        <w:rPr>
          <w:rFonts w:ascii="Times New Roman" w:hAnsi="Times New Roman" w:cs="Times New Roman"/>
          <w:noProof/>
          <w:color w:val="000000" w:themeColor="text1"/>
        </w:rPr>
        <w:lastRenderedPageBreak/>
        <w:drawing>
          <wp:inline distT="0" distB="0" distL="0" distR="0" wp14:anchorId="4AFE6A3F" wp14:editId="1D3ED259">
            <wp:extent cx="7701971" cy="5076825"/>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rotWithShape="1">
                    <a:blip r:embed="rId10" cstate="print">
                      <a:extLst>
                        <a:ext uri="{28A0092B-C50C-407E-A947-70E740481C1C}">
                          <a14:useLocalDpi xmlns:a14="http://schemas.microsoft.com/office/drawing/2010/main" val="0"/>
                        </a:ext>
                      </a:extLst>
                    </a:blip>
                    <a:srcRect l="6825" t="3943" r="13434" b="4954"/>
                    <a:stretch/>
                  </pic:blipFill>
                  <pic:spPr bwMode="auto">
                    <a:xfrm>
                      <a:off x="0" y="0"/>
                      <a:ext cx="7720598" cy="5089103"/>
                    </a:xfrm>
                    <a:prstGeom prst="rect">
                      <a:avLst/>
                    </a:prstGeom>
                    <a:ln>
                      <a:noFill/>
                    </a:ln>
                    <a:extLst>
                      <a:ext uri="{53640926-AAD7-44D8-BBD7-CCE9431645EC}">
                        <a14:shadowObscured xmlns:a14="http://schemas.microsoft.com/office/drawing/2010/main"/>
                      </a:ext>
                    </a:extLst>
                  </pic:spPr>
                </pic:pic>
              </a:graphicData>
            </a:graphic>
          </wp:inline>
        </w:drawing>
      </w:r>
    </w:p>
    <w:p w14:paraId="7F3A3921" w14:textId="4DCB3226" w:rsidR="00FF4BED" w:rsidRPr="003D2D46" w:rsidRDefault="00FF4BED" w:rsidP="005043F7">
      <w:pPr>
        <w:pStyle w:val="Caption"/>
        <w:ind w:left="180"/>
        <w:rPr>
          <w:rFonts w:ascii="Times New Roman" w:hAnsi="Times New Roman" w:cs="Times New Roman"/>
          <w:color w:val="000000" w:themeColor="text1"/>
        </w:rPr>
      </w:pPr>
      <w:bookmarkStart w:id="160" w:name="_Toc83975894"/>
      <w:r w:rsidRPr="003D2D46">
        <w:rPr>
          <w:rFonts w:ascii="Times New Roman" w:hAnsi="Times New Roman" w:cs="Times New Roman"/>
          <w:color w:val="000000" w:themeColor="text1"/>
        </w:rPr>
        <w:t>Figure 4</w:t>
      </w:r>
      <w:r w:rsidR="00CF2B3D" w:rsidRPr="003D2D46">
        <w:rPr>
          <w:rFonts w:ascii="Times New Roman" w:hAnsi="Times New Roman" w:cs="Times New Roman"/>
          <w:color w:val="000000" w:themeColor="text1"/>
        </w:rPr>
        <w:t>.</w:t>
      </w:r>
      <w:r w:rsidR="00CF2B3D" w:rsidRPr="003D2D46">
        <w:rPr>
          <w:rFonts w:ascii="Times New Roman" w:hAnsi="Times New Roman" w:cs="Times New Roman"/>
          <w:color w:val="000000" w:themeColor="text1"/>
        </w:rPr>
        <w:fldChar w:fldCharType="begin"/>
      </w:r>
      <w:r w:rsidR="00CF2B3D" w:rsidRPr="003D2D46">
        <w:rPr>
          <w:rFonts w:ascii="Times New Roman" w:hAnsi="Times New Roman" w:cs="Times New Roman"/>
          <w:color w:val="000000" w:themeColor="text1"/>
        </w:rPr>
        <w:instrText xml:space="preserve"> SEQ Figure \* ARABIC \s 1 </w:instrText>
      </w:r>
      <w:r w:rsidR="00CF2B3D"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1</w:t>
      </w:r>
      <w:r w:rsidR="00CF2B3D"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Geographic distribution of counties and major cities in Florida</w:t>
      </w:r>
      <w:bookmarkEnd w:id="160"/>
    </w:p>
    <w:p w14:paraId="77AEB07B" w14:textId="77777777" w:rsidR="00FF4BED" w:rsidRPr="003D2D46" w:rsidRDefault="00FF4BED" w:rsidP="00EE2A89">
      <w:pPr>
        <w:rPr>
          <w:rFonts w:ascii="Times New Roman" w:hAnsi="Times New Roman" w:cs="Times New Roman"/>
          <w:color w:val="000000" w:themeColor="text1"/>
        </w:rPr>
        <w:sectPr w:rsidR="00FF4BED" w:rsidRPr="003D2D46" w:rsidSect="00B93CBD">
          <w:pgSz w:w="15840" w:h="12240" w:orient="landscape" w:code="1"/>
          <w:pgMar w:top="1800" w:right="1872" w:bottom="1800" w:left="1440" w:header="720" w:footer="1440" w:gutter="0"/>
          <w:cols w:space="720"/>
          <w:noEndnote/>
          <w:docGrid w:linePitch="360"/>
        </w:sectPr>
      </w:pPr>
    </w:p>
    <w:p w14:paraId="03B54484" w14:textId="7DD803CE" w:rsidR="00EA09C6" w:rsidRPr="003D2D46" w:rsidRDefault="00EA09C6" w:rsidP="005F5C47">
      <w:pPr>
        <w:pStyle w:val="Heading41111"/>
        <w:spacing w:line="480" w:lineRule="auto"/>
        <w:rPr>
          <w:rFonts w:cs="Times New Roman"/>
          <w:color w:val="000000" w:themeColor="text1"/>
        </w:rPr>
      </w:pPr>
      <w:bookmarkStart w:id="161" w:name="_Toc82445555"/>
      <w:bookmarkStart w:id="162" w:name="_Toc87797119"/>
      <w:r w:rsidRPr="003D2D46">
        <w:rPr>
          <w:rFonts w:cs="Times New Roman"/>
          <w:color w:val="000000" w:themeColor="text1"/>
        </w:rPr>
        <w:lastRenderedPageBreak/>
        <w:t>4.3.2 Data Sources and Cartographic Displays</w:t>
      </w:r>
      <w:bookmarkEnd w:id="161"/>
      <w:bookmarkEnd w:id="162"/>
    </w:p>
    <w:p w14:paraId="3FD7EA76" w14:textId="7B45A35E" w:rsidR="00EA09C6" w:rsidRPr="003D2D46" w:rsidRDefault="00EA09C6" w:rsidP="00E603A6">
      <w:pPr>
        <w:spacing w:after="200"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rPr>
        <w:t xml:space="preserve">County-level vaccination exemption and population data for 2014 were downloaded from Florida Health CHARTS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{"citationItems":[{"id":"ITEM-1","itemData":{"URL":"http://www.flhealthcharts.com/charts/default.aspx","accessed":{"date-parts":[["2020","1","30"]]},"author":[{"dropping-particle":"","family":"Florida Department of Health","given":"","non-dropping-particle":"","parse-names":false,"suffix":""}],"id":"ITEM-1","issued":{"date-parts":[["2020"]]},"title":"FLHealthCHARTS","type":"webpage"},"uris":["http://www.mendeley.com/documents/?uuid=5ddb5c2e-89a3-4582-846d-e7572f839678"]}],"mendeley":{"formattedCitation":"(Florida Department of Health, 2020)","plainTextFormattedCitation":"(Florida Department of Health, 2020)","previouslyFormattedCitation":"(Florida Department of Health,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(Florida Department of Health,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shd w:val="clear" w:color="auto" w:fill="FFFFFF"/>
        </w:rPr>
        <w:t xml:space="preserve">Cartographic boundary files, used for creating maps, were obtained from the United States Census Bureau’s TIGER files </w:t>
      </w:r>
      <w:r w:rsidRPr="003D2D46">
        <w:rPr>
          <w:rFonts w:ascii="Times New Roman" w:hAnsi="Times New Roman" w:cs="Times New Roman"/>
          <w:color w:val="000000" w:themeColor="text1"/>
          <w:shd w:val="clear" w:color="auto" w:fill="FFFFFF"/>
        </w:rPr>
        <w:fldChar w:fldCharType="begin" w:fldLock="1"/>
      </w:r>
      <w:r w:rsidR="00C90BEC" w:rsidRPr="003D2D46">
        <w:rPr>
          <w:rFonts w:ascii="Times New Roman" w:hAnsi="Times New Roman" w:cs="Times New Roman"/>
          <w:color w:val="000000" w:themeColor="text1"/>
          <w:shd w:val="clear" w:color="auto" w:fill="FFFFFF"/>
        </w:rPr>
        <w:instrText>ADDIN CSL_CITATION {"citationItems":[{"id":"ITEM-1","itemData":{"URL":"https://www.census.gov/geographies/mapping-files/time-series/geo/tiger-geodatabase-file.html","accessed":{"date-parts":[["2019","12","1"]]},"author":[{"dropping-particle":"","family":"United States Census Bureau","given":"","non-dropping-particle":"","parse-names":false,"suffix":""}],"id":"ITEM-1","issued":{"date-parts":[["2019"]]},"title":"TIGER/Line Shapefiles","type":"webpage"},"uris":["http://www.mendeley.com/documents/?uuid=99427dab-9469-40f5-aea9-00cc439b521f"]}],"mendeley":{"formattedCitation":"(United States Census Bureau, 2019)","plainTextFormattedCitation":"(United States Census Bureau, 2019)","previouslyFormattedCitation":"(United States Census Bureau, 2019)"},"properties":{"noteIndex":0},"schema":"https://github.com/citation-style-language/schema/raw/master/csl-citation.json"}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00C90BEC" w:rsidRPr="003D2D46">
        <w:rPr>
          <w:rFonts w:ascii="Times New Roman" w:hAnsi="Times New Roman" w:cs="Times New Roman"/>
          <w:noProof/>
          <w:color w:val="000000" w:themeColor="text1"/>
          <w:shd w:val="clear" w:color="auto" w:fill="FFFFFF"/>
        </w:rPr>
        <w:t>(United States Census Bureau, 2019)</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xml:space="preserve"> and the </w:t>
      </w:r>
      <w:r w:rsidRPr="003D2D46">
        <w:rPr>
          <w:rFonts w:ascii="Times New Roman" w:hAnsi="Times New Roman" w:cs="Times New Roman"/>
          <w:color w:val="000000" w:themeColor="text1"/>
        </w:rPr>
        <w:t xml:space="preserve">State of Florida Geographic Data Portal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{"citationItems":[{"id":"ITEM-1","itemData":{"URL":"https://www.swfwmd.state.fl.us/resources/data-maps","accessed":{"date-parts":[["2020","5","25"]]},"author":[{"dropping-particle":"","family":"Southwest Florida Water Management District","given":"","non-dropping-particle":"","parse-names":false,"suffix":""}],"id":"ITEM-1","issued":{"date-parts":[["2019"]]},"title":"Florida Counties","type":"webpage"},"uris":["http://www.mendeley.com/documents/?uuid=36d317b2-71e2-41ec-a306-aacff9f0a4b7"]}],"mendeley":{"formattedCitation":"(Southwest Florida Water Management District, 2019)","plainTextFormattedCitation":"(Southwest Florida Water Management District, 2019)","previouslyFormattedCitation":"(Southwest Florida Water Management District,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(Southwest Florida Water Management District,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shd w:val="clear" w:color="auto" w:fill="FFFFFF"/>
        </w:rPr>
        <w:t xml:space="preserve">Vaccination exemptions per 10,000 population at the county level were calculated and displayed in choropleth maps using ArcGIS </w:t>
      </w:r>
      <w:r w:rsidRPr="003D2D46">
        <w:rPr>
          <w:rFonts w:ascii="Times New Roman" w:hAnsi="Times New Roman" w:cs="Times New Roman"/>
          <w:color w:val="000000" w:themeColor="text1"/>
          <w:shd w:val="clear" w:color="auto" w:fill="FFFFFF"/>
        </w:rPr>
        <w:fldChar w:fldCharType="begin" w:fldLock="1"/>
      </w:r>
      <w:r w:rsidR="00476116" w:rsidRPr="003D2D46">
        <w:rPr>
          <w:rFonts w:ascii="Times New Roman" w:hAnsi="Times New Roman" w:cs="Times New Roman"/>
          <w:color w:val="000000" w:themeColor="text1"/>
          <w:shd w:val="clear" w:color="auto" w:fill="FFFFFF"/>
        </w:rPr>
        <w:instrText>ADDIN CSL_CITATION {"citationItems":[{"id":"ITEM-1","itemData":{"author":[{"dropping-particle":"","family":"Environmental Systems Research Intitute","given":"","non-dropping-particle":"","parse-names":false,"suffix":""}],"id":"ITEM-1","issued":{"date-parts":[["2019"]]},"number":"10.7","publisher":"Environmental Systems Research Institute, Inc.","publisher-place":"Redlands, CA","title":"ArcGIS Desktop version 10.7, Redlands, CA. ESRI.","type":"article"},"uris":["http://www.mendeley.com/documents/?uuid=f07c6a95-4eeb-464f-92c5-8a7c0dc0378c","http://www.mendeley.com/documents/?uuid=67c8e74d-3c02-4e71-bc59-31e8f86a09ca","http://www.mendeley.com/documents/?uuid=eddc543e-0921-4cd7-b1f1-90b8730fc30f"]}],"mendeley":{"formattedCitation":"(Environmental Systems Research Intitute, 2019)","manualFormatting":"(ESRI, 2019)","plainTextFormattedCitation":"(Environmental Systems Research Intitute, 2019)","previouslyFormattedCitation":"(Environmental Systems Research Intitute, 2019)"},"properties":{"noteIndex":0},"schema":"https://github.com/citation-style-language/schema/raw/master/csl-citation.json"}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Pr="003D2D46">
        <w:rPr>
          <w:rFonts w:ascii="Times New Roman" w:hAnsi="Times New Roman" w:cs="Times New Roman"/>
          <w:noProof/>
          <w:color w:val="000000" w:themeColor="text1"/>
          <w:shd w:val="clear" w:color="auto" w:fill="FFFFFF"/>
        </w:rPr>
        <w:t>(ESRI, 2019)</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Critical intervals of the choropleth maps were determined using Jenk’s optimization classification scheme.</w:t>
      </w:r>
    </w:p>
    <w:p w14:paraId="2D4156B1" w14:textId="77777777" w:rsidR="00E603A6" w:rsidRPr="003D2D46" w:rsidRDefault="00E603A6" w:rsidP="00E603A6">
      <w:pPr>
        <w:spacing w:after="200" w:line="480" w:lineRule="auto"/>
        <w:rPr>
          <w:rFonts w:ascii="Times New Roman" w:hAnsi="Times New Roman" w:cs="Times New Roman"/>
          <w:color w:val="000000" w:themeColor="text1"/>
          <w:shd w:val="clear" w:color="auto" w:fill="FFFFFF"/>
        </w:rPr>
      </w:pPr>
    </w:p>
    <w:p w14:paraId="594A908D" w14:textId="77777777" w:rsidR="00EA09C6" w:rsidRPr="003D2D46" w:rsidRDefault="00EA09C6" w:rsidP="005F5C47">
      <w:pPr>
        <w:pStyle w:val="Heading41111"/>
        <w:spacing w:line="480" w:lineRule="auto"/>
        <w:rPr>
          <w:rFonts w:cs="Times New Roman"/>
          <w:color w:val="000000" w:themeColor="text1"/>
        </w:rPr>
      </w:pPr>
      <w:bookmarkStart w:id="163" w:name="_Toc82445556"/>
      <w:bookmarkStart w:id="164" w:name="_Toc87797120"/>
      <w:r w:rsidRPr="003D2D46">
        <w:rPr>
          <w:rFonts w:cs="Times New Roman"/>
          <w:color w:val="000000" w:themeColor="text1"/>
        </w:rPr>
        <w:t>4.3.3 Predictors of Total and Non-Medical County-Level Vaccination Exemption Risks</w:t>
      </w:r>
      <w:bookmarkEnd w:id="163"/>
      <w:bookmarkEnd w:id="164"/>
    </w:p>
    <w:p w14:paraId="1C984957" w14:textId="7E23AB65" w:rsidR="00EA09C6" w:rsidRPr="003D2D46" w:rsidRDefault="00EA09C6" w:rsidP="005F5C4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shd w:val="clear" w:color="auto" w:fill="FFFFFF"/>
        </w:rPr>
        <w:t xml:space="preserve">A conceptual model was used to identify potential county-level predictors of vaccination exemption risks (Figure </w:t>
      </w:r>
      <w:r w:rsidR="00BE62C7" w:rsidRPr="003D2D46">
        <w:rPr>
          <w:rFonts w:ascii="Times New Roman" w:hAnsi="Times New Roman" w:cs="Times New Roman"/>
          <w:color w:val="000000" w:themeColor="text1"/>
          <w:shd w:val="clear" w:color="auto" w:fill="FFFFFF"/>
        </w:rPr>
        <w:t>4.2</w:t>
      </w:r>
      <w:r w:rsidRPr="003D2D46">
        <w:rPr>
          <w:rFonts w:ascii="Times New Roman" w:hAnsi="Times New Roman" w:cs="Times New Roman"/>
          <w:color w:val="000000" w:themeColor="text1"/>
          <w:shd w:val="clear" w:color="auto" w:fill="FFFFFF"/>
        </w:rPr>
        <w:t xml:space="preserve">). Based on the conceptual model, a total of 16 potential predictors were assessed for potential associations with either total and non-medical vaccination exemption risks (Table </w:t>
      </w:r>
      <w:r w:rsidR="00BE62C7" w:rsidRPr="003D2D46">
        <w:rPr>
          <w:rFonts w:ascii="Times New Roman" w:hAnsi="Times New Roman" w:cs="Times New Roman"/>
          <w:color w:val="000000" w:themeColor="text1"/>
          <w:shd w:val="clear" w:color="auto" w:fill="FFFFFF"/>
        </w:rPr>
        <w:t>4.1</w:t>
      </w:r>
      <w:r w:rsidRPr="003D2D46">
        <w:rPr>
          <w:rFonts w:ascii="Times New Roman" w:hAnsi="Times New Roman" w:cs="Times New Roman"/>
          <w:color w:val="000000" w:themeColor="text1"/>
          <w:shd w:val="clear" w:color="auto" w:fill="FFFFFF"/>
        </w:rPr>
        <w:t xml:space="preserve">). </w:t>
      </w:r>
      <w:r w:rsidRPr="003D2D46">
        <w:rPr>
          <w:rFonts w:ascii="Times New Roman" w:hAnsi="Times New Roman" w:cs="Times New Roman"/>
          <w:color w:val="000000" w:themeColor="text1"/>
        </w:rPr>
        <w:t xml:space="preserve">Predictors of total and non-medical county-level vaccine exemption risks were investigated using two sets of Poisson models for the two outcomes, total and non-medical vaccination exemptions. The first step in building the models involved fitting univariable models between each of the potential predictors and each of the outcome variables (number of total and non-medical vaccination exemptions) with population used as the offset (Tables </w:t>
      </w:r>
      <w:r w:rsidR="00BE62C7" w:rsidRPr="003D2D46">
        <w:rPr>
          <w:rFonts w:ascii="Times New Roman" w:hAnsi="Times New Roman" w:cs="Times New Roman"/>
          <w:color w:val="000000" w:themeColor="text1"/>
        </w:rPr>
        <w:t>4.2</w:t>
      </w:r>
      <w:r w:rsidRPr="003D2D46">
        <w:rPr>
          <w:rFonts w:ascii="Times New Roman" w:hAnsi="Times New Roman" w:cs="Times New Roman"/>
          <w:color w:val="000000" w:themeColor="text1"/>
        </w:rPr>
        <w:t xml:space="preserve"> and </w:t>
      </w:r>
      <w:r w:rsidR="00BE62C7" w:rsidRPr="003D2D46">
        <w:rPr>
          <w:rFonts w:ascii="Times New Roman" w:hAnsi="Times New Roman" w:cs="Times New Roman"/>
          <w:color w:val="000000" w:themeColor="text1"/>
        </w:rPr>
        <w:t>4.3</w:t>
      </w:r>
      <w:r w:rsidRPr="003D2D46">
        <w:rPr>
          <w:rFonts w:ascii="Times New Roman" w:hAnsi="Times New Roman" w:cs="Times New Roman"/>
          <w:color w:val="000000" w:themeColor="text1"/>
        </w:rPr>
        <w:t xml:space="preserve">). Univariable associations were assessed at a liberal p-value of 0.2 and variables with a p&lt;0.2 were considered for further </w:t>
      </w:r>
      <w:r w:rsidRPr="003D2D46">
        <w:rPr>
          <w:rFonts w:ascii="Times New Roman" w:hAnsi="Times New Roman" w:cs="Times New Roman"/>
          <w:color w:val="000000" w:themeColor="text1"/>
        </w:rPr>
        <w:lastRenderedPageBreak/>
        <w:t xml:space="preserve">investigation in step two. To minimize potential multicollinearity, two-way Spearman rank correlation coefficients were computed among variables that had p&lt;0.2. Only one of a pair of highly correlated variables (i.e., with </w:t>
      </w:r>
      <w:r w:rsidR="00BA5DB2" w:rsidRPr="003D2D46">
        <w:rPr>
          <w:rFonts w:ascii="Times New Roman" w:hAnsi="Times New Roman" w:cs="Times New Roman"/>
          <w:color w:val="000000" w:themeColor="text1"/>
        </w:rPr>
        <w:t>p</w:t>
      </w:r>
      <w:r w:rsidRPr="003D2D46">
        <w:rPr>
          <w:rFonts w:ascii="Times New Roman" w:hAnsi="Times New Roman" w:cs="Times New Roman"/>
          <w:color w:val="000000" w:themeColor="text1"/>
        </w:rPr>
        <w:t>&gt;0.7) was retained for assessment in step 2 of the modeling process. The decision on the variable to retain was guided by biological and statistical considerations</w:t>
      </w:r>
      <w:r w:rsidR="002F5CB9" w:rsidRPr="003D2D46">
        <w:rPr>
          <w:rFonts w:ascii="Times New Roman" w:hAnsi="Times New Roman" w:cs="Times New Roman"/>
          <w:color w:val="000000" w:themeColor="text1"/>
        </w:rPr>
        <w:t xml:space="preserve"> </w:t>
      </w:r>
      <w:r w:rsidR="00CB08A1" w:rsidRPr="003D2D46">
        <w:rPr>
          <w:rFonts w:ascii="Times New Roman" w:hAnsi="Times New Roman" w:cs="Times New Roman"/>
          <w:color w:val="000000" w:themeColor="text1"/>
        </w:rPr>
        <w:t>(i.e.</w:t>
      </w:r>
      <w:r w:rsidR="00B16D8B" w:rsidRPr="003D2D46">
        <w:rPr>
          <w:rFonts w:ascii="Times New Roman" w:hAnsi="Times New Roman" w:cs="Times New Roman"/>
          <w:color w:val="000000" w:themeColor="text1"/>
        </w:rPr>
        <w:t xml:space="preserve"> biological plausibility as well as </w:t>
      </w:r>
      <w:r w:rsidR="008E36C1" w:rsidRPr="003D2D46">
        <w:rPr>
          <w:rFonts w:ascii="Times New Roman" w:hAnsi="Times New Roman" w:cs="Times New Roman"/>
          <w:color w:val="000000" w:themeColor="text1"/>
        </w:rPr>
        <w:t xml:space="preserve">strength of association between </w:t>
      </w:r>
      <w:r w:rsidR="00F1493F" w:rsidRPr="003D2D46">
        <w:rPr>
          <w:rFonts w:ascii="Times New Roman" w:hAnsi="Times New Roman" w:cs="Times New Roman"/>
          <w:color w:val="000000" w:themeColor="text1"/>
        </w:rPr>
        <w:t>each of the variables and the outcome</w:t>
      </w:r>
      <w:r w:rsidR="00CB08A1"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The second step in the modeling process involved fitting multivariable Poisson model using</w:t>
      </w:r>
      <w:r w:rsidRPr="003D2D46">
        <w:rPr>
          <w:rFonts w:ascii="Times New Roman" w:hAnsi="Times New Roman" w:cs="Times New Roman"/>
          <w:strike/>
          <w:color w:val="000000" w:themeColor="text1"/>
        </w:rPr>
        <w:t xml:space="preserve"> </w:t>
      </w:r>
      <w:r w:rsidRPr="003D2D46">
        <w:rPr>
          <w:rFonts w:ascii="Times New Roman" w:hAnsi="Times New Roman" w:cs="Times New Roman"/>
          <w:color w:val="000000" w:themeColor="text1"/>
        </w:rPr>
        <w:t xml:space="preserve">backwards elimination with the predictor variables that had p&lt;0.2 in step 1 but this time using a critical p-value of 0.05. Confounding was assessed by examining whether the removal of a predictor variable resulted in a &gt;20% change in the coefficients of any other variables in the model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Dohoo","given":"IR","non-dropping-particle":"","parse-names":false,"suffix":""},{"dropping-particle":"","family":"Martin","given":"SW","non-dropping-particle":"","parse-names":false,"suffix":""},{"dropping-particle":"","family":"Stryhn","given":"H","non-dropping-particle":"","parse-names":false,"suffix":""}],"id":"ITEM-1","issued":{"date-parts":[["2012"]]},"publisher":"VER, Inc.","publisher-place":"Charlottetown, PEI","title":"Methods in epidemiologic research","type":"book"},"uris":["http://www.mendeley.com/documents/?uuid=105702bf-12df-418b-82a1-c7f98eacdea0"]}],"mendeley":{"formattedCitation":"(Dohoo, Martin &amp; Stryhn, 2012)","plainTextFormattedCitation":"(Dohoo, Martin &amp; Stryhn, 2012)","previouslyFormattedCitation":"(Dohoo, Martin &amp; Stryhn,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(Dohoo, Martin &amp; Stryhn,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Identified confounders were retained in the models regardless of their statistical significance. Overdispersion was assessed by comparing model deviance and degrees of freedom. The Poisson models showed evidence of overdispersion and, therefore, negative binomial regression models were fit to the data using the same process outlined above for the Poisson model. All statistical analyses were performed in STATA version 16.1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StataCorp","given":"","non-dropping-particle":"","parse-names":false,"suffix":""}],"id":"ITEM-1","issued":{"date-parts":[["2019"]]},"number":"16.1","publisher":"StataCorp","publisher-place":"College Station, TX","title":"Stata Statistical Software version 16.1. College Station, TX: StataCorp LLC.","type":"article"},"uris":["http://www.mendeley.com/documents/?uuid=36973483-2659-4a85-a8e8-453f3205697b","http://www.mendeley.com/documents/?uuid=40963c17-c5b0-42f1-9bb6-43b71790bdb8","http://www.mendeley.com/documents/?uuid=515fffa4-b4e1-4b3a-99e1-26e1cb77575c"]}],"mendeley":{"formattedCitation":"(StataCorp, 2019)","plainTextFormattedCitation":"(StataCorp, 2019)","previouslyFormattedCitation":"(StataCorp,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(StataCorp,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Overall goodness-of-fit of the final models were assessed using Deviance and Pearson Chi-square goodness-of-fit tests. </w:t>
      </w:r>
    </w:p>
    <w:p w14:paraId="19425976" w14:textId="77777777" w:rsidR="00ED4919" w:rsidRPr="003D2D46" w:rsidRDefault="00ED4919" w:rsidP="00EE2A89">
      <w:pPr>
        <w:rPr>
          <w:rFonts w:ascii="Times New Roman" w:hAnsi="Times New Roman" w:cs="Times New Roman"/>
          <w:color w:val="000000" w:themeColor="text1"/>
        </w:rPr>
        <w:sectPr w:rsidR="00ED4919" w:rsidRPr="003D2D46" w:rsidSect="00B93CBD">
          <w:pgSz w:w="12240" w:h="15840" w:code="1"/>
          <w:pgMar w:top="1440" w:right="1800" w:bottom="1872" w:left="1800" w:header="720" w:footer="1440" w:gutter="0"/>
          <w:cols w:space="720"/>
          <w:noEndnote/>
          <w:docGrid w:linePitch="360"/>
        </w:sectPr>
      </w:pPr>
    </w:p>
    <w:p w14:paraId="216EC8F4" w14:textId="77777777" w:rsidR="00EA09C6" w:rsidRPr="003D2D46" w:rsidRDefault="00EA09C6" w:rsidP="00EE2A89">
      <w:pPr>
        <w:rPr>
          <w:rFonts w:ascii="Times New Roman" w:hAnsi="Times New Roman" w:cs="Times New Roman"/>
          <w:color w:val="000000" w:themeColor="text1"/>
        </w:rPr>
      </w:pPr>
    </w:p>
    <w:p w14:paraId="321FFE40" w14:textId="77777777" w:rsidR="00EA09C6" w:rsidRPr="003D2D46" w:rsidRDefault="00EA09C6" w:rsidP="00C06AA2">
      <w:pPr>
        <w:rPr>
          <w:rFonts w:ascii="Times New Roman" w:hAnsi="Times New Roman" w:cs="Times New Roman"/>
          <w:color w:val="000000" w:themeColor="text1"/>
        </w:rPr>
      </w:pPr>
      <w:r w:rsidRPr="003D2D46">
        <w:rPr>
          <w:rFonts w:ascii="Times New Roman" w:hAnsi="Times New Roman" w:cs="Times New Roman"/>
          <w:b/>
          <w:bCs/>
          <w:noProof/>
          <w:color w:val="000000" w:themeColor="text1"/>
        </w:rPr>
        <w:drawing>
          <wp:inline distT="0" distB="0" distL="0" distR="0" wp14:anchorId="0E18638C" wp14:editId="58AFA2B6">
            <wp:extent cx="7962265" cy="3895622"/>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1" cstate="print">
                      <a:extLst>
                        <a:ext uri="{28A0092B-C50C-407E-A947-70E740481C1C}">
                          <a14:useLocalDpi xmlns:a14="http://schemas.microsoft.com/office/drawing/2010/main" val="0"/>
                        </a:ext>
                      </a:extLst>
                    </a:blip>
                    <a:srcRect l="1299"/>
                    <a:stretch/>
                  </pic:blipFill>
                  <pic:spPr bwMode="auto">
                    <a:xfrm>
                      <a:off x="0" y="0"/>
                      <a:ext cx="7970818" cy="3899807"/>
                    </a:xfrm>
                    <a:prstGeom prst="rect">
                      <a:avLst/>
                    </a:prstGeom>
                    <a:ln>
                      <a:noFill/>
                    </a:ln>
                    <a:extLst>
                      <a:ext uri="{53640926-AAD7-44D8-BBD7-CCE9431645EC}">
                        <a14:shadowObscured xmlns:a14="http://schemas.microsoft.com/office/drawing/2010/main"/>
                      </a:ext>
                    </a:extLst>
                  </pic:spPr>
                </pic:pic>
              </a:graphicData>
            </a:graphic>
          </wp:inline>
        </w:drawing>
      </w:r>
    </w:p>
    <w:p w14:paraId="1069AD47" w14:textId="145DAF42" w:rsidR="00EA09C6" w:rsidRPr="003D2D46" w:rsidRDefault="00FF4BED" w:rsidP="00EE2A89">
      <w:pPr>
        <w:pStyle w:val="Caption"/>
        <w:rPr>
          <w:rFonts w:ascii="Times New Roman" w:hAnsi="Times New Roman" w:cs="Times New Roman"/>
          <w:color w:val="000000" w:themeColor="text1"/>
        </w:rPr>
      </w:pPr>
      <w:bookmarkStart w:id="165" w:name="_Toc83975895"/>
      <w:r w:rsidRPr="003D2D46">
        <w:rPr>
          <w:rFonts w:ascii="Times New Roman" w:hAnsi="Times New Roman" w:cs="Times New Roman"/>
          <w:color w:val="000000" w:themeColor="text1"/>
        </w:rPr>
        <w:t>Figure 4</w:t>
      </w:r>
      <w:r w:rsidR="00CF2B3D" w:rsidRPr="003D2D46">
        <w:rPr>
          <w:rFonts w:ascii="Times New Roman" w:hAnsi="Times New Roman" w:cs="Times New Roman"/>
          <w:color w:val="000000" w:themeColor="text1"/>
        </w:rPr>
        <w:t>.</w:t>
      </w:r>
      <w:r w:rsidR="00CF2B3D" w:rsidRPr="003D2D46">
        <w:rPr>
          <w:rFonts w:ascii="Times New Roman" w:hAnsi="Times New Roman" w:cs="Times New Roman"/>
          <w:color w:val="000000" w:themeColor="text1"/>
        </w:rPr>
        <w:fldChar w:fldCharType="begin"/>
      </w:r>
      <w:r w:rsidR="00CF2B3D" w:rsidRPr="003D2D46">
        <w:rPr>
          <w:rFonts w:ascii="Times New Roman" w:hAnsi="Times New Roman" w:cs="Times New Roman"/>
          <w:color w:val="000000" w:themeColor="text1"/>
        </w:rPr>
        <w:instrText xml:space="preserve"> SEQ Figure \* ARABIC \s 1 </w:instrText>
      </w:r>
      <w:r w:rsidR="00CF2B3D"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2</w:t>
      </w:r>
      <w:r w:rsidR="00CF2B3D"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00CC538F" w:rsidRPr="003D2D46">
        <w:rPr>
          <w:rFonts w:ascii="Times New Roman" w:hAnsi="Times New Roman" w:cs="Times New Roman"/>
          <w:color w:val="000000" w:themeColor="text1"/>
        </w:rPr>
        <w:t>Conceptual model showing sociodemographic variables considered as potential predictors of vaccination exemptions in Florida, 2014</w:t>
      </w:r>
      <w:bookmarkEnd w:id="165"/>
    </w:p>
    <w:p w14:paraId="41292FF8" w14:textId="77777777" w:rsidR="00FF4BED" w:rsidRPr="003D2D46" w:rsidRDefault="00FF4BED" w:rsidP="00EE2A89">
      <w:pPr>
        <w:rPr>
          <w:rFonts w:ascii="Times New Roman" w:hAnsi="Times New Roman" w:cs="Times New Roman"/>
          <w:color w:val="000000" w:themeColor="text1"/>
        </w:rPr>
        <w:sectPr w:rsidR="00FF4BED" w:rsidRPr="003D2D46" w:rsidSect="00B93CBD">
          <w:pgSz w:w="15840" w:h="12240" w:orient="landscape" w:code="1"/>
          <w:pgMar w:top="1800" w:right="1440" w:bottom="1800" w:left="1872" w:header="720" w:footer="1440" w:gutter="0"/>
          <w:cols w:space="720"/>
          <w:noEndnote/>
          <w:docGrid w:linePitch="360"/>
        </w:sectPr>
      </w:pPr>
    </w:p>
    <w:p w14:paraId="0B2FBC7E" w14:textId="5969613B" w:rsidR="00CF2B3D" w:rsidRPr="003D2D46" w:rsidRDefault="00CF2B3D" w:rsidP="00EE2A89">
      <w:pPr>
        <w:pStyle w:val="Caption"/>
        <w:rPr>
          <w:rFonts w:ascii="Times New Roman" w:hAnsi="Times New Roman" w:cs="Times New Roman"/>
          <w:color w:val="000000" w:themeColor="text1"/>
        </w:rPr>
      </w:pPr>
      <w:bookmarkStart w:id="166" w:name="_Toc83975880"/>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Summary Statistics of potential predictors of vaccination exemptions in Florida, 2014</w:t>
      </w:r>
      <w:bookmarkEnd w:id="166"/>
    </w:p>
    <w:tbl>
      <w:tblPr>
        <w:tblW w:w="12664"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7434"/>
        <w:gridCol w:w="1652"/>
        <w:gridCol w:w="1789"/>
        <w:gridCol w:w="1789"/>
      </w:tblGrid>
      <w:tr w:rsidR="003B4553" w:rsidRPr="003D2D46" w14:paraId="6B7D7A1D" w14:textId="77777777" w:rsidTr="004F0890">
        <w:trPr>
          <w:trHeight w:val="295"/>
        </w:trPr>
        <w:tc>
          <w:tcPr>
            <w:tcW w:w="7434" w:type="dxa"/>
            <w:tcBorders>
              <w:top w:val="single" w:sz="12" w:space="0" w:color="000000"/>
              <w:left w:val="nil"/>
              <w:bottom w:val="single" w:sz="12" w:space="0" w:color="000000"/>
            </w:tcBorders>
          </w:tcPr>
          <w:p w14:paraId="415ED423"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Variable</w:t>
            </w:r>
          </w:p>
        </w:tc>
        <w:tc>
          <w:tcPr>
            <w:tcW w:w="1652" w:type="dxa"/>
            <w:tcBorders>
              <w:top w:val="single" w:sz="12" w:space="0" w:color="000000"/>
              <w:bottom w:val="single" w:sz="12" w:space="0" w:color="000000"/>
            </w:tcBorders>
          </w:tcPr>
          <w:p w14:paraId="6DFD1C8D"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Median</w:t>
            </w:r>
          </w:p>
        </w:tc>
        <w:tc>
          <w:tcPr>
            <w:tcW w:w="1789" w:type="dxa"/>
            <w:tcBorders>
              <w:top w:val="single" w:sz="12" w:space="0" w:color="000000"/>
              <w:bottom w:val="single" w:sz="12" w:space="0" w:color="000000"/>
            </w:tcBorders>
          </w:tcPr>
          <w:p w14:paraId="223D4543"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1st Quartile</w:t>
            </w:r>
          </w:p>
        </w:tc>
        <w:tc>
          <w:tcPr>
            <w:tcW w:w="1789" w:type="dxa"/>
            <w:tcBorders>
              <w:top w:val="single" w:sz="12" w:space="0" w:color="000000"/>
              <w:bottom w:val="single" w:sz="12" w:space="0" w:color="000000"/>
              <w:right w:val="nil"/>
            </w:tcBorders>
          </w:tcPr>
          <w:p w14:paraId="2396CE85"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3rd Quartile</w:t>
            </w:r>
          </w:p>
        </w:tc>
      </w:tr>
      <w:tr w:rsidR="003B4553" w:rsidRPr="003D2D46" w14:paraId="43255A3E" w14:textId="77777777" w:rsidTr="004F0890">
        <w:trPr>
          <w:trHeight w:val="295"/>
        </w:trPr>
        <w:tc>
          <w:tcPr>
            <w:tcW w:w="7434" w:type="dxa"/>
            <w:tcBorders>
              <w:top w:val="single" w:sz="12" w:space="0" w:color="000000"/>
              <w:left w:val="nil"/>
            </w:tcBorders>
          </w:tcPr>
          <w:p w14:paraId="47C29469"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Less Than High School Education (%)</w:t>
            </w:r>
          </w:p>
        </w:tc>
        <w:tc>
          <w:tcPr>
            <w:tcW w:w="1652" w:type="dxa"/>
            <w:tcBorders>
              <w:top w:val="single" w:sz="12" w:space="0" w:color="000000"/>
            </w:tcBorders>
          </w:tcPr>
          <w:p w14:paraId="0EC44CF3"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14.5</w:t>
            </w:r>
          </w:p>
        </w:tc>
        <w:tc>
          <w:tcPr>
            <w:tcW w:w="1789" w:type="dxa"/>
            <w:tcBorders>
              <w:top w:val="single" w:sz="12" w:space="0" w:color="000000"/>
            </w:tcBorders>
          </w:tcPr>
          <w:p w14:paraId="1BC8C0B9"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11.5</w:t>
            </w:r>
          </w:p>
        </w:tc>
        <w:tc>
          <w:tcPr>
            <w:tcW w:w="1789" w:type="dxa"/>
            <w:tcBorders>
              <w:top w:val="single" w:sz="12" w:space="0" w:color="000000"/>
              <w:right w:val="nil"/>
            </w:tcBorders>
          </w:tcPr>
          <w:p w14:paraId="7F9646C1"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21.7</w:t>
            </w:r>
          </w:p>
        </w:tc>
      </w:tr>
      <w:tr w:rsidR="003B4553" w:rsidRPr="003D2D46" w14:paraId="2E2D79D3" w14:textId="77777777" w:rsidTr="00C870CD">
        <w:trPr>
          <w:trHeight w:val="295"/>
        </w:trPr>
        <w:tc>
          <w:tcPr>
            <w:tcW w:w="7434" w:type="dxa"/>
            <w:tcBorders>
              <w:left w:val="nil"/>
            </w:tcBorders>
          </w:tcPr>
          <w:p w14:paraId="0B03C761"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High School Education (%)</w:t>
            </w:r>
          </w:p>
        </w:tc>
        <w:tc>
          <w:tcPr>
            <w:tcW w:w="1652" w:type="dxa"/>
          </w:tcPr>
          <w:p w14:paraId="2B049953"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34.3</w:t>
            </w:r>
          </w:p>
        </w:tc>
        <w:tc>
          <w:tcPr>
            <w:tcW w:w="1789" w:type="dxa"/>
          </w:tcPr>
          <w:p w14:paraId="6A7ACAC2"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28.9</w:t>
            </w:r>
          </w:p>
        </w:tc>
        <w:tc>
          <w:tcPr>
            <w:tcW w:w="1789" w:type="dxa"/>
            <w:tcBorders>
              <w:right w:val="nil"/>
            </w:tcBorders>
          </w:tcPr>
          <w:p w14:paraId="03C16ADE"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37.5</w:t>
            </w:r>
          </w:p>
        </w:tc>
      </w:tr>
      <w:tr w:rsidR="003B4553" w:rsidRPr="003D2D46" w14:paraId="034C7902" w14:textId="77777777" w:rsidTr="00C870CD">
        <w:trPr>
          <w:trHeight w:val="295"/>
        </w:trPr>
        <w:tc>
          <w:tcPr>
            <w:tcW w:w="7434" w:type="dxa"/>
            <w:tcBorders>
              <w:left w:val="nil"/>
            </w:tcBorders>
          </w:tcPr>
          <w:p w14:paraId="21A76FD1"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College Education (%)</w:t>
            </w:r>
          </w:p>
        </w:tc>
        <w:tc>
          <w:tcPr>
            <w:tcW w:w="1652" w:type="dxa"/>
          </w:tcPr>
          <w:p w14:paraId="2F796870"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18.6</w:t>
            </w:r>
          </w:p>
        </w:tc>
        <w:tc>
          <w:tcPr>
            <w:tcW w:w="1789" w:type="dxa"/>
          </w:tcPr>
          <w:p w14:paraId="5FA85D6A"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11.4</w:t>
            </w:r>
          </w:p>
        </w:tc>
        <w:tc>
          <w:tcPr>
            <w:tcW w:w="1789" w:type="dxa"/>
            <w:tcBorders>
              <w:right w:val="nil"/>
            </w:tcBorders>
          </w:tcPr>
          <w:p w14:paraId="59148558"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26.7</w:t>
            </w:r>
          </w:p>
        </w:tc>
      </w:tr>
      <w:tr w:rsidR="003B4553" w:rsidRPr="003D2D46" w14:paraId="7CDA5A5E" w14:textId="77777777" w:rsidTr="00C870CD">
        <w:trPr>
          <w:trHeight w:val="295"/>
        </w:trPr>
        <w:tc>
          <w:tcPr>
            <w:tcW w:w="7434" w:type="dxa"/>
            <w:tcBorders>
              <w:left w:val="nil"/>
            </w:tcBorders>
          </w:tcPr>
          <w:p w14:paraId="27CAF4C1"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White, non-Hispanic (%)</w:t>
            </w:r>
          </w:p>
        </w:tc>
        <w:tc>
          <w:tcPr>
            <w:tcW w:w="1652" w:type="dxa"/>
          </w:tcPr>
          <w:p w14:paraId="301C5E58"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83.0</w:t>
            </w:r>
          </w:p>
        </w:tc>
        <w:tc>
          <w:tcPr>
            <w:tcW w:w="1789" w:type="dxa"/>
          </w:tcPr>
          <w:p w14:paraId="4B5C125C"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77.8</w:t>
            </w:r>
          </w:p>
        </w:tc>
        <w:tc>
          <w:tcPr>
            <w:tcW w:w="1789" w:type="dxa"/>
            <w:tcBorders>
              <w:right w:val="nil"/>
            </w:tcBorders>
          </w:tcPr>
          <w:p w14:paraId="26393CB3"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87.6</w:t>
            </w:r>
          </w:p>
        </w:tc>
      </w:tr>
      <w:tr w:rsidR="003B4553" w:rsidRPr="003D2D46" w14:paraId="51FCD3CF" w14:textId="77777777" w:rsidTr="00C870CD">
        <w:trPr>
          <w:trHeight w:val="295"/>
        </w:trPr>
        <w:tc>
          <w:tcPr>
            <w:tcW w:w="7434" w:type="dxa"/>
            <w:tcBorders>
              <w:left w:val="nil"/>
            </w:tcBorders>
          </w:tcPr>
          <w:p w14:paraId="5FC9C2F4"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Black, non-Hispanic (%)</w:t>
            </w:r>
          </w:p>
        </w:tc>
        <w:tc>
          <w:tcPr>
            <w:tcW w:w="1652" w:type="dxa"/>
          </w:tcPr>
          <w:p w14:paraId="5A48FFC1"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13.1</w:t>
            </w:r>
          </w:p>
        </w:tc>
        <w:tc>
          <w:tcPr>
            <w:tcW w:w="1789" w:type="dxa"/>
          </w:tcPr>
          <w:p w14:paraId="3D886548"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8.6</w:t>
            </w:r>
          </w:p>
        </w:tc>
        <w:tc>
          <w:tcPr>
            <w:tcW w:w="1789" w:type="dxa"/>
            <w:tcBorders>
              <w:right w:val="nil"/>
            </w:tcBorders>
          </w:tcPr>
          <w:p w14:paraId="34A250A7"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19.1</w:t>
            </w:r>
          </w:p>
        </w:tc>
      </w:tr>
      <w:tr w:rsidR="003B4553" w:rsidRPr="003D2D46" w14:paraId="0B13AFEB" w14:textId="77777777" w:rsidTr="00C870CD">
        <w:trPr>
          <w:trHeight w:val="295"/>
        </w:trPr>
        <w:tc>
          <w:tcPr>
            <w:tcW w:w="7434" w:type="dxa"/>
            <w:tcBorders>
              <w:left w:val="nil"/>
            </w:tcBorders>
          </w:tcPr>
          <w:p w14:paraId="6B568E6E"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Hispanic (%)</w:t>
            </w:r>
          </w:p>
        </w:tc>
        <w:tc>
          <w:tcPr>
            <w:tcW w:w="1652" w:type="dxa"/>
          </w:tcPr>
          <w:p w14:paraId="72A2F0D1"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8.65</w:t>
            </w:r>
          </w:p>
        </w:tc>
        <w:tc>
          <w:tcPr>
            <w:tcW w:w="1789" w:type="dxa"/>
          </w:tcPr>
          <w:p w14:paraId="6FFD80A0"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5.29</w:t>
            </w:r>
          </w:p>
        </w:tc>
        <w:tc>
          <w:tcPr>
            <w:tcW w:w="1789" w:type="dxa"/>
            <w:tcBorders>
              <w:right w:val="nil"/>
            </w:tcBorders>
          </w:tcPr>
          <w:p w14:paraId="6B3C8052"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18.1</w:t>
            </w:r>
          </w:p>
        </w:tc>
      </w:tr>
      <w:tr w:rsidR="003B4553" w:rsidRPr="003D2D46" w14:paraId="0B466116" w14:textId="77777777" w:rsidTr="00C870CD">
        <w:trPr>
          <w:trHeight w:val="295"/>
        </w:trPr>
        <w:tc>
          <w:tcPr>
            <w:tcW w:w="7434" w:type="dxa"/>
            <w:tcBorders>
              <w:left w:val="nil"/>
            </w:tcBorders>
          </w:tcPr>
          <w:p w14:paraId="0D509407"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Male (%)</w:t>
            </w:r>
          </w:p>
        </w:tc>
        <w:tc>
          <w:tcPr>
            <w:tcW w:w="1652" w:type="dxa"/>
          </w:tcPr>
          <w:p w14:paraId="674B9939"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49.4</w:t>
            </w:r>
          </w:p>
        </w:tc>
        <w:tc>
          <w:tcPr>
            <w:tcW w:w="1789" w:type="dxa"/>
          </w:tcPr>
          <w:p w14:paraId="5A4200E3"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48.6</w:t>
            </w:r>
          </w:p>
        </w:tc>
        <w:tc>
          <w:tcPr>
            <w:tcW w:w="1789" w:type="dxa"/>
            <w:tcBorders>
              <w:right w:val="nil"/>
            </w:tcBorders>
          </w:tcPr>
          <w:p w14:paraId="3128F4DC"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53.3</w:t>
            </w:r>
          </w:p>
        </w:tc>
      </w:tr>
      <w:tr w:rsidR="003B4553" w:rsidRPr="003D2D46" w14:paraId="0B5C0C5C" w14:textId="77777777" w:rsidTr="00C870CD">
        <w:trPr>
          <w:trHeight w:val="295"/>
        </w:trPr>
        <w:tc>
          <w:tcPr>
            <w:tcW w:w="7434" w:type="dxa"/>
            <w:tcBorders>
              <w:left w:val="nil"/>
            </w:tcBorders>
          </w:tcPr>
          <w:p w14:paraId="26072F35"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Female (%)</w:t>
            </w:r>
          </w:p>
        </w:tc>
        <w:tc>
          <w:tcPr>
            <w:tcW w:w="1652" w:type="dxa"/>
          </w:tcPr>
          <w:p w14:paraId="7CAAD027"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50.6</w:t>
            </w:r>
          </w:p>
        </w:tc>
        <w:tc>
          <w:tcPr>
            <w:tcW w:w="1789" w:type="dxa"/>
          </w:tcPr>
          <w:p w14:paraId="40006872"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46.7</w:t>
            </w:r>
          </w:p>
        </w:tc>
        <w:tc>
          <w:tcPr>
            <w:tcW w:w="1789" w:type="dxa"/>
            <w:tcBorders>
              <w:right w:val="nil"/>
            </w:tcBorders>
          </w:tcPr>
          <w:p w14:paraId="6AB3B60D"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51.4</w:t>
            </w:r>
          </w:p>
        </w:tc>
      </w:tr>
      <w:tr w:rsidR="003B4553" w:rsidRPr="003D2D46" w14:paraId="6BBDBB1F" w14:textId="77777777" w:rsidTr="00C870CD">
        <w:trPr>
          <w:trHeight w:val="295"/>
        </w:trPr>
        <w:tc>
          <w:tcPr>
            <w:tcW w:w="7434" w:type="dxa"/>
            <w:tcBorders>
              <w:left w:val="nil"/>
            </w:tcBorders>
          </w:tcPr>
          <w:p w14:paraId="6552CDA8"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Unemployed (%)</w:t>
            </w:r>
          </w:p>
        </w:tc>
        <w:tc>
          <w:tcPr>
            <w:tcW w:w="1652" w:type="dxa"/>
          </w:tcPr>
          <w:p w14:paraId="34A894A0"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6.6</w:t>
            </w:r>
          </w:p>
        </w:tc>
        <w:tc>
          <w:tcPr>
            <w:tcW w:w="1789" w:type="dxa"/>
          </w:tcPr>
          <w:p w14:paraId="425A9BDC"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5.8</w:t>
            </w:r>
          </w:p>
        </w:tc>
        <w:tc>
          <w:tcPr>
            <w:tcW w:w="1789" w:type="dxa"/>
            <w:tcBorders>
              <w:right w:val="nil"/>
            </w:tcBorders>
          </w:tcPr>
          <w:p w14:paraId="291A29AE"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7.2</w:t>
            </w:r>
          </w:p>
        </w:tc>
      </w:tr>
      <w:tr w:rsidR="003B4553" w:rsidRPr="003D2D46" w14:paraId="09F2FDAC" w14:textId="77777777" w:rsidTr="00C870CD">
        <w:trPr>
          <w:trHeight w:val="295"/>
        </w:trPr>
        <w:tc>
          <w:tcPr>
            <w:tcW w:w="7434" w:type="dxa"/>
            <w:tcBorders>
              <w:left w:val="nil"/>
            </w:tcBorders>
          </w:tcPr>
          <w:p w14:paraId="68C075F7" w14:textId="77777777" w:rsidR="00EA09C6" w:rsidRPr="003D2D46" w:rsidRDefault="00EA09C6"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Uninsured (%)</w:t>
            </w:r>
          </w:p>
        </w:tc>
        <w:tc>
          <w:tcPr>
            <w:tcW w:w="1652" w:type="dxa"/>
          </w:tcPr>
          <w:p w14:paraId="3A7A7F8A"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18.1</w:t>
            </w:r>
          </w:p>
        </w:tc>
        <w:tc>
          <w:tcPr>
            <w:tcW w:w="1789" w:type="dxa"/>
          </w:tcPr>
          <w:p w14:paraId="087B9FD0"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15.6</w:t>
            </w:r>
          </w:p>
        </w:tc>
        <w:tc>
          <w:tcPr>
            <w:tcW w:w="1789" w:type="dxa"/>
            <w:tcBorders>
              <w:right w:val="nil"/>
            </w:tcBorders>
          </w:tcPr>
          <w:p w14:paraId="09AE9767"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21.1</w:t>
            </w:r>
          </w:p>
        </w:tc>
      </w:tr>
      <w:tr w:rsidR="003B4553" w:rsidRPr="003D2D46" w14:paraId="6338654A" w14:textId="77777777" w:rsidTr="00C870CD">
        <w:trPr>
          <w:trHeight w:val="295"/>
        </w:trPr>
        <w:tc>
          <w:tcPr>
            <w:tcW w:w="7434" w:type="dxa"/>
            <w:tcBorders>
              <w:left w:val="nil"/>
            </w:tcBorders>
          </w:tcPr>
          <w:p w14:paraId="49FA6C40"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Family Below Poverty Line (%)</w:t>
            </w:r>
          </w:p>
        </w:tc>
        <w:tc>
          <w:tcPr>
            <w:tcW w:w="1652" w:type="dxa"/>
          </w:tcPr>
          <w:p w14:paraId="2717B901"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12.8</w:t>
            </w:r>
          </w:p>
        </w:tc>
        <w:tc>
          <w:tcPr>
            <w:tcW w:w="1789" w:type="dxa"/>
          </w:tcPr>
          <w:p w14:paraId="54212877"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10.1</w:t>
            </w:r>
          </w:p>
        </w:tc>
        <w:tc>
          <w:tcPr>
            <w:tcW w:w="1789" w:type="dxa"/>
            <w:tcBorders>
              <w:right w:val="nil"/>
            </w:tcBorders>
          </w:tcPr>
          <w:p w14:paraId="171A338D" w14:textId="77777777" w:rsidR="00EA09C6" w:rsidRPr="003D2D46" w:rsidRDefault="00EA09C6"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16.9</w:t>
            </w:r>
          </w:p>
        </w:tc>
      </w:tr>
      <w:tr w:rsidR="003B4553" w:rsidRPr="003D2D46" w14:paraId="15ABC1D2" w14:textId="77777777" w:rsidTr="00C870CD">
        <w:trPr>
          <w:trHeight w:val="295"/>
        </w:trPr>
        <w:tc>
          <w:tcPr>
            <w:tcW w:w="7434" w:type="dxa"/>
            <w:tcBorders>
              <w:left w:val="nil"/>
            </w:tcBorders>
          </w:tcPr>
          <w:p w14:paraId="0592A326"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Line (%)</w:t>
            </w:r>
          </w:p>
        </w:tc>
        <w:tc>
          <w:tcPr>
            <w:tcW w:w="1652" w:type="dxa"/>
          </w:tcPr>
          <w:p w14:paraId="6589A56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17.7</w:t>
            </w:r>
          </w:p>
        </w:tc>
        <w:tc>
          <w:tcPr>
            <w:tcW w:w="1789" w:type="dxa"/>
          </w:tcPr>
          <w:p w14:paraId="6C9BF80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14.3</w:t>
            </w:r>
          </w:p>
        </w:tc>
        <w:tc>
          <w:tcPr>
            <w:tcW w:w="1789" w:type="dxa"/>
            <w:tcBorders>
              <w:right w:val="nil"/>
            </w:tcBorders>
          </w:tcPr>
          <w:p w14:paraId="3687E01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22.5</w:t>
            </w:r>
          </w:p>
        </w:tc>
      </w:tr>
      <w:tr w:rsidR="003B4553" w:rsidRPr="003D2D46" w14:paraId="456CFDD6" w14:textId="77777777" w:rsidTr="00C870CD">
        <w:trPr>
          <w:trHeight w:val="295"/>
        </w:trPr>
        <w:tc>
          <w:tcPr>
            <w:tcW w:w="7434" w:type="dxa"/>
            <w:tcBorders>
              <w:left w:val="nil"/>
            </w:tcBorders>
          </w:tcPr>
          <w:p w14:paraId="7937605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Primary Care Providers (per 100,000 pop)</w:t>
            </w:r>
          </w:p>
        </w:tc>
        <w:tc>
          <w:tcPr>
            <w:tcW w:w="1652" w:type="dxa"/>
          </w:tcPr>
          <w:p w14:paraId="5C78D02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48.0</w:t>
            </w:r>
          </w:p>
        </w:tc>
        <w:tc>
          <w:tcPr>
            <w:tcW w:w="1789" w:type="dxa"/>
          </w:tcPr>
          <w:p w14:paraId="21D5AE6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28.0</w:t>
            </w:r>
          </w:p>
        </w:tc>
        <w:tc>
          <w:tcPr>
            <w:tcW w:w="1789" w:type="dxa"/>
            <w:tcBorders>
              <w:right w:val="nil"/>
            </w:tcBorders>
          </w:tcPr>
          <w:p w14:paraId="1D90572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68.0</w:t>
            </w:r>
          </w:p>
        </w:tc>
      </w:tr>
      <w:tr w:rsidR="003B4553" w:rsidRPr="003D2D46" w14:paraId="74F94F44" w14:textId="77777777" w:rsidTr="00C870CD">
        <w:trPr>
          <w:trHeight w:val="295"/>
        </w:trPr>
        <w:tc>
          <w:tcPr>
            <w:tcW w:w="7434" w:type="dxa"/>
            <w:tcBorders>
              <w:left w:val="nil"/>
            </w:tcBorders>
          </w:tcPr>
          <w:p w14:paraId="0152E632"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Living in Rural Area</w:t>
            </w:r>
          </w:p>
        </w:tc>
        <w:tc>
          <w:tcPr>
            <w:tcW w:w="1652" w:type="dxa"/>
          </w:tcPr>
          <w:p w14:paraId="6455AB68"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23.8</w:t>
            </w:r>
          </w:p>
        </w:tc>
        <w:tc>
          <w:tcPr>
            <w:tcW w:w="1789" w:type="dxa"/>
          </w:tcPr>
          <w:p w14:paraId="459DAB2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8.5</w:t>
            </w:r>
          </w:p>
        </w:tc>
        <w:tc>
          <w:tcPr>
            <w:tcW w:w="1789" w:type="dxa"/>
            <w:tcBorders>
              <w:right w:val="nil"/>
            </w:tcBorders>
          </w:tcPr>
          <w:p w14:paraId="4CBC75A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67.5</w:t>
            </w:r>
          </w:p>
        </w:tc>
      </w:tr>
      <w:tr w:rsidR="003B4553" w:rsidRPr="003D2D46" w14:paraId="41B3C530" w14:textId="77777777" w:rsidTr="004F0890">
        <w:trPr>
          <w:trHeight w:val="295"/>
        </w:trPr>
        <w:tc>
          <w:tcPr>
            <w:tcW w:w="7434" w:type="dxa"/>
            <w:tcBorders>
              <w:left w:val="nil"/>
              <w:bottom w:val="nil"/>
            </w:tcBorders>
          </w:tcPr>
          <w:p w14:paraId="1B62E33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Rural County (vs Urban) </w:t>
            </w:r>
          </w:p>
        </w:tc>
        <w:tc>
          <w:tcPr>
            <w:tcW w:w="1652" w:type="dxa"/>
            <w:tcBorders>
              <w:bottom w:val="nil"/>
            </w:tcBorders>
          </w:tcPr>
          <w:p w14:paraId="3BB42E4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c>
          <w:tcPr>
            <w:tcW w:w="1789" w:type="dxa"/>
            <w:tcBorders>
              <w:bottom w:val="nil"/>
            </w:tcBorders>
          </w:tcPr>
          <w:p w14:paraId="0A5FCCC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c>
          <w:tcPr>
            <w:tcW w:w="1789" w:type="dxa"/>
            <w:tcBorders>
              <w:bottom w:val="nil"/>
              <w:right w:val="nil"/>
            </w:tcBorders>
          </w:tcPr>
          <w:p w14:paraId="183EF11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r>
      <w:tr w:rsidR="00EA09C6" w:rsidRPr="003D2D46" w14:paraId="13B0F847" w14:textId="77777777" w:rsidTr="004F0890">
        <w:trPr>
          <w:trHeight w:val="295"/>
        </w:trPr>
        <w:tc>
          <w:tcPr>
            <w:tcW w:w="7434" w:type="dxa"/>
            <w:tcBorders>
              <w:top w:val="nil"/>
              <w:left w:val="nil"/>
              <w:bottom w:val="single" w:sz="12" w:space="0" w:color="000000"/>
            </w:tcBorders>
          </w:tcPr>
          <w:p w14:paraId="28A0A75E"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Scaled Median Income (Divided by $10,000) </w:t>
            </w:r>
          </w:p>
        </w:tc>
        <w:tc>
          <w:tcPr>
            <w:tcW w:w="1652" w:type="dxa"/>
            <w:tcBorders>
              <w:top w:val="nil"/>
              <w:bottom w:val="single" w:sz="12" w:space="0" w:color="000000"/>
            </w:tcBorders>
          </w:tcPr>
          <w:p w14:paraId="36418E5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43063</w:t>
            </w:r>
          </w:p>
        </w:tc>
        <w:tc>
          <w:tcPr>
            <w:tcW w:w="1789" w:type="dxa"/>
            <w:tcBorders>
              <w:top w:val="nil"/>
              <w:bottom w:val="single" w:sz="12" w:space="0" w:color="000000"/>
            </w:tcBorders>
          </w:tcPr>
          <w:p w14:paraId="0BFDE37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36907</w:t>
            </w:r>
          </w:p>
        </w:tc>
        <w:tc>
          <w:tcPr>
            <w:tcW w:w="1789" w:type="dxa"/>
            <w:tcBorders>
              <w:top w:val="nil"/>
              <w:bottom w:val="single" w:sz="12" w:space="0" w:color="000000"/>
              <w:right w:val="nil"/>
            </w:tcBorders>
          </w:tcPr>
          <w:p w14:paraId="260B1F0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48483</w:t>
            </w:r>
          </w:p>
        </w:tc>
      </w:tr>
    </w:tbl>
    <w:p w14:paraId="073174E4" w14:textId="77777777" w:rsidR="00EA09C6" w:rsidRPr="003D2D46" w:rsidRDefault="00EA09C6" w:rsidP="00EE2A89">
      <w:pPr>
        <w:rPr>
          <w:rFonts w:ascii="Times New Roman" w:hAnsi="Times New Roman" w:cs="Times New Roman"/>
          <w:color w:val="000000" w:themeColor="text1"/>
        </w:rPr>
      </w:pPr>
    </w:p>
    <w:p w14:paraId="0F5E120B" w14:textId="77777777" w:rsidR="00FF4BED" w:rsidRPr="003D2D46" w:rsidRDefault="00FF4BED" w:rsidP="00EE2A89">
      <w:pPr>
        <w:rPr>
          <w:rFonts w:ascii="Times New Roman" w:hAnsi="Times New Roman" w:cs="Times New Roman"/>
          <w:color w:val="000000" w:themeColor="text1"/>
        </w:rPr>
        <w:sectPr w:rsidR="00FF4BED" w:rsidRPr="003D2D46" w:rsidSect="00B93CBD">
          <w:pgSz w:w="15840" w:h="12240" w:orient="landscape" w:code="1"/>
          <w:pgMar w:top="1800" w:right="1872" w:bottom="1800" w:left="1440" w:header="720" w:footer="1440" w:gutter="0"/>
          <w:cols w:space="720"/>
          <w:noEndnote/>
          <w:docGrid w:linePitch="360"/>
        </w:sectPr>
      </w:pPr>
    </w:p>
    <w:p w14:paraId="024CCF29" w14:textId="675CB84A" w:rsidR="00CF2B3D" w:rsidRPr="003D2D46" w:rsidRDefault="00CF2B3D" w:rsidP="00EE2A89">
      <w:pPr>
        <w:pStyle w:val="Caption"/>
        <w:rPr>
          <w:rFonts w:ascii="Times New Roman" w:hAnsi="Times New Roman" w:cs="Times New Roman"/>
          <w:color w:val="000000" w:themeColor="text1"/>
        </w:rPr>
      </w:pPr>
      <w:bookmarkStart w:id="167" w:name="_Toc83975881"/>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univariable associations of potential predictors of total vaccination exemptions in Florida, 2014</w:t>
      </w:r>
      <w:bookmarkEnd w:id="167"/>
    </w:p>
    <w:tbl>
      <w:tblPr>
        <w:tblStyle w:val="TableGrid"/>
        <w:tblW w:w="12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1857"/>
        <w:gridCol w:w="1903"/>
        <w:gridCol w:w="2040"/>
        <w:gridCol w:w="1989"/>
      </w:tblGrid>
      <w:tr w:rsidR="003B4553" w:rsidRPr="003D2D46" w14:paraId="19F2B746" w14:textId="77777777" w:rsidTr="004F0890">
        <w:trPr>
          <w:trHeight w:val="323"/>
        </w:trPr>
        <w:tc>
          <w:tcPr>
            <w:tcW w:w="5171" w:type="dxa"/>
            <w:tcBorders>
              <w:top w:val="single" w:sz="12" w:space="0" w:color="auto"/>
              <w:bottom w:val="single" w:sz="12" w:space="0" w:color="auto"/>
            </w:tcBorders>
          </w:tcPr>
          <w:p w14:paraId="57B401B4" w14:textId="77777777" w:rsidR="00EA09C6" w:rsidRPr="003D2D46" w:rsidRDefault="00EA09C6"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1857" w:type="dxa"/>
            <w:tcBorders>
              <w:top w:val="single" w:sz="12" w:space="0" w:color="auto"/>
              <w:bottom w:val="single" w:sz="12" w:space="0" w:color="auto"/>
            </w:tcBorders>
          </w:tcPr>
          <w:p w14:paraId="2FB23DDF"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Ratio</w:t>
            </w:r>
          </w:p>
        </w:tc>
        <w:tc>
          <w:tcPr>
            <w:tcW w:w="1903" w:type="dxa"/>
            <w:tcBorders>
              <w:top w:val="single" w:sz="12" w:space="0" w:color="auto"/>
              <w:bottom w:val="single" w:sz="12" w:space="0" w:color="auto"/>
            </w:tcBorders>
          </w:tcPr>
          <w:p w14:paraId="63FC5892"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Lower 95% CI</w:t>
            </w:r>
            <w:r w:rsidRPr="003D2D46">
              <w:rPr>
                <w:rFonts w:ascii="Times New Roman" w:eastAsia="Arial" w:hAnsi="Times New Roman" w:cs="Times New Roman"/>
                <w:b/>
                <w:color w:val="000000" w:themeColor="text1"/>
                <w:vertAlign w:val="superscript"/>
              </w:rPr>
              <w:t>1</w:t>
            </w:r>
          </w:p>
        </w:tc>
        <w:tc>
          <w:tcPr>
            <w:tcW w:w="2040" w:type="dxa"/>
            <w:tcBorders>
              <w:top w:val="single" w:sz="12" w:space="0" w:color="auto"/>
              <w:bottom w:val="single" w:sz="12" w:space="0" w:color="auto"/>
            </w:tcBorders>
          </w:tcPr>
          <w:p w14:paraId="62DEBA98"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Upper 95% CI</w:t>
            </w:r>
            <w:r w:rsidRPr="003D2D46">
              <w:rPr>
                <w:rFonts w:ascii="Times New Roman" w:eastAsia="Arial" w:hAnsi="Times New Roman" w:cs="Times New Roman"/>
                <w:b/>
                <w:color w:val="000000" w:themeColor="text1"/>
                <w:vertAlign w:val="superscript"/>
              </w:rPr>
              <w:t>1</w:t>
            </w:r>
          </w:p>
        </w:tc>
        <w:tc>
          <w:tcPr>
            <w:tcW w:w="1989" w:type="dxa"/>
            <w:tcBorders>
              <w:top w:val="single" w:sz="12" w:space="0" w:color="auto"/>
              <w:bottom w:val="single" w:sz="12" w:space="0" w:color="auto"/>
            </w:tcBorders>
          </w:tcPr>
          <w:p w14:paraId="15A94618"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r>
      <w:tr w:rsidR="003B4553" w:rsidRPr="003D2D46" w14:paraId="41585D51" w14:textId="77777777" w:rsidTr="004F0890">
        <w:trPr>
          <w:trHeight w:val="302"/>
        </w:trPr>
        <w:tc>
          <w:tcPr>
            <w:tcW w:w="5171" w:type="dxa"/>
            <w:tcBorders>
              <w:top w:val="single" w:sz="12" w:space="0" w:color="auto"/>
            </w:tcBorders>
          </w:tcPr>
          <w:p w14:paraId="0F6DC6E2"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Less Than High School Education (%)</w:t>
            </w:r>
          </w:p>
        </w:tc>
        <w:tc>
          <w:tcPr>
            <w:tcW w:w="1857" w:type="dxa"/>
            <w:tcBorders>
              <w:top w:val="single" w:sz="12" w:space="0" w:color="auto"/>
            </w:tcBorders>
          </w:tcPr>
          <w:p w14:paraId="0173866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1.036</w:t>
            </w:r>
          </w:p>
        </w:tc>
        <w:tc>
          <w:tcPr>
            <w:tcW w:w="1903" w:type="dxa"/>
            <w:tcBorders>
              <w:top w:val="single" w:sz="12" w:space="0" w:color="auto"/>
            </w:tcBorders>
          </w:tcPr>
          <w:p w14:paraId="47F7B6A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1.032</w:t>
            </w:r>
          </w:p>
        </w:tc>
        <w:tc>
          <w:tcPr>
            <w:tcW w:w="2040" w:type="dxa"/>
            <w:tcBorders>
              <w:top w:val="single" w:sz="12" w:space="0" w:color="auto"/>
            </w:tcBorders>
          </w:tcPr>
          <w:p w14:paraId="0527A02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1.039</w:t>
            </w:r>
          </w:p>
        </w:tc>
        <w:tc>
          <w:tcPr>
            <w:tcW w:w="1989" w:type="dxa"/>
            <w:tcBorders>
              <w:top w:val="single" w:sz="12" w:space="0" w:color="auto"/>
            </w:tcBorders>
          </w:tcPr>
          <w:p w14:paraId="5C36E76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1E7679C" w14:textId="77777777" w:rsidTr="00C870CD">
        <w:trPr>
          <w:trHeight w:val="323"/>
        </w:trPr>
        <w:tc>
          <w:tcPr>
            <w:tcW w:w="5171" w:type="dxa"/>
          </w:tcPr>
          <w:p w14:paraId="7600D2C6"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High School Education (%)</w:t>
            </w:r>
          </w:p>
        </w:tc>
        <w:tc>
          <w:tcPr>
            <w:tcW w:w="1857" w:type="dxa"/>
          </w:tcPr>
          <w:p w14:paraId="18A2FAC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0.968</w:t>
            </w:r>
          </w:p>
        </w:tc>
        <w:tc>
          <w:tcPr>
            <w:tcW w:w="1903" w:type="dxa"/>
          </w:tcPr>
          <w:p w14:paraId="3F7B801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0.964</w:t>
            </w:r>
          </w:p>
        </w:tc>
        <w:tc>
          <w:tcPr>
            <w:tcW w:w="2040" w:type="dxa"/>
          </w:tcPr>
          <w:p w14:paraId="7FED6CA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0.972</w:t>
            </w:r>
          </w:p>
        </w:tc>
        <w:tc>
          <w:tcPr>
            <w:tcW w:w="1989" w:type="dxa"/>
          </w:tcPr>
          <w:p w14:paraId="526E70B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207B2250" w14:textId="77777777" w:rsidTr="00C870CD">
        <w:trPr>
          <w:trHeight w:val="323"/>
        </w:trPr>
        <w:tc>
          <w:tcPr>
            <w:tcW w:w="5171" w:type="dxa"/>
          </w:tcPr>
          <w:p w14:paraId="557EB5EB"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College Education (%)</w:t>
            </w:r>
          </w:p>
        </w:tc>
        <w:tc>
          <w:tcPr>
            <w:tcW w:w="1857" w:type="dxa"/>
          </w:tcPr>
          <w:p w14:paraId="7915E81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1.012</w:t>
            </w:r>
          </w:p>
        </w:tc>
        <w:tc>
          <w:tcPr>
            <w:tcW w:w="1903" w:type="dxa"/>
          </w:tcPr>
          <w:p w14:paraId="58758D8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1.009</w:t>
            </w:r>
          </w:p>
        </w:tc>
        <w:tc>
          <w:tcPr>
            <w:tcW w:w="2040" w:type="dxa"/>
          </w:tcPr>
          <w:p w14:paraId="30C33F7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1.015</w:t>
            </w:r>
          </w:p>
        </w:tc>
        <w:tc>
          <w:tcPr>
            <w:tcW w:w="1989" w:type="dxa"/>
          </w:tcPr>
          <w:p w14:paraId="4D67C19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0E7DF63F" w14:textId="77777777" w:rsidTr="00C870CD">
        <w:trPr>
          <w:trHeight w:val="302"/>
        </w:trPr>
        <w:tc>
          <w:tcPr>
            <w:tcW w:w="5171" w:type="dxa"/>
          </w:tcPr>
          <w:p w14:paraId="2EE02A16"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White, non-Hispanic (%)</w:t>
            </w:r>
          </w:p>
        </w:tc>
        <w:tc>
          <w:tcPr>
            <w:tcW w:w="1857" w:type="dxa"/>
          </w:tcPr>
          <w:p w14:paraId="68BB4B5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0.998</w:t>
            </w:r>
          </w:p>
        </w:tc>
        <w:tc>
          <w:tcPr>
            <w:tcW w:w="1903" w:type="dxa"/>
          </w:tcPr>
          <w:p w14:paraId="7446D93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0.997</w:t>
            </w:r>
          </w:p>
        </w:tc>
        <w:tc>
          <w:tcPr>
            <w:tcW w:w="2040" w:type="dxa"/>
          </w:tcPr>
          <w:p w14:paraId="5D0725A9"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1.000</w:t>
            </w:r>
          </w:p>
        </w:tc>
        <w:tc>
          <w:tcPr>
            <w:tcW w:w="1989" w:type="dxa"/>
          </w:tcPr>
          <w:p w14:paraId="763C9DC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0.072</w:t>
            </w:r>
          </w:p>
        </w:tc>
      </w:tr>
      <w:tr w:rsidR="003B4553" w:rsidRPr="003D2D46" w14:paraId="395F9EDD" w14:textId="77777777" w:rsidTr="00C870CD">
        <w:trPr>
          <w:trHeight w:val="323"/>
        </w:trPr>
        <w:tc>
          <w:tcPr>
            <w:tcW w:w="5171" w:type="dxa"/>
          </w:tcPr>
          <w:p w14:paraId="115C9AA4"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Black, non-Hispanic (%)</w:t>
            </w:r>
          </w:p>
        </w:tc>
        <w:tc>
          <w:tcPr>
            <w:tcW w:w="1857" w:type="dxa"/>
          </w:tcPr>
          <w:p w14:paraId="28A5518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1.005</w:t>
            </w:r>
          </w:p>
        </w:tc>
        <w:tc>
          <w:tcPr>
            <w:tcW w:w="1903" w:type="dxa"/>
          </w:tcPr>
          <w:p w14:paraId="6936957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1.003</w:t>
            </w:r>
          </w:p>
        </w:tc>
        <w:tc>
          <w:tcPr>
            <w:tcW w:w="2040" w:type="dxa"/>
          </w:tcPr>
          <w:p w14:paraId="6E10F11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1.007</w:t>
            </w:r>
          </w:p>
        </w:tc>
        <w:tc>
          <w:tcPr>
            <w:tcW w:w="1989" w:type="dxa"/>
          </w:tcPr>
          <w:p w14:paraId="1AFEBB2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4D8B6CBE" w14:textId="77777777" w:rsidTr="00C870CD">
        <w:trPr>
          <w:trHeight w:val="323"/>
        </w:trPr>
        <w:tc>
          <w:tcPr>
            <w:tcW w:w="5171" w:type="dxa"/>
          </w:tcPr>
          <w:p w14:paraId="245E653F"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Hispanic (%)</w:t>
            </w:r>
          </w:p>
        </w:tc>
        <w:tc>
          <w:tcPr>
            <w:tcW w:w="1857" w:type="dxa"/>
          </w:tcPr>
          <w:p w14:paraId="545ED70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1.014</w:t>
            </w:r>
          </w:p>
        </w:tc>
        <w:tc>
          <w:tcPr>
            <w:tcW w:w="1903" w:type="dxa"/>
          </w:tcPr>
          <w:p w14:paraId="556B5F9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1.012</w:t>
            </w:r>
          </w:p>
        </w:tc>
        <w:tc>
          <w:tcPr>
            <w:tcW w:w="2040" w:type="dxa"/>
          </w:tcPr>
          <w:p w14:paraId="133FD57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1.014</w:t>
            </w:r>
          </w:p>
        </w:tc>
        <w:tc>
          <w:tcPr>
            <w:tcW w:w="1989" w:type="dxa"/>
          </w:tcPr>
          <w:p w14:paraId="12EDF2E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6447535" w14:textId="77777777" w:rsidTr="00C870CD">
        <w:trPr>
          <w:trHeight w:val="323"/>
        </w:trPr>
        <w:tc>
          <w:tcPr>
            <w:tcW w:w="5171" w:type="dxa"/>
          </w:tcPr>
          <w:p w14:paraId="78D7880A"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Male (%)</w:t>
            </w:r>
          </w:p>
        </w:tc>
        <w:tc>
          <w:tcPr>
            <w:tcW w:w="1857" w:type="dxa"/>
          </w:tcPr>
          <w:p w14:paraId="7F8AF1B9"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0.954</w:t>
            </w:r>
          </w:p>
        </w:tc>
        <w:tc>
          <w:tcPr>
            <w:tcW w:w="1903" w:type="dxa"/>
          </w:tcPr>
          <w:p w14:paraId="10683D6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0.941</w:t>
            </w:r>
          </w:p>
        </w:tc>
        <w:tc>
          <w:tcPr>
            <w:tcW w:w="2040" w:type="dxa"/>
          </w:tcPr>
          <w:p w14:paraId="0A090B6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0.966</w:t>
            </w:r>
          </w:p>
        </w:tc>
        <w:tc>
          <w:tcPr>
            <w:tcW w:w="1989" w:type="dxa"/>
          </w:tcPr>
          <w:p w14:paraId="1807974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1A6F1AB2" w14:textId="77777777" w:rsidTr="00C870CD">
        <w:trPr>
          <w:trHeight w:val="302"/>
        </w:trPr>
        <w:tc>
          <w:tcPr>
            <w:tcW w:w="5171" w:type="dxa"/>
          </w:tcPr>
          <w:p w14:paraId="3B516558"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Female (%)</w:t>
            </w:r>
          </w:p>
        </w:tc>
        <w:tc>
          <w:tcPr>
            <w:tcW w:w="1857" w:type="dxa"/>
          </w:tcPr>
          <w:p w14:paraId="3CA9BAC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1.049</w:t>
            </w:r>
          </w:p>
        </w:tc>
        <w:tc>
          <w:tcPr>
            <w:tcW w:w="1903" w:type="dxa"/>
          </w:tcPr>
          <w:p w14:paraId="567068D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1.035</w:t>
            </w:r>
          </w:p>
        </w:tc>
        <w:tc>
          <w:tcPr>
            <w:tcW w:w="2040" w:type="dxa"/>
          </w:tcPr>
          <w:p w14:paraId="31740C6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1.062</w:t>
            </w:r>
          </w:p>
        </w:tc>
        <w:tc>
          <w:tcPr>
            <w:tcW w:w="1989" w:type="dxa"/>
          </w:tcPr>
          <w:p w14:paraId="4C0C99A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41EDDF09" w14:textId="77777777" w:rsidTr="00C870CD">
        <w:trPr>
          <w:trHeight w:val="323"/>
        </w:trPr>
        <w:tc>
          <w:tcPr>
            <w:tcW w:w="5171" w:type="dxa"/>
          </w:tcPr>
          <w:p w14:paraId="335FEAA4"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Unemployed (%)</w:t>
            </w:r>
          </w:p>
        </w:tc>
        <w:tc>
          <w:tcPr>
            <w:tcW w:w="1857" w:type="dxa"/>
          </w:tcPr>
          <w:p w14:paraId="01B9767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0.958</w:t>
            </w:r>
          </w:p>
        </w:tc>
        <w:tc>
          <w:tcPr>
            <w:tcW w:w="1903" w:type="dxa"/>
          </w:tcPr>
          <w:p w14:paraId="4302616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0.939</w:t>
            </w:r>
          </w:p>
        </w:tc>
        <w:tc>
          <w:tcPr>
            <w:tcW w:w="2040" w:type="dxa"/>
          </w:tcPr>
          <w:p w14:paraId="4D5EE89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0.977</w:t>
            </w:r>
          </w:p>
        </w:tc>
        <w:tc>
          <w:tcPr>
            <w:tcW w:w="1989" w:type="dxa"/>
          </w:tcPr>
          <w:p w14:paraId="4D0E8AC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0.282</w:t>
            </w:r>
          </w:p>
        </w:tc>
      </w:tr>
      <w:tr w:rsidR="003B4553" w:rsidRPr="003D2D46" w14:paraId="23A39CC5" w14:textId="77777777" w:rsidTr="00C870CD">
        <w:trPr>
          <w:trHeight w:val="323"/>
        </w:trPr>
        <w:tc>
          <w:tcPr>
            <w:tcW w:w="5171" w:type="dxa"/>
          </w:tcPr>
          <w:p w14:paraId="5D923CB3"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Uninsured (%)</w:t>
            </w:r>
          </w:p>
        </w:tc>
        <w:tc>
          <w:tcPr>
            <w:tcW w:w="1857" w:type="dxa"/>
          </w:tcPr>
          <w:p w14:paraId="4E2F967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1.059</w:t>
            </w:r>
          </w:p>
        </w:tc>
        <w:tc>
          <w:tcPr>
            <w:tcW w:w="1903" w:type="dxa"/>
          </w:tcPr>
          <w:p w14:paraId="12AC1B3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1.056</w:t>
            </w:r>
          </w:p>
        </w:tc>
        <w:tc>
          <w:tcPr>
            <w:tcW w:w="2040" w:type="dxa"/>
          </w:tcPr>
          <w:p w14:paraId="6F9DBBF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1.062</w:t>
            </w:r>
          </w:p>
        </w:tc>
        <w:tc>
          <w:tcPr>
            <w:tcW w:w="1989" w:type="dxa"/>
          </w:tcPr>
          <w:p w14:paraId="1141C80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AF5AD78" w14:textId="77777777" w:rsidTr="00C870CD">
        <w:trPr>
          <w:trHeight w:val="302"/>
        </w:trPr>
        <w:tc>
          <w:tcPr>
            <w:tcW w:w="5171" w:type="dxa"/>
          </w:tcPr>
          <w:p w14:paraId="56C1FE7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Family Below Poverty Line (%)</w:t>
            </w:r>
          </w:p>
        </w:tc>
        <w:tc>
          <w:tcPr>
            <w:tcW w:w="1857" w:type="dxa"/>
          </w:tcPr>
          <w:p w14:paraId="6B4B1CD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1.047</w:t>
            </w:r>
          </w:p>
        </w:tc>
        <w:tc>
          <w:tcPr>
            <w:tcW w:w="1903" w:type="dxa"/>
          </w:tcPr>
          <w:p w14:paraId="3B9DBA7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1.042</w:t>
            </w:r>
          </w:p>
        </w:tc>
        <w:tc>
          <w:tcPr>
            <w:tcW w:w="2040" w:type="dxa"/>
          </w:tcPr>
          <w:p w14:paraId="2D06818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1.052</w:t>
            </w:r>
          </w:p>
        </w:tc>
        <w:tc>
          <w:tcPr>
            <w:tcW w:w="1989" w:type="dxa"/>
          </w:tcPr>
          <w:p w14:paraId="6DA4EBC4"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2CD751DD" w14:textId="77777777" w:rsidTr="00C870CD">
        <w:trPr>
          <w:trHeight w:val="323"/>
        </w:trPr>
        <w:tc>
          <w:tcPr>
            <w:tcW w:w="5171" w:type="dxa"/>
          </w:tcPr>
          <w:p w14:paraId="6E0CCAC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Line (%)</w:t>
            </w:r>
          </w:p>
        </w:tc>
        <w:tc>
          <w:tcPr>
            <w:tcW w:w="1857" w:type="dxa"/>
          </w:tcPr>
          <w:p w14:paraId="7BCB392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1.024</w:t>
            </w:r>
          </w:p>
        </w:tc>
        <w:tc>
          <w:tcPr>
            <w:tcW w:w="1903" w:type="dxa"/>
          </w:tcPr>
          <w:p w14:paraId="3E5DAFA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1.019</w:t>
            </w:r>
          </w:p>
        </w:tc>
        <w:tc>
          <w:tcPr>
            <w:tcW w:w="2040" w:type="dxa"/>
          </w:tcPr>
          <w:p w14:paraId="2B28124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1.028</w:t>
            </w:r>
          </w:p>
        </w:tc>
        <w:tc>
          <w:tcPr>
            <w:tcW w:w="1989" w:type="dxa"/>
          </w:tcPr>
          <w:p w14:paraId="3B50FBC4"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1320D379" w14:textId="77777777" w:rsidTr="00C870CD">
        <w:trPr>
          <w:trHeight w:val="323"/>
        </w:trPr>
        <w:tc>
          <w:tcPr>
            <w:tcW w:w="5171" w:type="dxa"/>
          </w:tcPr>
          <w:p w14:paraId="5B6C65F2"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Primary Care Providers (per 100,000 pop)</w:t>
            </w:r>
          </w:p>
        </w:tc>
        <w:tc>
          <w:tcPr>
            <w:tcW w:w="1857" w:type="dxa"/>
          </w:tcPr>
          <w:p w14:paraId="688FECD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1.007</w:t>
            </w:r>
          </w:p>
        </w:tc>
        <w:tc>
          <w:tcPr>
            <w:tcW w:w="1903" w:type="dxa"/>
          </w:tcPr>
          <w:p w14:paraId="747F1FC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1.006</w:t>
            </w:r>
          </w:p>
        </w:tc>
        <w:tc>
          <w:tcPr>
            <w:tcW w:w="2040" w:type="dxa"/>
          </w:tcPr>
          <w:p w14:paraId="4BF3A77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1.008</w:t>
            </w:r>
          </w:p>
        </w:tc>
        <w:tc>
          <w:tcPr>
            <w:tcW w:w="1989" w:type="dxa"/>
          </w:tcPr>
          <w:p w14:paraId="5D6BFEF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542F7C21" w14:textId="77777777" w:rsidTr="00C870CD">
        <w:trPr>
          <w:trHeight w:val="302"/>
        </w:trPr>
        <w:tc>
          <w:tcPr>
            <w:tcW w:w="5171" w:type="dxa"/>
          </w:tcPr>
          <w:p w14:paraId="6D5D93F5"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Living in Rural Area</w:t>
            </w:r>
          </w:p>
        </w:tc>
        <w:tc>
          <w:tcPr>
            <w:tcW w:w="1857" w:type="dxa"/>
          </w:tcPr>
          <w:p w14:paraId="3A02176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0.986</w:t>
            </w:r>
          </w:p>
        </w:tc>
        <w:tc>
          <w:tcPr>
            <w:tcW w:w="1903" w:type="dxa"/>
          </w:tcPr>
          <w:p w14:paraId="7D4814B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0.984</w:t>
            </w:r>
          </w:p>
        </w:tc>
        <w:tc>
          <w:tcPr>
            <w:tcW w:w="2040" w:type="dxa"/>
          </w:tcPr>
          <w:p w14:paraId="514EC17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0.987</w:t>
            </w:r>
          </w:p>
        </w:tc>
        <w:tc>
          <w:tcPr>
            <w:tcW w:w="1989" w:type="dxa"/>
          </w:tcPr>
          <w:p w14:paraId="555FB85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2384B3DD" w14:textId="77777777" w:rsidTr="004F0890">
        <w:trPr>
          <w:trHeight w:val="323"/>
        </w:trPr>
        <w:tc>
          <w:tcPr>
            <w:tcW w:w="5171" w:type="dxa"/>
            <w:tcBorders>
              <w:bottom w:val="nil"/>
            </w:tcBorders>
          </w:tcPr>
          <w:p w14:paraId="3CB9E35E"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Rural County (vs Urban) </w:t>
            </w:r>
          </w:p>
        </w:tc>
        <w:tc>
          <w:tcPr>
            <w:tcW w:w="1857" w:type="dxa"/>
            <w:tcBorders>
              <w:bottom w:val="nil"/>
            </w:tcBorders>
          </w:tcPr>
          <w:p w14:paraId="42545DC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0.523</w:t>
            </w:r>
          </w:p>
        </w:tc>
        <w:tc>
          <w:tcPr>
            <w:tcW w:w="1903" w:type="dxa"/>
            <w:tcBorders>
              <w:bottom w:val="nil"/>
            </w:tcBorders>
          </w:tcPr>
          <w:p w14:paraId="399E397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0.477</w:t>
            </w:r>
          </w:p>
        </w:tc>
        <w:tc>
          <w:tcPr>
            <w:tcW w:w="2040" w:type="dxa"/>
            <w:tcBorders>
              <w:bottom w:val="nil"/>
            </w:tcBorders>
          </w:tcPr>
          <w:p w14:paraId="061051F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0.573</w:t>
            </w:r>
          </w:p>
        </w:tc>
        <w:tc>
          <w:tcPr>
            <w:tcW w:w="1989" w:type="dxa"/>
            <w:tcBorders>
              <w:bottom w:val="nil"/>
            </w:tcBorders>
          </w:tcPr>
          <w:p w14:paraId="3B255D9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5A8FEBD9" w14:textId="77777777" w:rsidTr="004F0890">
        <w:trPr>
          <w:trHeight w:val="302"/>
        </w:trPr>
        <w:tc>
          <w:tcPr>
            <w:tcW w:w="5171" w:type="dxa"/>
            <w:tcBorders>
              <w:top w:val="nil"/>
              <w:bottom w:val="single" w:sz="12" w:space="0" w:color="auto"/>
            </w:tcBorders>
          </w:tcPr>
          <w:p w14:paraId="34F4F3B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Scaled Median Income (Divided by $10,000) </w:t>
            </w:r>
          </w:p>
        </w:tc>
        <w:tc>
          <w:tcPr>
            <w:tcW w:w="1857" w:type="dxa"/>
            <w:tcBorders>
              <w:top w:val="nil"/>
              <w:bottom w:val="single" w:sz="12" w:space="0" w:color="auto"/>
            </w:tcBorders>
          </w:tcPr>
          <w:p w14:paraId="343753F5"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1.011</w:t>
            </w:r>
          </w:p>
        </w:tc>
        <w:tc>
          <w:tcPr>
            <w:tcW w:w="1903" w:type="dxa"/>
            <w:tcBorders>
              <w:top w:val="nil"/>
              <w:bottom w:val="single" w:sz="12" w:space="0" w:color="auto"/>
            </w:tcBorders>
          </w:tcPr>
          <w:p w14:paraId="499C9D9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0.983</w:t>
            </w:r>
          </w:p>
        </w:tc>
        <w:tc>
          <w:tcPr>
            <w:tcW w:w="2040" w:type="dxa"/>
            <w:tcBorders>
              <w:top w:val="nil"/>
              <w:bottom w:val="single" w:sz="12" w:space="0" w:color="auto"/>
            </w:tcBorders>
          </w:tcPr>
          <w:p w14:paraId="1857986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1.039</w:t>
            </w:r>
          </w:p>
        </w:tc>
        <w:tc>
          <w:tcPr>
            <w:tcW w:w="1989" w:type="dxa"/>
            <w:tcBorders>
              <w:top w:val="nil"/>
              <w:bottom w:val="single" w:sz="12" w:space="0" w:color="auto"/>
            </w:tcBorders>
          </w:tcPr>
          <w:p w14:paraId="737E97B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0.454</w:t>
            </w:r>
          </w:p>
        </w:tc>
      </w:tr>
    </w:tbl>
    <w:p w14:paraId="5E57DB0B"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6B7B0E75" w14:textId="77777777" w:rsidR="00FF4BED" w:rsidRPr="003D2D46" w:rsidRDefault="00FF4BED" w:rsidP="00EE2A89">
      <w:pPr>
        <w:rPr>
          <w:rFonts w:ascii="Times New Roman" w:hAnsi="Times New Roman" w:cs="Times New Roman"/>
          <w:color w:val="000000" w:themeColor="text1"/>
        </w:rPr>
        <w:sectPr w:rsidR="00FF4BED" w:rsidRPr="003D2D46" w:rsidSect="00B93CBD">
          <w:pgSz w:w="15840" w:h="12240" w:orient="landscape" w:code="1"/>
          <w:pgMar w:top="1800" w:right="1872" w:bottom="1800" w:left="1440" w:header="720" w:footer="1440" w:gutter="0"/>
          <w:cols w:space="720"/>
          <w:noEndnote/>
          <w:docGrid w:linePitch="360"/>
        </w:sectPr>
      </w:pPr>
    </w:p>
    <w:p w14:paraId="6AE69A0F" w14:textId="540C8D2D" w:rsidR="00CF2B3D" w:rsidRPr="003D2D46" w:rsidRDefault="00CF2B3D" w:rsidP="00EE2A89">
      <w:pPr>
        <w:pStyle w:val="Caption"/>
        <w:rPr>
          <w:rFonts w:ascii="Times New Roman" w:hAnsi="Times New Roman" w:cs="Times New Roman"/>
          <w:color w:val="000000" w:themeColor="text1"/>
        </w:rPr>
      </w:pPr>
      <w:bookmarkStart w:id="168" w:name="_Toc83975882"/>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univariable associations of potential predictors of non-medical vaccination exemptions in Florida, 2014</w:t>
      </w:r>
      <w:bookmarkEnd w:id="168"/>
    </w:p>
    <w:tbl>
      <w:tblPr>
        <w:tblStyle w:val="TableGrid"/>
        <w:tblW w:w="124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1872"/>
        <w:gridCol w:w="1877"/>
        <w:gridCol w:w="1932"/>
        <w:gridCol w:w="1651"/>
      </w:tblGrid>
      <w:tr w:rsidR="003B4553" w:rsidRPr="003D2D46" w14:paraId="2D55289F" w14:textId="77777777" w:rsidTr="004F0890">
        <w:trPr>
          <w:trHeight w:val="312"/>
        </w:trPr>
        <w:tc>
          <w:tcPr>
            <w:tcW w:w="5119" w:type="dxa"/>
            <w:tcBorders>
              <w:top w:val="single" w:sz="12" w:space="0" w:color="auto"/>
              <w:bottom w:val="single" w:sz="12" w:space="0" w:color="auto"/>
            </w:tcBorders>
            <w:vAlign w:val="center"/>
          </w:tcPr>
          <w:p w14:paraId="2BB11F85" w14:textId="77777777" w:rsidR="00EA09C6" w:rsidRPr="003D2D46" w:rsidRDefault="00EA09C6"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1872" w:type="dxa"/>
            <w:tcBorders>
              <w:top w:val="single" w:sz="12" w:space="0" w:color="auto"/>
              <w:bottom w:val="single" w:sz="12" w:space="0" w:color="auto"/>
            </w:tcBorders>
            <w:vAlign w:val="center"/>
          </w:tcPr>
          <w:p w14:paraId="451304B6"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Ratio</w:t>
            </w:r>
          </w:p>
        </w:tc>
        <w:tc>
          <w:tcPr>
            <w:tcW w:w="1877" w:type="dxa"/>
            <w:tcBorders>
              <w:top w:val="single" w:sz="12" w:space="0" w:color="auto"/>
              <w:bottom w:val="single" w:sz="12" w:space="0" w:color="auto"/>
            </w:tcBorders>
            <w:vAlign w:val="center"/>
          </w:tcPr>
          <w:p w14:paraId="05A89A54"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Lower 95% CI</w:t>
            </w:r>
            <w:r w:rsidRPr="003D2D46">
              <w:rPr>
                <w:rFonts w:ascii="Times New Roman" w:eastAsia="Arial" w:hAnsi="Times New Roman" w:cs="Times New Roman"/>
                <w:b/>
                <w:color w:val="000000" w:themeColor="text1"/>
                <w:vertAlign w:val="superscript"/>
              </w:rPr>
              <w:t>1</w:t>
            </w:r>
          </w:p>
        </w:tc>
        <w:tc>
          <w:tcPr>
            <w:tcW w:w="1932" w:type="dxa"/>
            <w:tcBorders>
              <w:top w:val="single" w:sz="12" w:space="0" w:color="auto"/>
              <w:bottom w:val="single" w:sz="12" w:space="0" w:color="auto"/>
            </w:tcBorders>
            <w:vAlign w:val="center"/>
          </w:tcPr>
          <w:p w14:paraId="303544AF"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Upper 95% CI</w:t>
            </w:r>
            <w:r w:rsidRPr="003D2D46">
              <w:rPr>
                <w:rFonts w:ascii="Times New Roman" w:eastAsia="Arial" w:hAnsi="Times New Roman" w:cs="Times New Roman"/>
                <w:b/>
                <w:color w:val="000000" w:themeColor="text1"/>
                <w:vertAlign w:val="superscript"/>
              </w:rPr>
              <w:t>1</w:t>
            </w:r>
          </w:p>
        </w:tc>
        <w:tc>
          <w:tcPr>
            <w:tcW w:w="1651" w:type="dxa"/>
            <w:tcBorders>
              <w:top w:val="single" w:sz="12" w:space="0" w:color="auto"/>
              <w:bottom w:val="single" w:sz="12" w:space="0" w:color="auto"/>
            </w:tcBorders>
            <w:vAlign w:val="center"/>
          </w:tcPr>
          <w:p w14:paraId="0698C1F3" w14:textId="77777777" w:rsidR="00EA09C6" w:rsidRPr="003D2D46" w:rsidRDefault="00EA09C6"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r>
      <w:tr w:rsidR="003B4553" w:rsidRPr="003D2D46" w14:paraId="5189EFB7" w14:textId="77777777" w:rsidTr="004F0890">
        <w:trPr>
          <w:trHeight w:val="292"/>
        </w:trPr>
        <w:tc>
          <w:tcPr>
            <w:tcW w:w="5119" w:type="dxa"/>
            <w:tcBorders>
              <w:top w:val="single" w:sz="12" w:space="0" w:color="auto"/>
            </w:tcBorders>
          </w:tcPr>
          <w:p w14:paraId="37042F15"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Less Than High School Education (%)</w:t>
            </w:r>
          </w:p>
        </w:tc>
        <w:tc>
          <w:tcPr>
            <w:tcW w:w="1872" w:type="dxa"/>
            <w:tcBorders>
              <w:top w:val="single" w:sz="12" w:space="0" w:color="auto"/>
            </w:tcBorders>
          </w:tcPr>
          <w:p w14:paraId="368F11D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0.956</w:t>
            </w:r>
          </w:p>
        </w:tc>
        <w:tc>
          <w:tcPr>
            <w:tcW w:w="1877" w:type="dxa"/>
            <w:tcBorders>
              <w:top w:val="single" w:sz="12" w:space="0" w:color="auto"/>
            </w:tcBorders>
          </w:tcPr>
          <w:p w14:paraId="29AD584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0.949</w:t>
            </w:r>
          </w:p>
        </w:tc>
        <w:tc>
          <w:tcPr>
            <w:tcW w:w="1932" w:type="dxa"/>
            <w:tcBorders>
              <w:top w:val="single" w:sz="12" w:space="0" w:color="auto"/>
            </w:tcBorders>
          </w:tcPr>
          <w:p w14:paraId="7A2155F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0.963</w:t>
            </w:r>
          </w:p>
        </w:tc>
        <w:tc>
          <w:tcPr>
            <w:tcW w:w="1651" w:type="dxa"/>
            <w:tcBorders>
              <w:top w:val="single" w:sz="12" w:space="0" w:color="auto"/>
            </w:tcBorders>
          </w:tcPr>
          <w:p w14:paraId="6BEBD65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59E540E9" w14:textId="77777777" w:rsidTr="004F0890">
        <w:trPr>
          <w:trHeight w:val="312"/>
        </w:trPr>
        <w:tc>
          <w:tcPr>
            <w:tcW w:w="5119" w:type="dxa"/>
          </w:tcPr>
          <w:p w14:paraId="33BE16EC"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High School Education (%)</w:t>
            </w:r>
          </w:p>
        </w:tc>
        <w:tc>
          <w:tcPr>
            <w:tcW w:w="1872" w:type="dxa"/>
          </w:tcPr>
          <w:p w14:paraId="1E82349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1.010</w:t>
            </w:r>
          </w:p>
        </w:tc>
        <w:tc>
          <w:tcPr>
            <w:tcW w:w="1877" w:type="dxa"/>
          </w:tcPr>
          <w:p w14:paraId="0428BBC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1.003</w:t>
            </w:r>
          </w:p>
        </w:tc>
        <w:tc>
          <w:tcPr>
            <w:tcW w:w="1932" w:type="dxa"/>
          </w:tcPr>
          <w:p w14:paraId="29B7C3B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1.017</w:t>
            </w:r>
          </w:p>
        </w:tc>
        <w:tc>
          <w:tcPr>
            <w:tcW w:w="1651" w:type="dxa"/>
          </w:tcPr>
          <w:p w14:paraId="09DC0CD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0.002</w:t>
            </w:r>
          </w:p>
        </w:tc>
      </w:tr>
      <w:tr w:rsidR="003B4553" w:rsidRPr="003D2D46" w14:paraId="5F92480C" w14:textId="77777777" w:rsidTr="004F0890">
        <w:trPr>
          <w:trHeight w:val="312"/>
        </w:trPr>
        <w:tc>
          <w:tcPr>
            <w:tcW w:w="5119" w:type="dxa"/>
          </w:tcPr>
          <w:p w14:paraId="4AF81C4F"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College Education (%)</w:t>
            </w:r>
          </w:p>
        </w:tc>
        <w:tc>
          <w:tcPr>
            <w:tcW w:w="1872" w:type="dxa"/>
          </w:tcPr>
          <w:p w14:paraId="2B62F19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0.994</w:t>
            </w:r>
          </w:p>
        </w:tc>
        <w:tc>
          <w:tcPr>
            <w:tcW w:w="1877" w:type="dxa"/>
          </w:tcPr>
          <w:p w14:paraId="0DDB277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0.990</w:t>
            </w:r>
          </w:p>
        </w:tc>
        <w:tc>
          <w:tcPr>
            <w:tcW w:w="1932" w:type="dxa"/>
          </w:tcPr>
          <w:p w14:paraId="2B85D28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0.999</w:t>
            </w:r>
          </w:p>
        </w:tc>
        <w:tc>
          <w:tcPr>
            <w:tcW w:w="1651" w:type="dxa"/>
          </w:tcPr>
          <w:p w14:paraId="47E9634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0.007</w:t>
            </w:r>
          </w:p>
        </w:tc>
      </w:tr>
      <w:tr w:rsidR="003B4553" w:rsidRPr="003D2D46" w14:paraId="1ED3702B" w14:textId="77777777" w:rsidTr="004F0890">
        <w:trPr>
          <w:trHeight w:val="292"/>
        </w:trPr>
        <w:tc>
          <w:tcPr>
            <w:tcW w:w="5119" w:type="dxa"/>
          </w:tcPr>
          <w:p w14:paraId="09E2E97A"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White, non-Hispanic (%)</w:t>
            </w:r>
          </w:p>
        </w:tc>
        <w:tc>
          <w:tcPr>
            <w:tcW w:w="1872" w:type="dxa"/>
          </w:tcPr>
          <w:p w14:paraId="61239D1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1.010</w:t>
            </w:r>
          </w:p>
        </w:tc>
        <w:tc>
          <w:tcPr>
            <w:tcW w:w="1877" w:type="dxa"/>
          </w:tcPr>
          <w:p w14:paraId="2E4FAA1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1.007</w:t>
            </w:r>
          </w:p>
        </w:tc>
        <w:tc>
          <w:tcPr>
            <w:tcW w:w="1932" w:type="dxa"/>
          </w:tcPr>
          <w:p w14:paraId="413E246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1.013</w:t>
            </w:r>
          </w:p>
        </w:tc>
        <w:tc>
          <w:tcPr>
            <w:tcW w:w="1651" w:type="dxa"/>
          </w:tcPr>
          <w:p w14:paraId="080765A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522DD935" w14:textId="77777777" w:rsidTr="004F0890">
        <w:trPr>
          <w:trHeight w:val="312"/>
        </w:trPr>
        <w:tc>
          <w:tcPr>
            <w:tcW w:w="5119" w:type="dxa"/>
          </w:tcPr>
          <w:p w14:paraId="3082D373"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Black, non-Hispanic (%)</w:t>
            </w:r>
          </w:p>
        </w:tc>
        <w:tc>
          <w:tcPr>
            <w:tcW w:w="1872" w:type="dxa"/>
          </w:tcPr>
          <w:p w14:paraId="25F6B49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0.986</w:t>
            </w:r>
          </w:p>
        </w:tc>
        <w:tc>
          <w:tcPr>
            <w:tcW w:w="1877" w:type="dxa"/>
          </w:tcPr>
          <w:p w14:paraId="047B38E9"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0.983</w:t>
            </w:r>
          </w:p>
        </w:tc>
        <w:tc>
          <w:tcPr>
            <w:tcW w:w="1932" w:type="dxa"/>
          </w:tcPr>
          <w:p w14:paraId="064308A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0.989</w:t>
            </w:r>
          </w:p>
        </w:tc>
        <w:tc>
          <w:tcPr>
            <w:tcW w:w="1651" w:type="dxa"/>
          </w:tcPr>
          <w:p w14:paraId="54AED4F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13A6DFC" w14:textId="77777777" w:rsidTr="004F0890">
        <w:trPr>
          <w:trHeight w:val="312"/>
        </w:trPr>
        <w:tc>
          <w:tcPr>
            <w:tcW w:w="5119" w:type="dxa"/>
          </w:tcPr>
          <w:p w14:paraId="43F2A44A"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Hispanic (%)</w:t>
            </w:r>
          </w:p>
        </w:tc>
        <w:tc>
          <w:tcPr>
            <w:tcW w:w="1872" w:type="dxa"/>
          </w:tcPr>
          <w:p w14:paraId="4E95832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0.989</w:t>
            </w:r>
          </w:p>
        </w:tc>
        <w:tc>
          <w:tcPr>
            <w:tcW w:w="1877" w:type="dxa"/>
          </w:tcPr>
          <w:p w14:paraId="58D5219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0.988</w:t>
            </w:r>
          </w:p>
        </w:tc>
        <w:tc>
          <w:tcPr>
            <w:tcW w:w="1932" w:type="dxa"/>
          </w:tcPr>
          <w:p w14:paraId="0376A76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0.991</w:t>
            </w:r>
          </w:p>
        </w:tc>
        <w:tc>
          <w:tcPr>
            <w:tcW w:w="1651" w:type="dxa"/>
          </w:tcPr>
          <w:p w14:paraId="7A01C6F4"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B608E66" w14:textId="77777777" w:rsidTr="004F0890">
        <w:trPr>
          <w:trHeight w:val="312"/>
        </w:trPr>
        <w:tc>
          <w:tcPr>
            <w:tcW w:w="5119" w:type="dxa"/>
          </w:tcPr>
          <w:p w14:paraId="299A3364" w14:textId="77777777" w:rsidR="00EA09C6" w:rsidRPr="003D2D46" w:rsidRDefault="00EA09C6" w:rsidP="00EE2A89">
            <w:pPr>
              <w:rPr>
                <w:rFonts w:ascii="Times New Roman" w:hAnsi="Times New Roman" w:cs="Times New Roman"/>
                <w:i/>
                <w:iCs/>
                <w:color w:val="000000" w:themeColor="text1"/>
              </w:rPr>
            </w:pPr>
            <w:r w:rsidRPr="003D2D46">
              <w:rPr>
                <w:rFonts w:ascii="Times New Roman" w:hAnsi="Times New Roman" w:cs="Times New Roman"/>
                <w:color w:val="000000" w:themeColor="text1"/>
              </w:rPr>
              <w:t>Male (%)</w:t>
            </w:r>
          </w:p>
        </w:tc>
        <w:tc>
          <w:tcPr>
            <w:tcW w:w="1872" w:type="dxa"/>
          </w:tcPr>
          <w:p w14:paraId="1BB24AD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1.032</w:t>
            </w:r>
          </w:p>
        </w:tc>
        <w:tc>
          <w:tcPr>
            <w:tcW w:w="1877" w:type="dxa"/>
          </w:tcPr>
          <w:p w14:paraId="21ECCBF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1.014</w:t>
            </w:r>
          </w:p>
        </w:tc>
        <w:tc>
          <w:tcPr>
            <w:tcW w:w="1932" w:type="dxa"/>
          </w:tcPr>
          <w:p w14:paraId="145A1B6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1.049</w:t>
            </w:r>
          </w:p>
        </w:tc>
        <w:tc>
          <w:tcPr>
            <w:tcW w:w="1651" w:type="dxa"/>
          </w:tcPr>
          <w:p w14:paraId="5FDAE3C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1B8C4B8B" w14:textId="77777777" w:rsidTr="004F0890">
        <w:trPr>
          <w:trHeight w:val="292"/>
        </w:trPr>
        <w:tc>
          <w:tcPr>
            <w:tcW w:w="5119" w:type="dxa"/>
          </w:tcPr>
          <w:p w14:paraId="7243C1B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Female (%)</w:t>
            </w:r>
          </w:p>
        </w:tc>
        <w:tc>
          <w:tcPr>
            <w:tcW w:w="1872" w:type="dxa"/>
          </w:tcPr>
          <w:p w14:paraId="2C6C2BA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0.969</w:t>
            </w:r>
          </w:p>
        </w:tc>
        <w:tc>
          <w:tcPr>
            <w:tcW w:w="1877" w:type="dxa"/>
          </w:tcPr>
          <w:p w14:paraId="4CD478B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0.953</w:t>
            </w:r>
          </w:p>
        </w:tc>
        <w:tc>
          <w:tcPr>
            <w:tcW w:w="1932" w:type="dxa"/>
          </w:tcPr>
          <w:p w14:paraId="0E2801C4"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0.986</w:t>
            </w:r>
          </w:p>
        </w:tc>
        <w:tc>
          <w:tcPr>
            <w:tcW w:w="1651" w:type="dxa"/>
          </w:tcPr>
          <w:p w14:paraId="2FD8644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4DF1C1C" w14:textId="77777777" w:rsidTr="004F0890">
        <w:trPr>
          <w:trHeight w:val="312"/>
        </w:trPr>
        <w:tc>
          <w:tcPr>
            <w:tcW w:w="5119" w:type="dxa"/>
          </w:tcPr>
          <w:p w14:paraId="703AD31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Unemployed (%)</w:t>
            </w:r>
          </w:p>
        </w:tc>
        <w:tc>
          <w:tcPr>
            <w:tcW w:w="1872" w:type="dxa"/>
          </w:tcPr>
          <w:p w14:paraId="1BC1BB2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0.977</w:t>
            </w:r>
          </w:p>
        </w:tc>
        <w:tc>
          <w:tcPr>
            <w:tcW w:w="1877" w:type="dxa"/>
          </w:tcPr>
          <w:p w14:paraId="72369DAA"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0.945</w:t>
            </w:r>
          </w:p>
        </w:tc>
        <w:tc>
          <w:tcPr>
            <w:tcW w:w="1932" w:type="dxa"/>
          </w:tcPr>
          <w:p w14:paraId="344B675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1.011</w:t>
            </w:r>
          </w:p>
        </w:tc>
        <w:tc>
          <w:tcPr>
            <w:tcW w:w="1651" w:type="dxa"/>
          </w:tcPr>
          <w:p w14:paraId="4BC738E9"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0.177</w:t>
            </w:r>
          </w:p>
        </w:tc>
      </w:tr>
      <w:tr w:rsidR="003B4553" w:rsidRPr="003D2D46" w14:paraId="51C5CF95" w14:textId="77777777" w:rsidTr="004F0890">
        <w:trPr>
          <w:trHeight w:val="312"/>
        </w:trPr>
        <w:tc>
          <w:tcPr>
            <w:tcW w:w="5119" w:type="dxa"/>
          </w:tcPr>
          <w:p w14:paraId="6E46335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Uninsured (%)</w:t>
            </w:r>
          </w:p>
        </w:tc>
        <w:tc>
          <w:tcPr>
            <w:tcW w:w="1872" w:type="dxa"/>
          </w:tcPr>
          <w:p w14:paraId="162D64C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0.969</w:t>
            </w:r>
          </w:p>
        </w:tc>
        <w:tc>
          <w:tcPr>
            <w:tcW w:w="1877" w:type="dxa"/>
          </w:tcPr>
          <w:p w14:paraId="6680190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0.964</w:t>
            </w:r>
          </w:p>
        </w:tc>
        <w:tc>
          <w:tcPr>
            <w:tcW w:w="1932" w:type="dxa"/>
          </w:tcPr>
          <w:p w14:paraId="5B4C3F1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0.976</w:t>
            </w:r>
          </w:p>
        </w:tc>
        <w:tc>
          <w:tcPr>
            <w:tcW w:w="1651" w:type="dxa"/>
          </w:tcPr>
          <w:p w14:paraId="171D1546"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8B5C31D" w14:textId="77777777" w:rsidTr="004F0890">
        <w:trPr>
          <w:trHeight w:val="292"/>
        </w:trPr>
        <w:tc>
          <w:tcPr>
            <w:tcW w:w="5119" w:type="dxa"/>
          </w:tcPr>
          <w:p w14:paraId="2CB966F7"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Family Below Poverty Line (%)</w:t>
            </w:r>
          </w:p>
        </w:tc>
        <w:tc>
          <w:tcPr>
            <w:tcW w:w="1872" w:type="dxa"/>
          </w:tcPr>
          <w:p w14:paraId="5FAFD16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0.938</w:t>
            </w:r>
          </w:p>
        </w:tc>
        <w:tc>
          <w:tcPr>
            <w:tcW w:w="1877" w:type="dxa"/>
          </w:tcPr>
          <w:p w14:paraId="7701DED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0.929</w:t>
            </w:r>
          </w:p>
        </w:tc>
        <w:tc>
          <w:tcPr>
            <w:tcW w:w="1932" w:type="dxa"/>
          </w:tcPr>
          <w:p w14:paraId="1DCEF0AB"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0.947</w:t>
            </w:r>
          </w:p>
        </w:tc>
        <w:tc>
          <w:tcPr>
            <w:tcW w:w="1651" w:type="dxa"/>
          </w:tcPr>
          <w:p w14:paraId="26F38EB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4162893" w14:textId="77777777" w:rsidTr="004F0890">
        <w:trPr>
          <w:trHeight w:val="312"/>
        </w:trPr>
        <w:tc>
          <w:tcPr>
            <w:tcW w:w="5119" w:type="dxa"/>
          </w:tcPr>
          <w:p w14:paraId="200B0CD3"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Line (%)</w:t>
            </w:r>
          </w:p>
        </w:tc>
        <w:tc>
          <w:tcPr>
            <w:tcW w:w="1872" w:type="dxa"/>
          </w:tcPr>
          <w:p w14:paraId="62F7B399"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0.948</w:t>
            </w:r>
          </w:p>
        </w:tc>
        <w:tc>
          <w:tcPr>
            <w:tcW w:w="1877" w:type="dxa"/>
          </w:tcPr>
          <w:p w14:paraId="53B1D03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0.939</w:t>
            </w:r>
          </w:p>
        </w:tc>
        <w:tc>
          <w:tcPr>
            <w:tcW w:w="1932" w:type="dxa"/>
          </w:tcPr>
          <w:p w14:paraId="678DD3C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0.955</w:t>
            </w:r>
          </w:p>
        </w:tc>
        <w:tc>
          <w:tcPr>
            <w:tcW w:w="1651" w:type="dxa"/>
          </w:tcPr>
          <w:p w14:paraId="4703490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2505D4B6" w14:textId="77777777" w:rsidTr="004F0890">
        <w:trPr>
          <w:trHeight w:val="312"/>
        </w:trPr>
        <w:tc>
          <w:tcPr>
            <w:tcW w:w="5119" w:type="dxa"/>
          </w:tcPr>
          <w:p w14:paraId="411F79BA"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Primary Care Providers (per 100,000 pop)</w:t>
            </w:r>
          </w:p>
        </w:tc>
        <w:tc>
          <w:tcPr>
            <w:tcW w:w="1872" w:type="dxa"/>
          </w:tcPr>
          <w:p w14:paraId="6F8DA4B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0.996</w:t>
            </w:r>
          </w:p>
        </w:tc>
        <w:tc>
          <w:tcPr>
            <w:tcW w:w="1877" w:type="dxa"/>
          </w:tcPr>
          <w:p w14:paraId="27F5F480"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0.995</w:t>
            </w:r>
          </w:p>
        </w:tc>
        <w:tc>
          <w:tcPr>
            <w:tcW w:w="1932" w:type="dxa"/>
          </w:tcPr>
          <w:p w14:paraId="21B1A67F"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0.998</w:t>
            </w:r>
          </w:p>
        </w:tc>
        <w:tc>
          <w:tcPr>
            <w:tcW w:w="1651" w:type="dxa"/>
          </w:tcPr>
          <w:p w14:paraId="374D215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00B54502" w14:textId="77777777" w:rsidTr="004F0890">
        <w:trPr>
          <w:trHeight w:val="292"/>
        </w:trPr>
        <w:tc>
          <w:tcPr>
            <w:tcW w:w="5119" w:type="dxa"/>
          </w:tcPr>
          <w:p w14:paraId="6BBE217B"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Living in Rural Area</w:t>
            </w:r>
          </w:p>
        </w:tc>
        <w:tc>
          <w:tcPr>
            <w:tcW w:w="1872" w:type="dxa"/>
          </w:tcPr>
          <w:p w14:paraId="781763F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0.999</w:t>
            </w:r>
          </w:p>
        </w:tc>
        <w:tc>
          <w:tcPr>
            <w:tcW w:w="1877" w:type="dxa"/>
          </w:tcPr>
          <w:p w14:paraId="346202EC"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0.008</w:t>
            </w:r>
          </w:p>
        </w:tc>
        <w:tc>
          <w:tcPr>
            <w:tcW w:w="1932" w:type="dxa"/>
          </w:tcPr>
          <w:p w14:paraId="2F16E0A4"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1.001</w:t>
            </w:r>
          </w:p>
        </w:tc>
        <w:tc>
          <w:tcPr>
            <w:tcW w:w="1651" w:type="dxa"/>
          </w:tcPr>
          <w:p w14:paraId="1BB4C34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0.563</w:t>
            </w:r>
          </w:p>
        </w:tc>
      </w:tr>
      <w:tr w:rsidR="003B4553" w:rsidRPr="003D2D46" w14:paraId="2700CA97" w14:textId="77777777" w:rsidTr="004F0890">
        <w:trPr>
          <w:trHeight w:val="312"/>
        </w:trPr>
        <w:tc>
          <w:tcPr>
            <w:tcW w:w="5119" w:type="dxa"/>
            <w:tcBorders>
              <w:bottom w:val="nil"/>
            </w:tcBorders>
          </w:tcPr>
          <w:p w14:paraId="4524FDA5"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Rural County (vs Urban) </w:t>
            </w:r>
          </w:p>
        </w:tc>
        <w:tc>
          <w:tcPr>
            <w:tcW w:w="1872" w:type="dxa"/>
            <w:tcBorders>
              <w:bottom w:val="nil"/>
            </w:tcBorders>
          </w:tcPr>
          <w:p w14:paraId="37238B52"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0.845</w:t>
            </w:r>
          </w:p>
        </w:tc>
        <w:tc>
          <w:tcPr>
            <w:tcW w:w="1877" w:type="dxa"/>
            <w:tcBorders>
              <w:bottom w:val="nil"/>
            </w:tcBorders>
          </w:tcPr>
          <w:p w14:paraId="69A488B3"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0.745</w:t>
            </w:r>
          </w:p>
        </w:tc>
        <w:tc>
          <w:tcPr>
            <w:tcW w:w="1932" w:type="dxa"/>
            <w:tcBorders>
              <w:bottom w:val="nil"/>
            </w:tcBorders>
          </w:tcPr>
          <w:p w14:paraId="681D38E8"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0.958</w:t>
            </w:r>
          </w:p>
        </w:tc>
        <w:tc>
          <w:tcPr>
            <w:tcW w:w="1651" w:type="dxa"/>
            <w:tcBorders>
              <w:bottom w:val="nil"/>
            </w:tcBorders>
          </w:tcPr>
          <w:p w14:paraId="441CFC1D"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0.008</w:t>
            </w:r>
          </w:p>
        </w:tc>
      </w:tr>
      <w:tr w:rsidR="003B4553" w:rsidRPr="003D2D46" w14:paraId="5BA9F8DF" w14:textId="77777777" w:rsidTr="004F0890">
        <w:trPr>
          <w:trHeight w:val="292"/>
        </w:trPr>
        <w:tc>
          <w:tcPr>
            <w:tcW w:w="5119" w:type="dxa"/>
            <w:tcBorders>
              <w:top w:val="nil"/>
              <w:bottom w:val="single" w:sz="12" w:space="0" w:color="auto"/>
            </w:tcBorders>
          </w:tcPr>
          <w:p w14:paraId="6468C577"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Scaled Median Income (Divided by $10,000) </w:t>
            </w:r>
          </w:p>
        </w:tc>
        <w:tc>
          <w:tcPr>
            <w:tcW w:w="1872" w:type="dxa"/>
            <w:tcBorders>
              <w:top w:val="nil"/>
              <w:bottom w:val="single" w:sz="12" w:space="0" w:color="auto"/>
            </w:tcBorders>
          </w:tcPr>
          <w:p w14:paraId="226C526E"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1.229</w:t>
            </w:r>
          </w:p>
        </w:tc>
        <w:tc>
          <w:tcPr>
            <w:tcW w:w="1877" w:type="dxa"/>
            <w:tcBorders>
              <w:top w:val="nil"/>
              <w:bottom w:val="single" w:sz="12" w:space="0" w:color="auto"/>
            </w:tcBorders>
          </w:tcPr>
          <w:p w14:paraId="30A3048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1.173</w:t>
            </w:r>
          </w:p>
        </w:tc>
        <w:tc>
          <w:tcPr>
            <w:tcW w:w="1932" w:type="dxa"/>
            <w:tcBorders>
              <w:top w:val="nil"/>
              <w:bottom w:val="single" w:sz="12" w:space="0" w:color="auto"/>
            </w:tcBorders>
          </w:tcPr>
          <w:p w14:paraId="78F17C37"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1.285</w:t>
            </w:r>
          </w:p>
        </w:tc>
        <w:tc>
          <w:tcPr>
            <w:tcW w:w="1651" w:type="dxa"/>
            <w:tcBorders>
              <w:top w:val="nil"/>
              <w:bottom w:val="single" w:sz="12" w:space="0" w:color="auto"/>
            </w:tcBorders>
          </w:tcPr>
          <w:p w14:paraId="63374DA1" w14:textId="77777777" w:rsidR="00EA09C6" w:rsidRPr="003D2D46" w:rsidRDefault="00EA09C6" w:rsidP="00EE2A89">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bl>
    <w:p w14:paraId="22BD659F"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56F039BC" w14:textId="77777777" w:rsidR="00FF4BED" w:rsidRPr="003D2D46" w:rsidRDefault="00FF4BED" w:rsidP="00EE2A89">
      <w:pPr>
        <w:pStyle w:val="Heading3"/>
        <w:rPr>
          <w:rFonts w:ascii="Times New Roman" w:hAnsi="Times New Roman" w:cs="Times New Roman"/>
          <w:color w:val="000000" w:themeColor="text1"/>
          <w:szCs w:val="24"/>
        </w:rPr>
        <w:sectPr w:rsidR="00FF4BED" w:rsidRPr="003D2D46" w:rsidSect="00B93CBD">
          <w:pgSz w:w="15840" w:h="12240" w:orient="landscape" w:code="1"/>
          <w:pgMar w:top="1800" w:right="1872" w:bottom="1800" w:left="1440" w:header="720" w:footer="1440" w:gutter="0"/>
          <w:cols w:space="720"/>
          <w:noEndnote/>
          <w:docGrid w:linePitch="360"/>
        </w:sectPr>
      </w:pPr>
    </w:p>
    <w:p w14:paraId="58E3CB3F" w14:textId="4B0B0FB1" w:rsidR="00EA09C6" w:rsidRPr="003D2D46" w:rsidRDefault="00EA09C6" w:rsidP="005F5C47">
      <w:pPr>
        <w:pStyle w:val="Heading41111"/>
        <w:spacing w:line="480" w:lineRule="auto"/>
        <w:rPr>
          <w:rFonts w:cs="Times New Roman"/>
          <w:color w:val="000000" w:themeColor="text1"/>
        </w:rPr>
      </w:pPr>
      <w:bookmarkStart w:id="169" w:name="_Toc82445557"/>
      <w:bookmarkStart w:id="170" w:name="_Toc87797121"/>
      <w:r w:rsidRPr="003D2D46">
        <w:rPr>
          <w:rFonts w:cs="Times New Roman"/>
          <w:color w:val="000000" w:themeColor="text1"/>
        </w:rPr>
        <w:lastRenderedPageBreak/>
        <w:t>4.3.4 Ethical Statement</w:t>
      </w:r>
      <w:bookmarkEnd w:id="169"/>
      <w:bookmarkEnd w:id="170"/>
    </w:p>
    <w:p w14:paraId="35F90395" w14:textId="77777777" w:rsidR="00EA09C6" w:rsidRPr="003D2D46" w:rsidRDefault="00EA09C6" w:rsidP="005F5C4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This study was reviewed by the University of Tennessee, Knoxville Institutional Review Board (IRB Number: UTK IRB-20-05957). The board determined that it did not involve human subjects and, therefore, did not require IRB oversight.</w:t>
      </w:r>
    </w:p>
    <w:p w14:paraId="2D0B40D9" w14:textId="77777777" w:rsidR="00332D09" w:rsidRPr="003D2D46" w:rsidRDefault="00332D09" w:rsidP="00580A15">
      <w:pPr>
        <w:spacing w:line="480" w:lineRule="auto"/>
        <w:rPr>
          <w:rFonts w:ascii="Times New Roman" w:hAnsi="Times New Roman" w:cs="Times New Roman"/>
          <w:color w:val="000000" w:themeColor="text1"/>
        </w:rPr>
      </w:pPr>
    </w:p>
    <w:p w14:paraId="23C396E1" w14:textId="77777777" w:rsidR="00EA09C6" w:rsidRPr="003D2D46" w:rsidRDefault="00EA09C6" w:rsidP="00AC2C5D">
      <w:pPr>
        <w:pStyle w:val="Heading2"/>
        <w:spacing w:line="480" w:lineRule="auto"/>
        <w:rPr>
          <w:rFonts w:cs="Times New Roman"/>
          <w:color w:val="000000" w:themeColor="text1"/>
          <w:szCs w:val="24"/>
        </w:rPr>
      </w:pPr>
      <w:bookmarkStart w:id="171" w:name="_Toc82445558"/>
      <w:bookmarkStart w:id="172" w:name="_Toc87797122"/>
      <w:r w:rsidRPr="003D2D46">
        <w:rPr>
          <w:rFonts w:cs="Times New Roman"/>
          <w:color w:val="000000" w:themeColor="text1"/>
          <w:szCs w:val="24"/>
        </w:rPr>
        <w:t>4.4 Results</w:t>
      </w:r>
      <w:bookmarkEnd w:id="171"/>
      <w:bookmarkEnd w:id="172"/>
    </w:p>
    <w:p w14:paraId="21800B9C" w14:textId="17896A6D" w:rsidR="00EA09C6" w:rsidRPr="003D2D46" w:rsidRDefault="00EA09C6" w:rsidP="00AC2C5D">
      <w:pPr>
        <w:spacing w:line="480" w:lineRule="auto"/>
        <w:rPr>
          <w:rFonts w:ascii="Times New Roman" w:hAnsi="Times New Roman" w:cs="Times New Roman"/>
          <w:bCs/>
          <w:color w:val="000000" w:themeColor="text1"/>
        </w:rPr>
      </w:pPr>
      <w:r w:rsidRPr="003D2D46">
        <w:rPr>
          <w:rFonts w:ascii="Times New Roman" w:hAnsi="Times New Roman" w:cs="Times New Roman"/>
          <w:color w:val="000000" w:themeColor="text1"/>
        </w:rPr>
        <w:t xml:space="preserve">The largest number of exemptions was in Miami-Dade County (4,157) while the lowest was in Lafayette county which had no exemptions during the study period.  The highest </w:t>
      </w:r>
      <w:r w:rsidR="0045403D" w:rsidRPr="003D2D46">
        <w:rPr>
          <w:rFonts w:ascii="Times New Roman" w:hAnsi="Times New Roman" w:cs="Times New Roman"/>
          <w:color w:val="000000" w:themeColor="text1"/>
        </w:rPr>
        <w:t xml:space="preserve">county-level </w:t>
      </w:r>
      <w:r w:rsidRPr="003D2D46">
        <w:rPr>
          <w:rFonts w:ascii="Times New Roman" w:hAnsi="Times New Roman" w:cs="Times New Roman"/>
          <w:color w:val="000000" w:themeColor="text1"/>
        </w:rPr>
        <w:t xml:space="preserve">percentages of exemptions were seen in </w:t>
      </w:r>
      <w:r w:rsidRPr="003D2D46">
        <w:rPr>
          <w:rFonts w:ascii="Times New Roman" w:hAnsi="Times New Roman" w:cs="Times New Roman"/>
          <w:bCs/>
          <w:color w:val="000000" w:themeColor="text1"/>
        </w:rPr>
        <w:t>Seminole (4.8%), Miami-Dade (2.6%), Columbia (2.6%), Palm Beath (2.4%), Sarasota (2.3%) and St. John’s (2.0%) counties.</w:t>
      </w:r>
    </w:p>
    <w:p w14:paraId="484A194B" w14:textId="77777777" w:rsidR="00EA09C6" w:rsidRPr="003D2D46" w:rsidRDefault="00EA09C6" w:rsidP="00580A15">
      <w:pPr>
        <w:spacing w:line="480" w:lineRule="auto"/>
        <w:rPr>
          <w:rFonts w:ascii="Times New Roman" w:hAnsi="Times New Roman" w:cs="Times New Roman"/>
          <w:bCs/>
          <w:color w:val="000000" w:themeColor="text1"/>
        </w:rPr>
      </w:pPr>
    </w:p>
    <w:p w14:paraId="5DB91FDF" w14:textId="77777777" w:rsidR="00EA09C6" w:rsidRPr="003D2D46" w:rsidRDefault="00EA09C6" w:rsidP="00AC2C5D">
      <w:pPr>
        <w:pStyle w:val="Heading41111"/>
        <w:spacing w:line="480" w:lineRule="auto"/>
        <w:rPr>
          <w:rFonts w:cs="Times New Roman"/>
          <w:color w:val="000000" w:themeColor="text1"/>
        </w:rPr>
      </w:pPr>
      <w:bookmarkStart w:id="173" w:name="_Toc82445559"/>
      <w:bookmarkStart w:id="174" w:name="_Toc87797123"/>
      <w:r w:rsidRPr="003D2D46">
        <w:rPr>
          <w:rFonts w:cs="Times New Roman"/>
          <w:color w:val="000000" w:themeColor="text1"/>
        </w:rPr>
        <w:t>4.4.1 Geographic Patterns of Vaccination Exemptions</w:t>
      </w:r>
      <w:bookmarkEnd w:id="173"/>
      <w:bookmarkEnd w:id="174"/>
    </w:p>
    <w:p w14:paraId="22088EBF" w14:textId="2E8606E2"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Total exemptions varied from 0 to 30.16 per 10,000 </w:t>
      </w:r>
      <w:r w:rsidR="00D03AC1" w:rsidRPr="003D2D46">
        <w:rPr>
          <w:rFonts w:ascii="Times New Roman" w:hAnsi="Times New Roman" w:cs="Times New Roman"/>
          <w:color w:val="000000" w:themeColor="text1"/>
        </w:rPr>
        <w:t xml:space="preserve">persons </w:t>
      </w:r>
      <w:r w:rsidRPr="003D2D46">
        <w:rPr>
          <w:rFonts w:ascii="Times New Roman" w:hAnsi="Times New Roman" w:cs="Times New Roman"/>
          <w:color w:val="000000" w:themeColor="text1"/>
        </w:rPr>
        <w:t xml:space="preserve">(Figure </w:t>
      </w:r>
      <w:r w:rsidR="002A58CB" w:rsidRPr="003D2D46">
        <w:rPr>
          <w:rFonts w:ascii="Times New Roman" w:hAnsi="Times New Roman" w:cs="Times New Roman"/>
          <w:color w:val="000000" w:themeColor="text1"/>
        </w:rPr>
        <w:t>4.3</w:t>
      </w:r>
      <w:r w:rsidRPr="003D2D46">
        <w:rPr>
          <w:rFonts w:ascii="Times New Roman" w:hAnsi="Times New Roman" w:cs="Times New Roman"/>
          <w:color w:val="000000" w:themeColor="text1"/>
        </w:rPr>
        <w:t xml:space="preserve">). Nine counties had exemption risks in the top two classes (10.35-15.85 and 15.86-30.16 exemptions per 10,000 </w:t>
      </w:r>
      <w:r w:rsidR="00D03AC1"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(Figure </w:t>
      </w:r>
      <w:r w:rsidR="002A58CB" w:rsidRPr="003D2D46">
        <w:rPr>
          <w:rFonts w:ascii="Times New Roman" w:hAnsi="Times New Roman" w:cs="Times New Roman"/>
          <w:color w:val="000000" w:themeColor="text1"/>
        </w:rPr>
        <w:t>4.3</w:t>
      </w:r>
      <w:r w:rsidRPr="003D2D46">
        <w:rPr>
          <w:rFonts w:ascii="Times New Roman" w:hAnsi="Times New Roman" w:cs="Times New Roman"/>
          <w:color w:val="000000" w:themeColor="text1"/>
        </w:rPr>
        <w:t>). These counties were distributed in five distinct areas of the state: Western Panhandle (Santa Rosa County), central northern area</w:t>
      </w:r>
      <w:r w:rsidRPr="003D2D46" w:rsidDel="000F2EC5">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(Columbia, Union, and Gilchrist counties, central (Osceola County), South-eastern coastal area (Palm Beach, Martin, and St. Lucie counties), and the southern coastal border of the state (Miami-Dade County) (Figure </w:t>
      </w:r>
      <w:r w:rsidR="002A58CB" w:rsidRPr="003D2D46">
        <w:rPr>
          <w:rFonts w:ascii="Times New Roman" w:hAnsi="Times New Roman" w:cs="Times New Roman"/>
          <w:color w:val="000000" w:themeColor="text1"/>
        </w:rPr>
        <w:t>4.3</w:t>
      </w:r>
      <w:r w:rsidRPr="003D2D46">
        <w:rPr>
          <w:rFonts w:ascii="Times New Roman" w:hAnsi="Times New Roman" w:cs="Times New Roman"/>
          <w:color w:val="000000" w:themeColor="text1"/>
        </w:rPr>
        <w:t xml:space="preserve">). Areas with the lowest exemptions (0-3.48 per 10,000 </w:t>
      </w:r>
      <w:r w:rsidR="00D03AC1"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were primarily seen in the central portion of the state (Hardee, Desoto, Glades, Okeechobee counties), in the central panhandle (Holmes, Washington, Jackson, Gadsden, Liberty, and </w:t>
      </w:r>
      <w:r w:rsidRPr="003D2D46">
        <w:rPr>
          <w:rFonts w:ascii="Times New Roman" w:hAnsi="Times New Roman" w:cs="Times New Roman"/>
          <w:color w:val="000000" w:themeColor="text1"/>
        </w:rPr>
        <w:lastRenderedPageBreak/>
        <w:t>Gulf counties), and along north-western coastal and northern body of the state (Jefferson, Taylor, Lafayette, Dixie, Levy, Suwannee, and Hamilton counties). Two other counties in the northern central part of the state also had low risks of total exemptions (Bradford and Sumter counties).</w:t>
      </w:r>
    </w:p>
    <w:p w14:paraId="05E795AE" w14:textId="77777777" w:rsidR="00FF4BED" w:rsidRPr="003D2D46" w:rsidRDefault="00FF4BED" w:rsidP="00EE2A89">
      <w:pPr>
        <w:rPr>
          <w:rFonts w:ascii="Times New Roman" w:hAnsi="Times New Roman" w:cs="Times New Roman"/>
          <w:color w:val="000000" w:themeColor="text1"/>
        </w:rPr>
      </w:pPr>
    </w:p>
    <w:p w14:paraId="760AE5D9" w14:textId="7429C5AC" w:rsidR="00ED4A33" w:rsidRPr="003D2D46" w:rsidRDefault="00ED4A33" w:rsidP="00ED4A33">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Non-medical exemptions varied from 0 to 10.40 per 10,000 p</w:t>
      </w:r>
      <w:r w:rsidR="00D03AC1" w:rsidRPr="003D2D46">
        <w:rPr>
          <w:rFonts w:ascii="Times New Roman" w:hAnsi="Times New Roman" w:cs="Times New Roman"/>
          <w:color w:val="000000" w:themeColor="text1"/>
        </w:rPr>
        <w:t>ersons</w:t>
      </w:r>
      <w:r w:rsidRPr="003D2D46">
        <w:rPr>
          <w:rFonts w:ascii="Times New Roman" w:hAnsi="Times New Roman" w:cs="Times New Roman"/>
          <w:color w:val="000000" w:themeColor="text1"/>
        </w:rPr>
        <w:t xml:space="preserve"> (Figure 4.3). Fifteen counties had exemption risks in the top two classes (3.71-5.60 and 5.61-10.40 exemptions per 10,000 </w:t>
      </w:r>
      <w:r w:rsidR="00D03AC1"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(Figure 4.3). These counties were distributed in six distinct areas of the state: Western Panhandle (Santa Rosa and Okaloosa Counties), Central Panhandle</w:t>
      </w:r>
      <w:r w:rsidRPr="003D2D46" w:rsidDel="000F2EC5">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(Franklin County), Northeastern (Flagler and Columbia Counties), Central-eastern coastal area (Indian River, Brevard, Martin, and St. Lucie Counties), Central-western coastal area (Pinellas, Hernando, and Citrus Counties), and the South-western coastal border of the state (Monroe, Collier, and Charlotte Counties) (Figure 4.3). Areas with the lowest non-medical exemptions (0-1.20 per 10,000 </w:t>
      </w:r>
      <w:r w:rsidR="00D03AC1"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were primarily seen in the central portion of the state (Hardee, Desoto, Hendry, and Okeechobee Counties), in the central panhandle (Holmes, Washington, Gadsden, Liberty, and Gulf counties), and along the northern gulf and eastern panhandle area (Jefferson, Taylor, Dixie, Levy, Lafayette, Suwannee, and Hamilton counties). One other county in the northern central part of the state also had low medical exemptions (Bradford County).</w:t>
      </w:r>
    </w:p>
    <w:p w14:paraId="6ACBBB96" w14:textId="77777777" w:rsidR="00ED4A33" w:rsidRPr="003D2D46" w:rsidRDefault="00ED4A33" w:rsidP="00EE2A89">
      <w:pPr>
        <w:rPr>
          <w:rFonts w:ascii="Times New Roman" w:hAnsi="Times New Roman" w:cs="Times New Roman"/>
          <w:color w:val="000000" w:themeColor="text1"/>
        </w:rPr>
      </w:pPr>
    </w:p>
    <w:p w14:paraId="3D58FBF8" w14:textId="14DC844A" w:rsidR="00ED4A33" w:rsidRPr="003D2D46" w:rsidRDefault="00ED4A33" w:rsidP="00EE2A89">
      <w:pPr>
        <w:rPr>
          <w:rFonts w:ascii="Times New Roman" w:hAnsi="Times New Roman" w:cs="Times New Roman"/>
          <w:color w:val="000000" w:themeColor="text1"/>
        </w:rPr>
        <w:sectPr w:rsidR="00ED4A33" w:rsidRPr="003D2D46" w:rsidSect="00B93CBD">
          <w:pgSz w:w="12240" w:h="15840" w:code="1"/>
          <w:pgMar w:top="1440" w:right="1800" w:bottom="1872" w:left="1800" w:header="720" w:footer="1440" w:gutter="0"/>
          <w:cols w:space="720"/>
          <w:noEndnote/>
          <w:docGrid w:linePitch="360"/>
        </w:sectPr>
      </w:pPr>
    </w:p>
    <w:p w14:paraId="19C736FB" w14:textId="77777777" w:rsidR="00FF4BED" w:rsidRPr="003D2D46" w:rsidRDefault="00FF4BED" w:rsidP="00EE2A89">
      <w:pPr>
        <w:rPr>
          <w:rFonts w:ascii="Times New Roman" w:hAnsi="Times New Roman" w:cs="Times New Roman"/>
          <w:color w:val="000000" w:themeColor="text1"/>
        </w:rPr>
      </w:pPr>
    </w:p>
    <w:p w14:paraId="0A950584" w14:textId="77777777" w:rsidR="00FF4BED" w:rsidRPr="003D2D46" w:rsidRDefault="00EA09C6" w:rsidP="00EE2A89">
      <w:pPr>
        <w:rPr>
          <w:rFonts w:ascii="Times New Roman" w:hAnsi="Times New Roman" w:cs="Times New Roman"/>
          <w:color w:val="000000" w:themeColor="text1"/>
        </w:rPr>
      </w:pPr>
      <w:r w:rsidRPr="003D2D46">
        <w:rPr>
          <w:rFonts w:ascii="Times New Roman" w:hAnsi="Times New Roman" w:cs="Times New Roman"/>
          <w:noProof/>
          <w:color w:val="000000" w:themeColor="text1"/>
        </w:rPr>
        <w:drawing>
          <wp:inline distT="0" distB="0" distL="0" distR="0" wp14:anchorId="65020A70" wp14:editId="3C5129D0">
            <wp:extent cx="7888406" cy="3709650"/>
            <wp:effectExtent l="0" t="0" r="0" b="571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2" cstate="print">
                      <a:extLst>
                        <a:ext uri="{28A0092B-C50C-407E-A947-70E740481C1C}">
                          <a14:useLocalDpi xmlns:a14="http://schemas.microsoft.com/office/drawing/2010/main" val="0"/>
                        </a:ext>
                      </a:extLst>
                    </a:blip>
                    <a:srcRect l="1474" r="1928"/>
                    <a:stretch/>
                  </pic:blipFill>
                  <pic:spPr bwMode="auto">
                    <a:xfrm>
                      <a:off x="0" y="0"/>
                      <a:ext cx="7935257" cy="3731683"/>
                    </a:xfrm>
                    <a:prstGeom prst="rect">
                      <a:avLst/>
                    </a:prstGeom>
                    <a:ln>
                      <a:noFill/>
                    </a:ln>
                    <a:extLst>
                      <a:ext uri="{53640926-AAD7-44D8-BBD7-CCE9431645EC}">
                        <a14:shadowObscured xmlns:a14="http://schemas.microsoft.com/office/drawing/2010/main"/>
                      </a:ext>
                    </a:extLst>
                  </pic:spPr>
                </pic:pic>
              </a:graphicData>
            </a:graphic>
          </wp:inline>
        </w:drawing>
      </w:r>
    </w:p>
    <w:p w14:paraId="120153A0" w14:textId="0A6525C6" w:rsidR="00FF4BED" w:rsidRPr="003D2D46" w:rsidRDefault="00FF4BED" w:rsidP="00EE2A89">
      <w:pPr>
        <w:pStyle w:val="Caption"/>
        <w:rPr>
          <w:rFonts w:ascii="Times New Roman" w:hAnsi="Times New Roman" w:cs="Times New Roman"/>
          <w:color w:val="000000" w:themeColor="text1"/>
        </w:rPr>
      </w:pPr>
      <w:bookmarkStart w:id="175" w:name="_Toc83975896"/>
      <w:r w:rsidRPr="003D2D46">
        <w:rPr>
          <w:rFonts w:ascii="Times New Roman" w:hAnsi="Times New Roman" w:cs="Times New Roman"/>
          <w:color w:val="000000" w:themeColor="text1"/>
        </w:rPr>
        <w:t>Figure 4.</w:t>
      </w:r>
      <w:r w:rsidR="00CF2B3D" w:rsidRPr="003D2D46">
        <w:rPr>
          <w:rFonts w:ascii="Times New Roman" w:hAnsi="Times New Roman" w:cs="Times New Roman"/>
          <w:color w:val="000000" w:themeColor="text1"/>
        </w:rPr>
        <w:fldChar w:fldCharType="begin"/>
      </w:r>
      <w:r w:rsidR="00CF2B3D" w:rsidRPr="003D2D46">
        <w:rPr>
          <w:rFonts w:ascii="Times New Roman" w:hAnsi="Times New Roman" w:cs="Times New Roman"/>
          <w:color w:val="000000" w:themeColor="text1"/>
        </w:rPr>
        <w:instrText xml:space="preserve"> SEQ Figure \* ARABIC \s 1 </w:instrText>
      </w:r>
      <w:r w:rsidR="00CF2B3D"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3</w:t>
      </w:r>
      <w:r w:rsidR="00CF2B3D"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Total and non-medical vaccination exemptions per 10,000</w:t>
      </w:r>
      <w:r w:rsidR="000D64A9"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xml:space="preserve"> in Florida, 2014</w:t>
      </w:r>
      <w:bookmarkEnd w:id="175"/>
    </w:p>
    <w:p w14:paraId="57F1DD37" w14:textId="77777777" w:rsidR="00FF4BED" w:rsidRPr="003D2D46" w:rsidRDefault="00FF4BED" w:rsidP="00EE2A89">
      <w:pPr>
        <w:rPr>
          <w:rFonts w:ascii="Times New Roman" w:hAnsi="Times New Roman" w:cs="Times New Roman"/>
          <w:color w:val="000000" w:themeColor="text1"/>
        </w:rPr>
      </w:pPr>
    </w:p>
    <w:p w14:paraId="74C07ABE" w14:textId="77777777" w:rsidR="00FF4BED" w:rsidRPr="003D2D46" w:rsidRDefault="00FF4BED" w:rsidP="00EE2A89">
      <w:pPr>
        <w:rPr>
          <w:rFonts w:ascii="Times New Roman" w:hAnsi="Times New Roman" w:cs="Times New Roman"/>
          <w:color w:val="000000" w:themeColor="text1"/>
        </w:rPr>
        <w:sectPr w:rsidR="00FF4BED" w:rsidRPr="003D2D46" w:rsidSect="00B93CBD">
          <w:pgSz w:w="15840" w:h="12240" w:orient="landscape" w:code="1"/>
          <w:pgMar w:top="1800" w:right="1872" w:bottom="1800" w:left="1440" w:header="720" w:footer="1440" w:gutter="0"/>
          <w:cols w:space="720"/>
          <w:noEndnote/>
          <w:docGrid w:linePitch="360"/>
        </w:sectPr>
      </w:pPr>
    </w:p>
    <w:p w14:paraId="03CD95DD" w14:textId="77777777" w:rsidR="00EA09C6" w:rsidRPr="003D2D46" w:rsidRDefault="00EA09C6" w:rsidP="00AC2C5D">
      <w:pPr>
        <w:pStyle w:val="Heading41111"/>
        <w:spacing w:line="480" w:lineRule="auto"/>
        <w:rPr>
          <w:rFonts w:cs="Times New Roman"/>
          <w:color w:val="000000" w:themeColor="text1"/>
        </w:rPr>
      </w:pPr>
      <w:bookmarkStart w:id="176" w:name="_Toc82445560"/>
      <w:bookmarkStart w:id="177" w:name="_Toc87797124"/>
      <w:r w:rsidRPr="003D2D46">
        <w:rPr>
          <w:rFonts w:cs="Times New Roman"/>
          <w:color w:val="000000" w:themeColor="text1"/>
        </w:rPr>
        <w:lastRenderedPageBreak/>
        <w:t>4.4.2 Predictors of Total Vaccination Exemptions</w:t>
      </w:r>
      <w:bookmarkEnd w:id="176"/>
      <w:bookmarkEnd w:id="177"/>
    </w:p>
    <w:p w14:paraId="00FAEDD2" w14:textId="6B03140C"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Since the results of the multivariable Poisson model (Table </w:t>
      </w:r>
      <w:r w:rsidR="002A58CB" w:rsidRPr="003D2D46">
        <w:rPr>
          <w:rFonts w:ascii="Times New Roman" w:hAnsi="Times New Roman" w:cs="Times New Roman"/>
          <w:color w:val="000000" w:themeColor="text1"/>
        </w:rPr>
        <w:t>4.4</w:t>
      </w:r>
      <w:r w:rsidRPr="003D2D46">
        <w:rPr>
          <w:rFonts w:ascii="Times New Roman" w:hAnsi="Times New Roman" w:cs="Times New Roman"/>
          <w:color w:val="000000" w:themeColor="text1"/>
        </w:rPr>
        <w:t>) showed evidence of overdispersion (Deviance/df=29.7; Pearson Chi-square/df=34.02; Likelihood Ratio Test of overdispersion parameter=0, p&lt;0.001),</w:t>
      </w:r>
      <w:r w:rsidRPr="003D2D46" w:rsidDel="001A18E7">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a negative binomial model was more appropriate for these data and hence the results of investigation of predictors of total vaccination exemptions focuses on the negative binomial model results (Table </w:t>
      </w:r>
      <w:r w:rsidR="002A58CB" w:rsidRPr="003D2D46">
        <w:rPr>
          <w:rFonts w:ascii="Times New Roman" w:hAnsi="Times New Roman" w:cs="Times New Roman"/>
          <w:color w:val="000000" w:themeColor="text1"/>
        </w:rPr>
        <w:t>4.5</w:t>
      </w:r>
      <w:r w:rsidRPr="003D2D46">
        <w:rPr>
          <w:rFonts w:ascii="Times New Roman" w:hAnsi="Times New Roman" w:cs="Times New Roman"/>
          <w:color w:val="000000" w:themeColor="text1"/>
        </w:rPr>
        <w:t xml:space="preserve">). Based on the results of this model, the risk of total vaccination exemptions tended to be higher in counties with more primary care providers per 10,000 </w:t>
      </w:r>
      <w:r w:rsidR="003A0DB7"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higher median income, higher percentage of Hispanic population, and higher percentage of population with a college education than in counties with lower values of these predictors (Table </w:t>
      </w:r>
      <w:r w:rsidR="002A58CB" w:rsidRPr="003D2D46">
        <w:rPr>
          <w:rFonts w:ascii="Times New Roman" w:hAnsi="Times New Roman" w:cs="Times New Roman"/>
          <w:color w:val="000000" w:themeColor="text1"/>
        </w:rPr>
        <w:t>4.5</w:t>
      </w:r>
      <w:r w:rsidRPr="003D2D46">
        <w:rPr>
          <w:rFonts w:ascii="Times New Roman" w:hAnsi="Times New Roman" w:cs="Times New Roman"/>
          <w:color w:val="000000" w:themeColor="text1"/>
        </w:rPr>
        <w:t>). There was no evidence of lack of fit of the total exemptions negative binomial model based on the Deviance goodness-of-fit test (p=0.169) although the Pearson goodness</w:t>
      </w:r>
      <w:r w:rsidR="003A0DB7"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of</w:t>
      </w:r>
      <w:r w:rsidR="003A0DB7"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fit test indicated that the model may not fit the data very well (p=0.048). </w:t>
      </w:r>
    </w:p>
    <w:p w14:paraId="3093DDD7" w14:textId="77777777" w:rsidR="00CF2B3D" w:rsidRPr="003D2D46" w:rsidRDefault="00CF2B3D" w:rsidP="00EE2A89">
      <w:pPr>
        <w:rPr>
          <w:rFonts w:ascii="Times New Roman" w:hAnsi="Times New Roman" w:cs="Times New Roman"/>
          <w:color w:val="000000" w:themeColor="text1"/>
        </w:rPr>
      </w:pPr>
    </w:p>
    <w:p w14:paraId="15D924E4" w14:textId="77777777" w:rsidR="00CF36A2" w:rsidRPr="003D2D46" w:rsidRDefault="00CF36A2" w:rsidP="00CF36A2">
      <w:pPr>
        <w:pStyle w:val="Heading41111"/>
        <w:spacing w:line="480" w:lineRule="auto"/>
        <w:rPr>
          <w:rFonts w:cs="Times New Roman"/>
          <w:color w:val="000000" w:themeColor="text1"/>
        </w:rPr>
      </w:pPr>
      <w:bookmarkStart w:id="178" w:name="_Toc87797125"/>
      <w:r w:rsidRPr="003D2D46">
        <w:rPr>
          <w:rFonts w:cs="Times New Roman"/>
          <w:color w:val="000000" w:themeColor="text1"/>
        </w:rPr>
        <w:t>4.4.3 Predictors of Non-Medical Vaccination Exemptions</w:t>
      </w:r>
      <w:bookmarkEnd w:id="178"/>
    </w:p>
    <w:p w14:paraId="7BFF9841" w14:textId="33D2CA99" w:rsidR="008E7A6E" w:rsidRDefault="00CF36A2" w:rsidP="00CF36A2">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As was the case with the total exemptions model, there was evidence of over-dispersion (Deviance/df=13.98; Pearson Chi-square/df=16.28; Likelihood Ratio Test of over-dispersion parameter=0, p&lt;0.001) of the final Poisson model (Table 4.6) used to investigate predictors of non-medical exemptions implying that the Poisson model was not appropriate for the investigation. Therefore, subsequent results presented are based on the final multivariable negative binomial model (Table 4.7). Based on this model, high risks of non-medical exemptions tended to occur in counties with higher percentage of white population. By contrast, lower risks of non-medical exemptions tended to occur in </w:t>
      </w:r>
      <w:r w:rsidRPr="003D2D46">
        <w:rPr>
          <w:rFonts w:ascii="Times New Roman" w:hAnsi="Times New Roman" w:cs="Times New Roman"/>
          <w:color w:val="000000" w:themeColor="text1"/>
        </w:rPr>
        <w:lastRenderedPageBreak/>
        <w:t>counties with higher percentages of the population: (a) living in rural areas, (b) with a college education, (b) having high school education, and (c) having less than a high school education. As for the total exemptions model, this model indicated no evidence of lack of fit based on the Deviance goodness-of-fit test (p=0.153) although the Pearson goodness</w:t>
      </w:r>
      <w:r w:rsidR="003A0DB7"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of</w:t>
      </w:r>
      <w:r w:rsidR="003A0DB7"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fit test indicated that the model did not fit the data well (p=0.003).</w:t>
      </w:r>
    </w:p>
    <w:p w14:paraId="42691348" w14:textId="77777777" w:rsidR="008E7A6E" w:rsidRPr="003D2D46" w:rsidRDefault="008E7A6E" w:rsidP="008E7A6E">
      <w:pPr>
        <w:pStyle w:val="Heading2"/>
        <w:spacing w:line="480" w:lineRule="auto"/>
        <w:rPr>
          <w:rFonts w:cs="Times New Roman"/>
          <w:color w:val="000000" w:themeColor="text1"/>
          <w:szCs w:val="24"/>
        </w:rPr>
      </w:pPr>
      <w:bookmarkStart w:id="179" w:name="_Toc82445562"/>
      <w:bookmarkStart w:id="180" w:name="_Toc87797126"/>
      <w:r w:rsidRPr="003D2D46">
        <w:rPr>
          <w:rFonts w:cs="Times New Roman"/>
          <w:color w:val="000000" w:themeColor="text1"/>
          <w:szCs w:val="24"/>
        </w:rPr>
        <w:t xml:space="preserve">4.5 </w:t>
      </w:r>
      <w:bookmarkEnd w:id="179"/>
      <w:r w:rsidRPr="003D2D46">
        <w:rPr>
          <w:rFonts w:cs="Times New Roman"/>
          <w:color w:val="000000" w:themeColor="text1"/>
          <w:szCs w:val="24"/>
        </w:rPr>
        <w:t>Discussion</w:t>
      </w:r>
      <w:bookmarkEnd w:id="180"/>
    </w:p>
    <w:p w14:paraId="541579C3" w14:textId="77777777" w:rsidR="008E7A6E" w:rsidRPr="003D2D46" w:rsidRDefault="008E7A6E" w:rsidP="008E7A6E">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study identified county-level geographic disparities and sociodemographic predictors of both total and non-medical vaccination exemptions in Florida in 2014. Study findings provide information that is useful for guiding public health programs and policy. </w:t>
      </w:r>
    </w:p>
    <w:p w14:paraId="56ED080D" w14:textId="77777777" w:rsidR="008E7A6E" w:rsidRPr="003D2D46" w:rsidRDefault="008E7A6E" w:rsidP="008E7A6E">
      <w:pPr>
        <w:spacing w:line="480" w:lineRule="auto"/>
        <w:rPr>
          <w:rFonts w:ascii="Times New Roman" w:hAnsi="Times New Roman" w:cs="Times New Roman"/>
          <w:color w:val="000000" w:themeColor="text1"/>
        </w:rPr>
      </w:pPr>
    </w:p>
    <w:p w14:paraId="5E5ACF3C" w14:textId="77777777" w:rsidR="008E7A6E" w:rsidRPr="003D2D46" w:rsidRDefault="008E7A6E" w:rsidP="008E7A6E">
      <w:pPr>
        <w:pStyle w:val="Heading41111"/>
        <w:spacing w:line="480" w:lineRule="auto"/>
        <w:rPr>
          <w:rFonts w:cs="Times New Roman"/>
          <w:color w:val="000000" w:themeColor="text1"/>
        </w:rPr>
      </w:pPr>
      <w:bookmarkStart w:id="181" w:name="_Toc82445563"/>
      <w:bookmarkStart w:id="182" w:name="_Toc87797127"/>
      <w:r w:rsidRPr="003D2D46">
        <w:rPr>
          <w:rFonts w:cs="Times New Roman"/>
          <w:color w:val="000000" w:themeColor="text1"/>
        </w:rPr>
        <w:t>4.5.1 Geographic Disparities in Vaccination Exemptions</w:t>
      </w:r>
      <w:bookmarkEnd w:id="181"/>
      <w:bookmarkEnd w:id="182"/>
    </w:p>
    <w:p w14:paraId="5CCD1BF1" w14:textId="77777777" w:rsidR="008E7A6E" w:rsidRPr="003D2D46" w:rsidRDefault="008E7A6E" w:rsidP="008E7A6E">
      <w:pPr>
        <w:pStyle w:val="Heading511111"/>
        <w:spacing w:line="480" w:lineRule="auto"/>
        <w:rPr>
          <w:rFonts w:cs="Times New Roman"/>
          <w:color w:val="000000" w:themeColor="text1"/>
        </w:rPr>
      </w:pPr>
      <w:bookmarkStart w:id="183" w:name="_Toc82445564"/>
      <w:bookmarkStart w:id="184" w:name="_Toc87797128"/>
      <w:r w:rsidRPr="003D2D46">
        <w:rPr>
          <w:rFonts w:cs="Times New Roman"/>
          <w:color w:val="000000" w:themeColor="text1"/>
        </w:rPr>
        <w:t>4.5.1.1 Total Exemptions</w:t>
      </w:r>
      <w:bookmarkEnd w:id="183"/>
      <w:bookmarkEnd w:id="184"/>
    </w:p>
    <w:p w14:paraId="4957A531" w14:textId="6A8DCA16" w:rsidR="008E7A6E" w:rsidRPr="003D2D46" w:rsidRDefault="008E7A6E" w:rsidP="008E7A6E">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identification of county-level geographic disparities of total vaccination exemptions in this study is consistent with findings from other studies that investigated geographic patterns of vaccination exemptions and vaccine-preventable diseases </w:t>
      </w:r>
      <w:r w:rsidRPr="003D2D46">
        <w:rPr>
          <w:rFonts w:ascii="Times New Roman" w:hAnsi="Times New Roman" w:cs="Times New Roman"/>
          <w:color w:val="000000" w:themeColor="text1"/>
        </w:rPr>
        <w:fldChar w:fldCharType="begin" w:fldLock="1"/>
      </w:r>
      <w:r w:rsidRPr="003D2D46">
        <w:rPr>
          <w:rFonts w:ascii="Times New Roman" w:hAnsi="Times New Roman" w:cs="Times New Roman"/>
          <w:color w:val="000000" w:themeColor="text1"/>
        </w:rPr>
        <w:instrText>ADDIN CSL_CITATION {"citationItems":[{"id":"ITEM-1","itemData":{"DOI":"10.1073/pnas.1700240114","author":[{"dropping-particle":"","family":"Aloe","given":"Carlin","non-dropping-particle":"","parse-names":false,"suffix":""},{"dropping-particle":"","family":"Kulldorff","given":"Martin","non-dropping-particle":"","parse-names":false,"suffix":""},{"dropping-particle":"","family":"Bloom","given":"Barry R","non-dropping-particle":"","parse-names":false,"suffix":""}],"container-title":"Proceedings of the National Academy of Sciences of the United States of America","id":"ITEM-1","issued":{"date-parts":[["2017"]]},"page":"1-5","title":"Geospatial analysis of nonmedical vaccine exemptions and pertussis outbreaks in the United States","type":"article-journal"},"uris":["http://www.mendeley.com/documents/?uuid=77e62cf2-5339-456c-8169-d003c8a5b60e"]},{"id":"ITEM-2","itemData":{"DOI":"10.1001/jama.296.14.1757","ISSN":"0098-7484","abstract":"ContextSchool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A.","non-dropping-particle":"","parse-names":false,"suffix":""}],"container-title":"Jama","id":"ITEM-2","issue":"14","issued":{"date-parts":[["2006"]]},"page":"1757","title":"Nonmedical Exemptions to School Immunization Requirements","type":"article-journal","volume":"296"},"uris":["http://www.mendeley.com/documents/?uuid=63cf2c52-42f3-4e7f-bb8d-fd5244a0e858"]}],"mendeley":{"formattedCitation":"(Omer et al., 2006; Aloe, Kulldorff &amp; Bloom, 2017)","plainTextFormattedCitation":"(Omer et al., 2006; Aloe, Kulldorff &amp; Bloom, 2017)","previouslyFormattedCitation":"(Omer et al., 2006; Aloe, Kulldorff &amp; Bloom,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(Omer et al., 2006; Aloe, Kulldorff &amp; Bloom, 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examination of total vaccination exemptions in Florida between 2013 and 2019 reported variations of exemptions at the county level  </w:t>
      </w:r>
      <w:r w:rsidRPr="003D2D46">
        <w:rPr>
          <w:rFonts w:ascii="Times New Roman" w:hAnsi="Times New Roman" w:cs="Times New Roman"/>
          <w:color w:val="000000" w:themeColor="text1"/>
        </w:rPr>
        <w:fldChar w:fldCharType="begin" w:fldLock="1"/>
      </w:r>
      <w:r w:rsidRPr="003D2D46">
        <w:rPr>
          <w:rFonts w:ascii="Times New Roman" w:hAnsi="Times New Roman" w:cs="Times New Roman"/>
          <w:color w:val="000000" w:themeColor="text1"/>
        </w:rPr>
        <w:instrText>ADDIN CSL_CITATION {"citationItems":[{"id":"ITEM-1","itemData":{"DOI":"https://doi-org.utk.idm.oclc.org/10.1542/peds.147.3_MeetingAbstract.5","author":[{"dropping-particle":"","family":"Muller","given":"Carly","non-dropping-particle":"","parse-names":false,"suffix":""},{"dropping-particle":"","family":"Gwynn","given":"Lisa","non-dropping-particle":"","parse-names":false,"suffix":""}],"container-title":"2020 AAP National Conference","id":"ITEM-1","issued":{"date-parts":[["2021"]]},"title":"An Examination of Miami-Dade County Public-School Vaccination Compliance Utilizing GIS Mapping","type":"paper-conference"},"uris":["http://www.mendeley.com/documents/?uuid=0bbdfb7c-a399-4304-ace7-7bac5190f9de"]}],"mendeley":{"formattedCitation":"(Muller &amp; Gwynn, 2021)","plainTextFormattedCitation":"(Muller &amp; Gwynn, 2021)","previouslyFormattedCitation":"(Muller &amp; Gwynn,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(Muller &amp; Gwynn,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r w:rsidR="00022D45">
        <w:rPr>
          <w:rFonts w:ascii="Times New Roman" w:hAnsi="Times New Roman" w:cs="Times New Roman"/>
          <w:color w:val="000000" w:themeColor="text1"/>
        </w:rPr>
        <w:t xml:space="preserve"> </w:t>
      </w:r>
      <w:r w:rsidR="00022D45" w:rsidRPr="003D2D46">
        <w:rPr>
          <w:rFonts w:ascii="Times New Roman" w:hAnsi="Times New Roman" w:cs="Times New Roman"/>
          <w:color w:val="000000" w:themeColor="text1"/>
        </w:rPr>
        <w:t xml:space="preserve">The same study reported that, within Miami-Dade county, vaccination exemptions varied by school during the 2017-2018 school year </w:t>
      </w:r>
      <w:r w:rsidR="00022D45" w:rsidRPr="003D2D46">
        <w:rPr>
          <w:rFonts w:ascii="Times New Roman" w:hAnsi="Times New Roman" w:cs="Times New Roman"/>
          <w:color w:val="000000" w:themeColor="text1"/>
        </w:rPr>
        <w:fldChar w:fldCharType="begin" w:fldLock="1"/>
      </w:r>
      <w:r w:rsidR="00022D45" w:rsidRPr="003D2D46">
        <w:rPr>
          <w:rFonts w:ascii="Times New Roman" w:hAnsi="Times New Roman" w:cs="Times New Roman"/>
          <w:color w:val="000000" w:themeColor="text1"/>
        </w:rPr>
        <w:instrText>ADDIN CSL_CITATION {"citationItems":[{"id":"ITEM-1","itemData":{"DOI":"https://doi-org.utk.idm.oclc.org/10.1542/peds.147.3_MeetingAbstract.5","author":[{"dropping-particle":"","family":"Muller","given":"Carly","non-dropping-particle":"","parse-names":false,"suffix":""},{"dropping-particle":"","family":"Gwynn","given":"Lisa","non-dropping-particle":"","parse-names":false,"suffix":""}],"container-title":"2020 AAP National Conference","id":"ITEM-1","issued":{"date-parts":[["2021"]]},"title":"An Examination of Miami-Dade County Public-School Vaccination Compliance Utilizing GIS Mapping","type":"paper-conference"},"uris":["http://www.mendeley.com/documents/?uuid=0bbdfb7c-a399-4304-ace7-7bac5190f9de"]}],"mendeley":{"formattedCitation":"(Muller &amp; Gwynn, 2021)","plainTextFormattedCitation":"(Muller &amp; Gwynn, 2021)","previouslyFormattedCitation":"(Muller &amp; Gwynn, 2021)"},"properties":{"noteIndex":0},"schema":"https://github.com/citation-style-language/schema/raw/master/csl-citation.json"}</w:instrText>
      </w:r>
      <w:r w:rsidR="00022D45" w:rsidRPr="003D2D46">
        <w:rPr>
          <w:rFonts w:ascii="Times New Roman" w:hAnsi="Times New Roman" w:cs="Times New Roman"/>
          <w:color w:val="000000" w:themeColor="text1"/>
        </w:rPr>
        <w:fldChar w:fldCharType="separate"/>
      </w:r>
      <w:r w:rsidR="00022D45" w:rsidRPr="003D2D46">
        <w:rPr>
          <w:rFonts w:ascii="Times New Roman" w:hAnsi="Times New Roman" w:cs="Times New Roman"/>
          <w:noProof/>
          <w:color w:val="000000" w:themeColor="text1"/>
        </w:rPr>
        <w:t>(Muller &amp; Gwynn, 2021)</w:t>
      </w:r>
      <w:r w:rsidR="00022D45" w:rsidRPr="003D2D46">
        <w:rPr>
          <w:rFonts w:ascii="Times New Roman" w:hAnsi="Times New Roman" w:cs="Times New Roman"/>
          <w:color w:val="000000" w:themeColor="text1"/>
        </w:rPr>
        <w:fldChar w:fldCharType="end"/>
      </w:r>
      <w:r w:rsidR="00022D45" w:rsidRPr="003D2D46">
        <w:rPr>
          <w:rFonts w:ascii="Times New Roman" w:hAnsi="Times New Roman" w:cs="Times New Roman"/>
          <w:color w:val="000000" w:themeColor="text1"/>
        </w:rPr>
        <w:t>.</w:t>
      </w:r>
      <w:r w:rsidR="00022D45" w:rsidRPr="00022D45">
        <w:rPr>
          <w:rFonts w:ascii="Times New Roman" w:hAnsi="Times New Roman" w:cs="Times New Roman"/>
          <w:color w:val="000000" w:themeColor="text1"/>
        </w:rPr>
        <w:t xml:space="preserve"> </w:t>
      </w:r>
      <w:r w:rsidR="00022D45" w:rsidRPr="003D2D46">
        <w:rPr>
          <w:rFonts w:ascii="Times New Roman" w:hAnsi="Times New Roman" w:cs="Times New Roman"/>
          <w:color w:val="000000" w:themeColor="text1"/>
        </w:rPr>
        <w:t xml:space="preserve">Another study which investigated clustering of vaccination exemptions by </w:t>
      </w:r>
    </w:p>
    <w:p w14:paraId="7394D801" w14:textId="77777777" w:rsidR="00CF36A2" w:rsidRDefault="00CF36A2" w:rsidP="00CF36A2">
      <w:pPr>
        <w:spacing w:line="480" w:lineRule="auto"/>
        <w:rPr>
          <w:rFonts w:ascii="Times New Roman" w:hAnsi="Times New Roman" w:cs="Times New Roman"/>
          <w:color w:val="000000" w:themeColor="text1"/>
        </w:rPr>
      </w:pPr>
    </w:p>
    <w:p w14:paraId="35823D0C" w14:textId="65FE9B33" w:rsidR="00022D45" w:rsidRPr="003D2D46" w:rsidRDefault="00022D45" w:rsidP="00CF36A2">
      <w:pPr>
        <w:spacing w:line="480" w:lineRule="auto"/>
        <w:rPr>
          <w:rFonts w:ascii="Times New Roman" w:hAnsi="Times New Roman" w:cs="Times New Roman"/>
          <w:color w:val="000000" w:themeColor="text1"/>
        </w:rPr>
        <w:sectPr w:rsidR="00022D45" w:rsidRPr="003D2D46" w:rsidSect="00B93CBD">
          <w:pgSz w:w="12240" w:h="15840" w:code="1"/>
          <w:pgMar w:top="1440" w:right="1800" w:bottom="1872" w:left="1800" w:header="720" w:footer="1440" w:gutter="0"/>
          <w:cols w:space="720"/>
          <w:noEndnote/>
          <w:docGrid w:linePitch="360"/>
        </w:sectPr>
      </w:pPr>
    </w:p>
    <w:p w14:paraId="49C8AF7D" w14:textId="3593599C" w:rsidR="00CF2B3D" w:rsidRPr="003D2D46" w:rsidRDefault="00CF2B3D" w:rsidP="00C06AA2">
      <w:pPr>
        <w:pStyle w:val="Caption"/>
        <w:rPr>
          <w:rFonts w:ascii="Times New Roman" w:hAnsi="Times New Roman" w:cs="Times New Roman"/>
          <w:color w:val="000000" w:themeColor="text1"/>
        </w:rPr>
      </w:pPr>
      <w:bookmarkStart w:id="185" w:name="_Toc83975883"/>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the final Poisson model showing significant predictors of total vaccination exemptions in Florida, 2014</w:t>
      </w:r>
      <w:bookmarkEnd w:id="185"/>
    </w:p>
    <w:tbl>
      <w:tblPr>
        <w:tblStyle w:val="TableGrid"/>
        <w:tblW w:w="131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890"/>
        <w:gridCol w:w="1890"/>
        <w:gridCol w:w="1980"/>
        <w:gridCol w:w="1721"/>
      </w:tblGrid>
      <w:tr w:rsidR="003B4553" w:rsidRPr="003D2D46" w14:paraId="6527C625" w14:textId="77777777" w:rsidTr="004F0890">
        <w:trPr>
          <w:trHeight w:val="314"/>
        </w:trPr>
        <w:tc>
          <w:tcPr>
            <w:tcW w:w="5670" w:type="dxa"/>
            <w:tcBorders>
              <w:top w:val="single" w:sz="12" w:space="0" w:color="auto"/>
              <w:bottom w:val="single" w:sz="12" w:space="0" w:color="auto"/>
            </w:tcBorders>
          </w:tcPr>
          <w:p w14:paraId="33013AC2" w14:textId="77777777" w:rsidR="00EA09C6" w:rsidRPr="003D2D46" w:rsidRDefault="00EA09C6"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1890" w:type="dxa"/>
            <w:tcBorders>
              <w:top w:val="single" w:sz="12" w:space="0" w:color="auto"/>
              <w:bottom w:val="single" w:sz="12" w:space="0" w:color="auto"/>
            </w:tcBorders>
          </w:tcPr>
          <w:p w14:paraId="5137F0FA"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Risk Ratio</w:t>
            </w:r>
          </w:p>
        </w:tc>
        <w:tc>
          <w:tcPr>
            <w:tcW w:w="1890" w:type="dxa"/>
            <w:tcBorders>
              <w:top w:val="single" w:sz="12" w:space="0" w:color="auto"/>
              <w:bottom w:val="single" w:sz="12" w:space="0" w:color="auto"/>
            </w:tcBorders>
          </w:tcPr>
          <w:p w14:paraId="6A24921E"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Lower 95% CI</w:t>
            </w:r>
            <w:r w:rsidRPr="003D2D46">
              <w:rPr>
                <w:rFonts w:ascii="Times New Roman" w:eastAsia="Arial" w:hAnsi="Times New Roman" w:cs="Times New Roman"/>
                <w:b/>
                <w:color w:val="000000" w:themeColor="text1"/>
                <w:vertAlign w:val="superscript"/>
              </w:rPr>
              <w:t>1</w:t>
            </w:r>
          </w:p>
        </w:tc>
        <w:tc>
          <w:tcPr>
            <w:tcW w:w="1980" w:type="dxa"/>
            <w:tcBorders>
              <w:top w:val="single" w:sz="12" w:space="0" w:color="auto"/>
              <w:bottom w:val="single" w:sz="12" w:space="0" w:color="auto"/>
            </w:tcBorders>
          </w:tcPr>
          <w:p w14:paraId="180666F0"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Upper 95% CI</w:t>
            </w:r>
            <w:r w:rsidRPr="003D2D46">
              <w:rPr>
                <w:rFonts w:ascii="Times New Roman" w:eastAsia="Arial" w:hAnsi="Times New Roman" w:cs="Times New Roman"/>
                <w:b/>
                <w:color w:val="000000" w:themeColor="text1"/>
                <w:vertAlign w:val="superscript"/>
              </w:rPr>
              <w:t>1</w:t>
            </w:r>
          </w:p>
        </w:tc>
        <w:tc>
          <w:tcPr>
            <w:tcW w:w="1721" w:type="dxa"/>
            <w:tcBorders>
              <w:top w:val="single" w:sz="12" w:space="0" w:color="auto"/>
              <w:bottom w:val="single" w:sz="12" w:space="0" w:color="auto"/>
            </w:tcBorders>
          </w:tcPr>
          <w:p w14:paraId="48A7B717"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p-value</w:t>
            </w:r>
          </w:p>
        </w:tc>
      </w:tr>
      <w:tr w:rsidR="003B4553" w:rsidRPr="003D2D46" w14:paraId="786599F6" w14:textId="77777777" w:rsidTr="004F0890">
        <w:trPr>
          <w:trHeight w:val="337"/>
        </w:trPr>
        <w:tc>
          <w:tcPr>
            <w:tcW w:w="5670" w:type="dxa"/>
            <w:tcBorders>
              <w:top w:val="single" w:sz="12" w:space="0" w:color="auto"/>
            </w:tcBorders>
          </w:tcPr>
          <w:p w14:paraId="41E95CA6" w14:textId="77777777" w:rsidR="00EA09C6" w:rsidRPr="003D2D46" w:rsidRDefault="00EA09C6" w:rsidP="00EE2A89">
            <w:pPr>
              <w:rPr>
                <w:rFonts w:ascii="Times New Roman" w:hAnsi="Times New Roman" w:cs="Times New Roman"/>
                <w:color w:val="000000" w:themeColor="text1"/>
              </w:rPr>
            </w:pPr>
            <w:bookmarkStart w:id="186" w:name="_Hlk75332898"/>
            <w:r w:rsidRPr="003D2D46">
              <w:rPr>
                <w:rFonts w:ascii="Times New Roman" w:hAnsi="Times New Roman" w:cs="Times New Roman"/>
                <w:color w:val="000000" w:themeColor="text1"/>
              </w:rPr>
              <w:t>PCP (per 100,000 pop)</w:t>
            </w:r>
          </w:p>
        </w:tc>
        <w:tc>
          <w:tcPr>
            <w:tcW w:w="1890" w:type="dxa"/>
            <w:tcBorders>
              <w:top w:val="single" w:sz="12" w:space="0" w:color="auto"/>
            </w:tcBorders>
          </w:tcPr>
          <w:p w14:paraId="309412A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1.002</w:t>
            </w:r>
          </w:p>
        </w:tc>
        <w:tc>
          <w:tcPr>
            <w:tcW w:w="1890" w:type="dxa"/>
            <w:tcBorders>
              <w:top w:val="single" w:sz="12" w:space="0" w:color="auto"/>
            </w:tcBorders>
          </w:tcPr>
          <w:p w14:paraId="3B9CCCB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1.000</w:t>
            </w:r>
          </w:p>
        </w:tc>
        <w:tc>
          <w:tcPr>
            <w:tcW w:w="1980" w:type="dxa"/>
            <w:tcBorders>
              <w:top w:val="single" w:sz="12" w:space="0" w:color="auto"/>
            </w:tcBorders>
          </w:tcPr>
          <w:p w14:paraId="0967455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1.004</w:t>
            </w:r>
          </w:p>
        </w:tc>
        <w:tc>
          <w:tcPr>
            <w:tcW w:w="1721" w:type="dxa"/>
            <w:tcBorders>
              <w:top w:val="single" w:sz="12" w:space="0" w:color="auto"/>
            </w:tcBorders>
          </w:tcPr>
          <w:p w14:paraId="59DC6D9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0.046</w:t>
            </w:r>
          </w:p>
        </w:tc>
      </w:tr>
      <w:tr w:rsidR="003B4553" w:rsidRPr="003D2D46" w14:paraId="42FBA85B" w14:textId="77777777" w:rsidTr="00C870CD">
        <w:trPr>
          <w:trHeight w:val="314"/>
        </w:trPr>
        <w:tc>
          <w:tcPr>
            <w:tcW w:w="5670" w:type="dxa"/>
          </w:tcPr>
          <w:p w14:paraId="6CD07D95"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Rural (%)</w:t>
            </w:r>
          </w:p>
        </w:tc>
        <w:tc>
          <w:tcPr>
            <w:tcW w:w="1890" w:type="dxa"/>
          </w:tcPr>
          <w:p w14:paraId="156EA9D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0.997</w:t>
            </w:r>
          </w:p>
        </w:tc>
        <w:tc>
          <w:tcPr>
            <w:tcW w:w="1890" w:type="dxa"/>
          </w:tcPr>
          <w:p w14:paraId="5176D94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0.995</w:t>
            </w:r>
          </w:p>
        </w:tc>
        <w:tc>
          <w:tcPr>
            <w:tcW w:w="1980" w:type="dxa"/>
          </w:tcPr>
          <w:p w14:paraId="577949E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0.999</w:t>
            </w:r>
          </w:p>
        </w:tc>
        <w:tc>
          <w:tcPr>
            <w:tcW w:w="1721" w:type="dxa"/>
          </w:tcPr>
          <w:p w14:paraId="63154B6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0.041</w:t>
            </w:r>
          </w:p>
        </w:tc>
      </w:tr>
      <w:tr w:rsidR="003B4553" w:rsidRPr="003D2D46" w14:paraId="45F40895" w14:textId="77777777" w:rsidTr="00C870CD">
        <w:trPr>
          <w:trHeight w:val="314"/>
        </w:trPr>
        <w:tc>
          <w:tcPr>
            <w:tcW w:w="5670" w:type="dxa"/>
          </w:tcPr>
          <w:p w14:paraId="4B768C64"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Rural (vs. Urban)</w:t>
            </w:r>
          </w:p>
        </w:tc>
        <w:tc>
          <w:tcPr>
            <w:tcW w:w="1890" w:type="dxa"/>
          </w:tcPr>
          <w:p w14:paraId="1DF4B04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0.421</w:t>
            </w:r>
          </w:p>
        </w:tc>
        <w:tc>
          <w:tcPr>
            <w:tcW w:w="1890" w:type="dxa"/>
          </w:tcPr>
          <w:p w14:paraId="4F1C108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0.360</w:t>
            </w:r>
          </w:p>
        </w:tc>
        <w:tc>
          <w:tcPr>
            <w:tcW w:w="1980" w:type="dxa"/>
          </w:tcPr>
          <w:p w14:paraId="02B2D85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0.493</w:t>
            </w:r>
          </w:p>
        </w:tc>
        <w:tc>
          <w:tcPr>
            <w:tcW w:w="1721" w:type="dxa"/>
          </w:tcPr>
          <w:p w14:paraId="2223795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045BA98" w14:textId="77777777" w:rsidTr="00C870CD">
        <w:trPr>
          <w:trHeight w:val="314"/>
        </w:trPr>
        <w:tc>
          <w:tcPr>
            <w:tcW w:w="5670" w:type="dxa"/>
          </w:tcPr>
          <w:p w14:paraId="3DFA0928"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White (%)</w:t>
            </w:r>
          </w:p>
        </w:tc>
        <w:tc>
          <w:tcPr>
            <w:tcW w:w="1890" w:type="dxa"/>
          </w:tcPr>
          <w:p w14:paraId="3C3E12E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1.069</w:t>
            </w:r>
          </w:p>
        </w:tc>
        <w:tc>
          <w:tcPr>
            <w:tcW w:w="1890" w:type="dxa"/>
          </w:tcPr>
          <w:p w14:paraId="3467294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1.053</w:t>
            </w:r>
          </w:p>
        </w:tc>
        <w:tc>
          <w:tcPr>
            <w:tcW w:w="1980" w:type="dxa"/>
          </w:tcPr>
          <w:p w14:paraId="74A7D6C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1.084</w:t>
            </w:r>
          </w:p>
        </w:tc>
        <w:tc>
          <w:tcPr>
            <w:tcW w:w="1721" w:type="dxa"/>
          </w:tcPr>
          <w:p w14:paraId="65E72A1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E9385AD" w14:textId="77777777" w:rsidTr="00C870CD">
        <w:trPr>
          <w:trHeight w:val="337"/>
        </w:trPr>
        <w:tc>
          <w:tcPr>
            <w:tcW w:w="5670" w:type="dxa"/>
          </w:tcPr>
          <w:p w14:paraId="3E14530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Black (%)</w:t>
            </w:r>
          </w:p>
        </w:tc>
        <w:tc>
          <w:tcPr>
            <w:tcW w:w="1890" w:type="dxa"/>
          </w:tcPr>
          <w:p w14:paraId="2CC3010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1.063</w:t>
            </w:r>
          </w:p>
        </w:tc>
        <w:tc>
          <w:tcPr>
            <w:tcW w:w="1890" w:type="dxa"/>
          </w:tcPr>
          <w:p w14:paraId="500C15B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1.045</w:t>
            </w:r>
          </w:p>
        </w:tc>
        <w:tc>
          <w:tcPr>
            <w:tcW w:w="1980" w:type="dxa"/>
          </w:tcPr>
          <w:p w14:paraId="7AA98D4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1.080</w:t>
            </w:r>
          </w:p>
        </w:tc>
        <w:tc>
          <w:tcPr>
            <w:tcW w:w="1721" w:type="dxa"/>
          </w:tcPr>
          <w:p w14:paraId="559CE1E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3F374F1" w14:textId="77777777" w:rsidTr="00C870CD">
        <w:trPr>
          <w:trHeight w:val="314"/>
        </w:trPr>
        <w:tc>
          <w:tcPr>
            <w:tcW w:w="5670" w:type="dxa"/>
          </w:tcPr>
          <w:p w14:paraId="7C7C3C79"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Uninsured (%)</w:t>
            </w:r>
          </w:p>
        </w:tc>
        <w:tc>
          <w:tcPr>
            <w:tcW w:w="1890" w:type="dxa"/>
          </w:tcPr>
          <w:p w14:paraId="4528ED4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1.039</w:t>
            </w:r>
          </w:p>
        </w:tc>
        <w:tc>
          <w:tcPr>
            <w:tcW w:w="1890" w:type="dxa"/>
          </w:tcPr>
          <w:p w14:paraId="4E22EE3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1.032</w:t>
            </w:r>
          </w:p>
        </w:tc>
        <w:tc>
          <w:tcPr>
            <w:tcW w:w="1980" w:type="dxa"/>
          </w:tcPr>
          <w:p w14:paraId="2D18B94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1.047</w:t>
            </w:r>
          </w:p>
        </w:tc>
        <w:tc>
          <w:tcPr>
            <w:tcW w:w="1721" w:type="dxa"/>
          </w:tcPr>
          <w:p w14:paraId="288791D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1FEA5C6D" w14:textId="77777777" w:rsidTr="00C870CD">
        <w:trPr>
          <w:trHeight w:val="314"/>
        </w:trPr>
        <w:tc>
          <w:tcPr>
            <w:tcW w:w="5670" w:type="dxa"/>
          </w:tcPr>
          <w:p w14:paraId="5DDA4174"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Male (%)</w:t>
            </w:r>
          </w:p>
        </w:tc>
        <w:tc>
          <w:tcPr>
            <w:tcW w:w="1890" w:type="dxa"/>
          </w:tcPr>
          <w:p w14:paraId="190DDB6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1.054</w:t>
            </w:r>
          </w:p>
        </w:tc>
        <w:tc>
          <w:tcPr>
            <w:tcW w:w="1890" w:type="dxa"/>
          </w:tcPr>
          <w:p w14:paraId="43A5E2B8"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1.029</w:t>
            </w:r>
          </w:p>
        </w:tc>
        <w:tc>
          <w:tcPr>
            <w:tcW w:w="1980" w:type="dxa"/>
          </w:tcPr>
          <w:p w14:paraId="4DF7757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1.080</w:t>
            </w:r>
          </w:p>
        </w:tc>
        <w:tc>
          <w:tcPr>
            <w:tcW w:w="1721" w:type="dxa"/>
          </w:tcPr>
          <w:p w14:paraId="296196F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24D6513" w14:textId="77777777" w:rsidTr="00C870CD">
        <w:trPr>
          <w:trHeight w:val="337"/>
        </w:trPr>
        <w:tc>
          <w:tcPr>
            <w:tcW w:w="5670" w:type="dxa"/>
          </w:tcPr>
          <w:p w14:paraId="7CE8866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Unemployed (%)</w:t>
            </w:r>
          </w:p>
        </w:tc>
        <w:tc>
          <w:tcPr>
            <w:tcW w:w="1890" w:type="dxa"/>
          </w:tcPr>
          <w:p w14:paraId="7F782DB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0.873</w:t>
            </w:r>
          </w:p>
        </w:tc>
        <w:tc>
          <w:tcPr>
            <w:tcW w:w="1890" w:type="dxa"/>
          </w:tcPr>
          <w:p w14:paraId="407E0C9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0.835</w:t>
            </w:r>
          </w:p>
        </w:tc>
        <w:tc>
          <w:tcPr>
            <w:tcW w:w="1980" w:type="dxa"/>
          </w:tcPr>
          <w:p w14:paraId="3EB69BC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0.913</w:t>
            </w:r>
          </w:p>
        </w:tc>
        <w:tc>
          <w:tcPr>
            <w:tcW w:w="1721" w:type="dxa"/>
          </w:tcPr>
          <w:p w14:paraId="7E82283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E7C7774" w14:textId="77777777" w:rsidTr="00C870CD">
        <w:trPr>
          <w:trHeight w:val="314"/>
        </w:trPr>
        <w:tc>
          <w:tcPr>
            <w:tcW w:w="5670" w:type="dxa"/>
          </w:tcPr>
          <w:p w14:paraId="4E2B726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w:t>
            </w:r>
          </w:p>
        </w:tc>
        <w:tc>
          <w:tcPr>
            <w:tcW w:w="1890" w:type="dxa"/>
          </w:tcPr>
          <w:p w14:paraId="73D1A858"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1.0147</w:t>
            </w:r>
          </w:p>
        </w:tc>
        <w:tc>
          <w:tcPr>
            <w:tcW w:w="1890" w:type="dxa"/>
          </w:tcPr>
          <w:p w14:paraId="4D34359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1.003</w:t>
            </w:r>
          </w:p>
        </w:tc>
        <w:tc>
          <w:tcPr>
            <w:tcW w:w="1980" w:type="dxa"/>
          </w:tcPr>
          <w:p w14:paraId="66FA062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1.027</w:t>
            </w:r>
          </w:p>
        </w:tc>
        <w:tc>
          <w:tcPr>
            <w:tcW w:w="1721" w:type="dxa"/>
          </w:tcPr>
          <w:p w14:paraId="20C9F30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0.014</w:t>
            </w:r>
          </w:p>
        </w:tc>
      </w:tr>
      <w:tr w:rsidR="003B4553" w:rsidRPr="003D2D46" w14:paraId="77D6224F" w14:textId="77777777" w:rsidTr="00C870CD">
        <w:trPr>
          <w:trHeight w:val="314"/>
        </w:trPr>
        <w:tc>
          <w:tcPr>
            <w:tcW w:w="5670" w:type="dxa"/>
          </w:tcPr>
          <w:p w14:paraId="07FF9448"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High School Education (%)</w:t>
            </w:r>
          </w:p>
        </w:tc>
        <w:tc>
          <w:tcPr>
            <w:tcW w:w="1890" w:type="dxa"/>
          </w:tcPr>
          <w:p w14:paraId="72E83A7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0.919</w:t>
            </w:r>
          </w:p>
        </w:tc>
        <w:tc>
          <w:tcPr>
            <w:tcW w:w="1890" w:type="dxa"/>
          </w:tcPr>
          <w:p w14:paraId="5216C1F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0.901</w:t>
            </w:r>
          </w:p>
        </w:tc>
        <w:tc>
          <w:tcPr>
            <w:tcW w:w="1980" w:type="dxa"/>
          </w:tcPr>
          <w:p w14:paraId="4E1AF9B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0.936</w:t>
            </w:r>
          </w:p>
        </w:tc>
        <w:tc>
          <w:tcPr>
            <w:tcW w:w="1721" w:type="dxa"/>
          </w:tcPr>
          <w:p w14:paraId="7BEAC00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0A2ED1C5" w14:textId="77777777" w:rsidTr="004F0890">
        <w:trPr>
          <w:trHeight w:val="337"/>
        </w:trPr>
        <w:tc>
          <w:tcPr>
            <w:tcW w:w="5670" w:type="dxa"/>
            <w:tcBorders>
              <w:bottom w:val="nil"/>
            </w:tcBorders>
          </w:tcPr>
          <w:p w14:paraId="6CEF397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Scaled Median Income (Divided by $10,000)</w:t>
            </w:r>
          </w:p>
        </w:tc>
        <w:tc>
          <w:tcPr>
            <w:tcW w:w="1890" w:type="dxa"/>
            <w:tcBorders>
              <w:bottom w:val="nil"/>
            </w:tcBorders>
          </w:tcPr>
          <w:p w14:paraId="307B90E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1.101</w:t>
            </w:r>
          </w:p>
        </w:tc>
        <w:tc>
          <w:tcPr>
            <w:tcW w:w="1890" w:type="dxa"/>
            <w:tcBorders>
              <w:bottom w:val="nil"/>
            </w:tcBorders>
          </w:tcPr>
          <w:p w14:paraId="0F7384B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1.013</w:t>
            </w:r>
          </w:p>
        </w:tc>
        <w:tc>
          <w:tcPr>
            <w:tcW w:w="1980" w:type="dxa"/>
            <w:tcBorders>
              <w:bottom w:val="nil"/>
            </w:tcBorders>
          </w:tcPr>
          <w:p w14:paraId="5DB7A8F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1.198</w:t>
            </w:r>
          </w:p>
        </w:tc>
        <w:tc>
          <w:tcPr>
            <w:tcW w:w="1721" w:type="dxa"/>
            <w:tcBorders>
              <w:bottom w:val="nil"/>
            </w:tcBorders>
          </w:tcPr>
          <w:p w14:paraId="69DACE7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0.023</w:t>
            </w:r>
          </w:p>
        </w:tc>
      </w:tr>
      <w:tr w:rsidR="003B4553" w:rsidRPr="003D2D46" w14:paraId="3BF77577" w14:textId="77777777" w:rsidTr="004F0890">
        <w:trPr>
          <w:trHeight w:val="289"/>
        </w:trPr>
        <w:tc>
          <w:tcPr>
            <w:tcW w:w="5670" w:type="dxa"/>
            <w:tcBorders>
              <w:top w:val="nil"/>
              <w:bottom w:val="single" w:sz="12" w:space="0" w:color="auto"/>
            </w:tcBorders>
          </w:tcPr>
          <w:p w14:paraId="41322AB0"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College Education (%)</w:t>
            </w:r>
          </w:p>
        </w:tc>
        <w:tc>
          <w:tcPr>
            <w:tcW w:w="1890" w:type="dxa"/>
            <w:tcBorders>
              <w:top w:val="nil"/>
              <w:bottom w:val="single" w:sz="12" w:space="0" w:color="auto"/>
            </w:tcBorders>
          </w:tcPr>
          <w:p w14:paraId="3C9C7DA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0.948</w:t>
            </w:r>
          </w:p>
        </w:tc>
        <w:tc>
          <w:tcPr>
            <w:tcW w:w="1890" w:type="dxa"/>
            <w:tcBorders>
              <w:top w:val="nil"/>
              <w:bottom w:val="single" w:sz="12" w:space="0" w:color="auto"/>
            </w:tcBorders>
          </w:tcPr>
          <w:p w14:paraId="5A8D2FB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0.937</w:t>
            </w:r>
          </w:p>
        </w:tc>
        <w:tc>
          <w:tcPr>
            <w:tcW w:w="1980" w:type="dxa"/>
            <w:tcBorders>
              <w:top w:val="nil"/>
              <w:bottom w:val="single" w:sz="12" w:space="0" w:color="auto"/>
            </w:tcBorders>
          </w:tcPr>
          <w:p w14:paraId="756CFE6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0.960</w:t>
            </w:r>
          </w:p>
        </w:tc>
        <w:tc>
          <w:tcPr>
            <w:tcW w:w="1721" w:type="dxa"/>
            <w:tcBorders>
              <w:top w:val="nil"/>
              <w:bottom w:val="single" w:sz="12" w:space="0" w:color="auto"/>
            </w:tcBorders>
          </w:tcPr>
          <w:p w14:paraId="7167F38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bl>
    <w:bookmarkEnd w:id="186"/>
    <w:p w14:paraId="1F6218D8"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115FDC4E" w14:textId="77777777" w:rsidR="00EA09C6" w:rsidRPr="003D2D46" w:rsidRDefault="00EA09C6" w:rsidP="00EE2A89">
      <w:pPr>
        <w:rPr>
          <w:rFonts w:ascii="Times New Roman" w:hAnsi="Times New Roman" w:cs="Times New Roman"/>
          <w:color w:val="000000" w:themeColor="text1"/>
        </w:rPr>
      </w:pPr>
    </w:p>
    <w:p w14:paraId="25935AE7" w14:textId="71BBE933" w:rsidR="00064C54" w:rsidRPr="003D2D46" w:rsidRDefault="00064C54"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50EE32A7" w14:textId="77777777" w:rsidR="00CF2B3D" w:rsidRPr="003D2D46" w:rsidRDefault="00CF2B3D" w:rsidP="00EE2A89">
      <w:pPr>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p>
    <w:p w14:paraId="754FFF00" w14:textId="0617AB71" w:rsidR="00CF2B3D" w:rsidRPr="003D2D46" w:rsidRDefault="00CF2B3D" w:rsidP="00EE2A89">
      <w:pPr>
        <w:pStyle w:val="Caption"/>
        <w:rPr>
          <w:rFonts w:ascii="Times New Roman" w:hAnsi="Times New Roman" w:cs="Times New Roman"/>
          <w:color w:val="000000" w:themeColor="text1"/>
        </w:rPr>
      </w:pPr>
      <w:bookmarkStart w:id="187" w:name="_Toc83975884"/>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the final negative binomial model showing significant predictors of total vaccination exemptions in Florida, 2014</w:t>
      </w:r>
      <w:bookmarkEnd w:id="187"/>
    </w:p>
    <w:tbl>
      <w:tblPr>
        <w:tblStyle w:val="TableGrid"/>
        <w:tblW w:w="129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980"/>
        <w:gridCol w:w="2070"/>
        <w:gridCol w:w="1890"/>
        <w:gridCol w:w="1556"/>
      </w:tblGrid>
      <w:tr w:rsidR="003B4553" w:rsidRPr="003D2D46" w14:paraId="600C5050" w14:textId="77777777" w:rsidTr="004F0890">
        <w:trPr>
          <w:trHeight w:val="526"/>
        </w:trPr>
        <w:tc>
          <w:tcPr>
            <w:tcW w:w="5490" w:type="dxa"/>
            <w:tcBorders>
              <w:top w:val="single" w:sz="12" w:space="0" w:color="auto"/>
              <w:bottom w:val="single" w:sz="12" w:space="0" w:color="auto"/>
            </w:tcBorders>
            <w:vAlign w:val="center"/>
          </w:tcPr>
          <w:p w14:paraId="18F6A8AD" w14:textId="77777777" w:rsidR="00EA09C6" w:rsidRPr="003D2D46" w:rsidRDefault="00EA09C6"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1980" w:type="dxa"/>
            <w:tcBorders>
              <w:top w:val="single" w:sz="12" w:space="0" w:color="auto"/>
              <w:bottom w:val="single" w:sz="12" w:space="0" w:color="auto"/>
            </w:tcBorders>
            <w:vAlign w:val="center"/>
          </w:tcPr>
          <w:p w14:paraId="49B1AA1F"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Risk Ratio</w:t>
            </w:r>
          </w:p>
        </w:tc>
        <w:tc>
          <w:tcPr>
            <w:tcW w:w="2070" w:type="dxa"/>
            <w:tcBorders>
              <w:top w:val="single" w:sz="12" w:space="0" w:color="auto"/>
              <w:bottom w:val="single" w:sz="12" w:space="0" w:color="auto"/>
            </w:tcBorders>
            <w:vAlign w:val="center"/>
          </w:tcPr>
          <w:p w14:paraId="3FD846B8"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Lower 95% CI</w:t>
            </w:r>
            <w:r w:rsidRPr="003D2D46">
              <w:rPr>
                <w:rFonts w:ascii="Times New Roman" w:eastAsia="Arial" w:hAnsi="Times New Roman" w:cs="Times New Roman"/>
                <w:b/>
                <w:color w:val="000000" w:themeColor="text1"/>
                <w:vertAlign w:val="superscript"/>
              </w:rPr>
              <w:t>1</w:t>
            </w:r>
          </w:p>
        </w:tc>
        <w:tc>
          <w:tcPr>
            <w:tcW w:w="1890" w:type="dxa"/>
            <w:tcBorders>
              <w:top w:val="single" w:sz="12" w:space="0" w:color="auto"/>
              <w:bottom w:val="single" w:sz="12" w:space="0" w:color="auto"/>
            </w:tcBorders>
            <w:vAlign w:val="center"/>
          </w:tcPr>
          <w:p w14:paraId="671DEA6A"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Upper 95% CI</w:t>
            </w:r>
            <w:r w:rsidRPr="003D2D46">
              <w:rPr>
                <w:rFonts w:ascii="Times New Roman" w:eastAsia="Arial" w:hAnsi="Times New Roman" w:cs="Times New Roman"/>
                <w:b/>
                <w:color w:val="000000" w:themeColor="text1"/>
                <w:vertAlign w:val="superscript"/>
              </w:rPr>
              <w:t>1</w:t>
            </w:r>
          </w:p>
        </w:tc>
        <w:tc>
          <w:tcPr>
            <w:tcW w:w="1556" w:type="dxa"/>
            <w:tcBorders>
              <w:top w:val="single" w:sz="12" w:space="0" w:color="auto"/>
              <w:bottom w:val="single" w:sz="12" w:space="0" w:color="auto"/>
            </w:tcBorders>
            <w:vAlign w:val="center"/>
          </w:tcPr>
          <w:p w14:paraId="01B6E217"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p-value</w:t>
            </w:r>
          </w:p>
        </w:tc>
      </w:tr>
      <w:tr w:rsidR="003B4553" w:rsidRPr="003D2D46" w14:paraId="1F42BC50" w14:textId="77777777" w:rsidTr="004F0890">
        <w:trPr>
          <w:trHeight w:val="246"/>
        </w:trPr>
        <w:tc>
          <w:tcPr>
            <w:tcW w:w="5490" w:type="dxa"/>
            <w:tcBorders>
              <w:top w:val="single" w:sz="12" w:space="0" w:color="auto"/>
            </w:tcBorders>
          </w:tcPr>
          <w:p w14:paraId="5372039A" w14:textId="77777777" w:rsidR="00EA09C6" w:rsidRPr="003D2D46" w:rsidRDefault="00EA09C6" w:rsidP="00EE2A89">
            <w:pPr>
              <w:rPr>
                <w:rFonts w:ascii="Times New Roman" w:hAnsi="Times New Roman" w:cs="Times New Roman"/>
                <w:color w:val="000000" w:themeColor="text1"/>
                <w:vertAlign w:val="superscript"/>
              </w:rPr>
            </w:pPr>
            <w:r w:rsidRPr="003D2D46">
              <w:rPr>
                <w:rFonts w:ascii="Times New Roman" w:hAnsi="Times New Roman" w:cs="Times New Roman"/>
                <w:color w:val="000000" w:themeColor="text1"/>
              </w:rPr>
              <w:t>PCP (per 100,000 pop)</w:t>
            </w:r>
            <w:r w:rsidRPr="003D2D46">
              <w:rPr>
                <w:rFonts w:ascii="Times New Roman" w:hAnsi="Times New Roman" w:cs="Times New Roman"/>
                <w:color w:val="000000" w:themeColor="text1"/>
                <w:vertAlign w:val="superscript"/>
              </w:rPr>
              <w:t>2</w:t>
            </w:r>
          </w:p>
        </w:tc>
        <w:tc>
          <w:tcPr>
            <w:tcW w:w="1980" w:type="dxa"/>
            <w:tcBorders>
              <w:top w:val="single" w:sz="12" w:space="0" w:color="auto"/>
            </w:tcBorders>
          </w:tcPr>
          <w:p w14:paraId="5801030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1.017</w:t>
            </w:r>
          </w:p>
        </w:tc>
        <w:tc>
          <w:tcPr>
            <w:tcW w:w="2070" w:type="dxa"/>
            <w:tcBorders>
              <w:top w:val="single" w:sz="12" w:space="0" w:color="auto"/>
            </w:tcBorders>
          </w:tcPr>
          <w:p w14:paraId="39DF47A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1.008</w:t>
            </w:r>
          </w:p>
        </w:tc>
        <w:tc>
          <w:tcPr>
            <w:tcW w:w="1890" w:type="dxa"/>
            <w:tcBorders>
              <w:top w:val="single" w:sz="12" w:space="0" w:color="auto"/>
            </w:tcBorders>
          </w:tcPr>
          <w:p w14:paraId="45CD303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1.027</w:t>
            </w:r>
          </w:p>
        </w:tc>
        <w:tc>
          <w:tcPr>
            <w:tcW w:w="1556" w:type="dxa"/>
            <w:tcBorders>
              <w:top w:val="single" w:sz="12" w:space="0" w:color="auto"/>
            </w:tcBorders>
          </w:tcPr>
          <w:p w14:paraId="6BBF26D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D540D36" w14:textId="77777777" w:rsidTr="00C870CD">
        <w:trPr>
          <w:trHeight w:val="279"/>
        </w:trPr>
        <w:tc>
          <w:tcPr>
            <w:tcW w:w="5490" w:type="dxa"/>
          </w:tcPr>
          <w:p w14:paraId="5E3EFC3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Scaled Median Income (Divided by $10,000)</w:t>
            </w:r>
          </w:p>
        </w:tc>
        <w:tc>
          <w:tcPr>
            <w:tcW w:w="1980" w:type="dxa"/>
          </w:tcPr>
          <w:p w14:paraId="315F8C5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1.523</w:t>
            </w:r>
          </w:p>
        </w:tc>
        <w:tc>
          <w:tcPr>
            <w:tcW w:w="2070" w:type="dxa"/>
          </w:tcPr>
          <w:p w14:paraId="39970FA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1.181</w:t>
            </w:r>
          </w:p>
        </w:tc>
        <w:tc>
          <w:tcPr>
            <w:tcW w:w="1890" w:type="dxa"/>
          </w:tcPr>
          <w:p w14:paraId="7340B97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1.964</w:t>
            </w:r>
          </w:p>
        </w:tc>
        <w:tc>
          <w:tcPr>
            <w:tcW w:w="1556" w:type="dxa"/>
          </w:tcPr>
          <w:p w14:paraId="1518A3E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0.001</w:t>
            </w:r>
          </w:p>
        </w:tc>
      </w:tr>
      <w:tr w:rsidR="003B4553" w:rsidRPr="003D2D46" w14:paraId="0461FACB" w14:textId="77777777" w:rsidTr="004F0890">
        <w:trPr>
          <w:trHeight w:val="262"/>
        </w:trPr>
        <w:tc>
          <w:tcPr>
            <w:tcW w:w="5490" w:type="dxa"/>
            <w:tcBorders>
              <w:bottom w:val="nil"/>
            </w:tcBorders>
          </w:tcPr>
          <w:p w14:paraId="4C8BB0F9"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Hispanic (%)</w:t>
            </w:r>
          </w:p>
        </w:tc>
        <w:tc>
          <w:tcPr>
            <w:tcW w:w="1980" w:type="dxa"/>
            <w:tcBorders>
              <w:bottom w:val="nil"/>
            </w:tcBorders>
          </w:tcPr>
          <w:p w14:paraId="2611311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1.009</w:t>
            </w:r>
          </w:p>
        </w:tc>
        <w:tc>
          <w:tcPr>
            <w:tcW w:w="2070" w:type="dxa"/>
            <w:tcBorders>
              <w:bottom w:val="nil"/>
            </w:tcBorders>
          </w:tcPr>
          <w:p w14:paraId="7C947FF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w:t>
            </w:r>
          </w:p>
        </w:tc>
        <w:tc>
          <w:tcPr>
            <w:tcW w:w="1890" w:type="dxa"/>
            <w:tcBorders>
              <w:bottom w:val="nil"/>
            </w:tcBorders>
          </w:tcPr>
          <w:p w14:paraId="67FE0D4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1.019</w:t>
            </w:r>
          </w:p>
        </w:tc>
        <w:tc>
          <w:tcPr>
            <w:tcW w:w="1556" w:type="dxa"/>
            <w:tcBorders>
              <w:bottom w:val="nil"/>
            </w:tcBorders>
          </w:tcPr>
          <w:p w14:paraId="18515CC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0.046</w:t>
            </w:r>
          </w:p>
        </w:tc>
      </w:tr>
      <w:tr w:rsidR="003B4553" w:rsidRPr="003D2D46" w14:paraId="7EC696CC" w14:textId="77777777" w:rsidTr="004F0890">
        <w:trPr>
          <w:trHeight w:val="246"/>
        </w:trPr>
        <w:tc>
          <w:tcPr>
            <w:tcW w:w="5490" w:type="dxa"/>
            <w:tcBorders>
              <w:top w:val="nil"/>
              <w:bottom w:val="single" w:sz="12" w:space="0" w:color="auto"/>
            </w:tcBorders>
          </w:tcPr>
          <w:p w14:paraId="3DDEFAD0"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College Education (%)</w:t>
            </w:r>
          </w:p>
        </w:tc>
        <w:tc>
          <w:tcPr>
            <w:tcW w:w="1980" w:type="dxa"/>
            <w:tcBorders>
              <w:top w:val="nil"/>
              <w:bottom w:val="single" w:sz="12" w:space="0" w:color="auto"/>
            </w:tcBorders>
          </w:tcPr>
          <w:p w14:paraId="2E48D8D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0.962</w:t>
            </w:r>
          </w:p>
        </w:tc>
        <w:tc>
          <w:tcPr>
            <w:tcW w:w="2070" w:type="dxa"/>
            <w:tcBorders>
              <w:top w:val="nil"/>
              <w:bottom w:val="single" w:sz="12" w:space="0" w:color="auto"/>
            </w:tcBorders>
          </w:tcPr>
          <w:p w14:paraId="3BB2F9A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0.933</w:t>
            </w:r>
          </w:p>
        </w:tc>
        <w:tc>
          <w:tcPr>
            <w:tcW w:w="1890" w:type="dxa"/>
            <w:tcBorders>
              <w:top w:val="nil"/>
              <w:bottom w:val="single" w:sz="12" w:space="0" w:color="auto"/>
            </w:tcBorders>
          </w:tcPr>
          <w:p w14:paraId="5C1F93A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0.992</w:t>
            </w:r>
          </w:p>
        </w:tc>
        <w:tc>
          <w:tcPr>
            <w:tcW w:w="1556" w:type="dxa"/>
            <w:tcBorders>
              <w:top w:val="nil"/>
              <w:bottom w:val="single" w:sz="12" w:space="0" w:color="auto"/>
            </w:tcBorders>
          </w:tcPr>
          <w:p w14:paraId="4270DC7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0.013</w:t>
            </w:r>
          </w:p>
        </w:tc>
      </w:tr>
    </w:tbl>
    <w:p w14:paraId="2393FA96"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37D92C0D" w14:textId="36E25195" w:rsidR="00CF2B3D" w:rsidRPr="003D2D46" w:rsidRDefault="00EA09C6" w:rsidP="00EE2A89">
      <w:pPr>
        <w:rPr>
          <w:rFonts w:ascii="Times New Roman" w:hAnsi="Times New Roman" w:cs="Times New Roman"/>
          <w:color w:val="000000" w:themeColor="text1"/>
        </w:rPr>
        <w:sectPr w:rsidR="00CF2B3D" w:rsidRPr="003D2D46" w:rsidSect="004F0890">
          <w:type w:val="continuous"/>
          <w:pgSz w:w="15840" w:h="12240" w:orient="landscape" w:code="1"/>
          <w:pgMar w:top="1800" w:right="1440" w:bottom="1800" w:left="1872" w:header="720" w:footer="1440" w:gutter="0"/>
          <w:cols w:space="720"/>
          <w:noEndnote/>
          <w:docGrid w:linePitch="360"/>
        </w:sectPr>
      </w:pPr>
      <w:r w:rsidRPr="003D2D46">
        <w:rPr>
          <w:rFonts w:ascii="Times New Roman" w:hAnsi="Times New Roman" w:cs="Times New Roman"/>
          <w:color w:val="000000" w:themeColor="text1"/>
          <w:vertAlign w:val="superscript"/>
        </w:rPr>
        <w:t>2</w:t>
      </w:r>
      <w:r w:rsidRPr="003D2D46">
        <w:rPr>
          <w:rFonts w:ascii="Times New Roman" w:hAnsi="Times New Roman" w:cs="Times New Roman"/>
          <w:color w:val="000000" w:themeColor="text1"/>
        </w:rPr>
        <w:t>Primary Care Provide</w:t>
      </w:r>
    </w:p>
    <w:p w14:paraId="217BC9C3" w14:textId="23608757" w:rsidR="00CF2B3D" w:rsidRPr="003D2D46" w:rsidRDefault="00CF2B3D" w:rsidP="00EE2A89">
      <w:pPr>
        <w:pStyle w:val="Caption"/>
        <w:rPr>
          <w:rFonts w:ascii="Times New Roman" w:hAnsi="Times New Roman" w:cs="Times New Roman"/>
          <w:color w:val="000000" w:themeColor="text1"/>
        </w:rPr>
      </w:pPr>
      <w:bookmarkStart w:id="188" w:name="_Toc83975885"/>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the final </w:t>
      </w:r>
      <w:r w:rsidR="002A58CB" w:rsidRPr="003D2D46">
        <w:rPr>
          <w:rFonts w:ascii="Times New Roman" w:hAnsi="Times New Roman" w:cs="Times New Roman"/>
          <w:color w:val="000000" w:themeColor="text1"/>
        </w:rPr>
        <w:t xml:space="preserve">Poisson </w:t>
      </w:r>
      <w:r w:rsidRPr="003D2D46">
        <w:rPr>
          <w:rFonts w:ascii="Times New Roman" w:hAnsi="Times New Roman" w:cs="Times New Roman"/>
          <w:color w:val="000000" w:themeColor="text1"/>
        </w:rPr>
        <w:t>model showing significant predictors of non-medical vaccination exemptions in Florida, 2014</w:t>
      </w:r>
      <w:bookmarkEnd w:id="188"/>
    </w:p>
    <w:tbl>
      <w:tblPr>
        <w:tblStyle w:val="TableGrid"/>
        <w:tblW w:w="1213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1686"/>
        <w:gridCol w:w="1939"/>
        <w:gridCol w:w="1855"/>
        <w:gridCol w:w="1508"/>
      </w:tblGrid>
      <w:tr w:rsidR="003B4553" w:rsidRPr="003D2D46" w14:paraId="27FD80A7" w14:textId="77777777" w:rsidTr="004C4306">
        <w:trPr>
          <w:trHeight w:val="265"/>
        </w:trPr>
        <w:tc>
          <w:tcPr>
            <w:tcW w:w="5145" w:type="dxa"/>
            <w:tcBorders>
              <w:top w:val="single" w:sz="12" w:space="0" w:color="auto"/>
              <w:bottom w:val="single" w:sz="12" w:space="0" w:color="auto"/>
            </w:tcBorders>
          </w:tcPr>
          <w:p w14:paraId="24F80BEB" w14:textId="77777777" w:rsidR="00EA09C6" w:rsidRPr="003D2D46" w:rsidRDefault="00EA09C6" w:rsidP="00EE2A89">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1686" w:type="dxa"/>
            <w:tcBorders>
              <w:top w:val="single" w:sz="12" w:space="0" w:color="auto"/>
              <w:bottom w:val="single" w:sz="12" w:space="0" w:color="auto"/>
            </w:tcBorders>
          </w:tcPr>
          <w:p w14:paraId="5AEDF430"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Risk Ratio</w:t>
            </w:r>
          </w:p>
        </w:tc>
        <w:tc>
          <w:tcPr>
            <w:tcW w:w="1939" w:type="dxa"/>
            <w:tcBorders>
              <w:top w:val="single" w:sz="12" w:space="0" w:color="auto"/>
              <w:bottom w:val="single" w:sz="12" w:space="0" w:color="auto"/>
            </w:tcBorders>
          </w:tcPr>
          <w:p w14:paraId="75BDA9A7"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Lower 95% CI</w:t>
            </w:r>
            <w:r w:rsidRPr="003D2D46">
              <w:rPr>
                <w:rFonts w:ascii="Times New Roman" w:eastAsia="Arial" w:hAnsi="Times New Roman" w:cs="Times New Roman"/>
                <w:b/>
                <w:color w:val="000000" w:themeColor="text1"/>
                <w:vertAlign w:val="superscript"/>
              </w:rPr>
              <w:t>1</w:t>
            </w:r>
          </w:p>
        </w:tc>
        <w:tc>
          <w:tcPr>
            <w:tcW w:w="1855" w:type="dxa"/>
            <w:tcBorders>
              <w:top w:val="single" w:sz="12" w:space="0" w:color="auto"/>
              <w:bottom w:val="single" w:sz="12" w:space="0" w:color="auto"/>
            </w:tcBorders>
          </w:tcPr>
          <w:p w14:paraId="0822722B"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Upper 95% CI</w:t>
            </w:r>
            <w:r w:rsidRPr="003D2D46">
              <w:rPr>
                <w:rFonts w:ascii="Times New Roman" w:eastAsia="Arial" w:hAnsi="Times New Roman" w:cs="Times New Roman"/>
                <w:b/>
                <w:color w:val="000000" w:themeColor="text1"/>
                <w:vertAlign w:val="superscript"/>
              </w:rPr>
              <w:t>1</w:t>
            </w:r>
          </w:p>
        </w:tc>
        <w:tc>
          <w:tcPr>
            <w:tcW w:w="1508" w:type="dxa"/>
            <w:tcBorders>
              <w:top w:val="single" w:sz="12" w:space="0" w:color="auto"/>
              <w:bottom w:val="single" w:sz="12" w:space="0" w:color="auto"/>
            </w:tcBorders>
          </w:tcPr>
          <w:p w14:paraId="2C8290E6"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p-value</w:t>
            </w:r>
          </w:p>
        </w:tc>
      </w:tr>
      <w:tr w:rsidR="003B4553" w:rsidRPr="003D2D46" w14:paraId="61C6D79C" w14:textId="77777777" w:rsidTr="004C4306">
        <w:trPr>
          <w:trHeight w:val="280"/>
        </w:trPr>
        <w:tc>
          <w:tcPr>
            <w:tcW w:w="5145" w:type="dxa"/>
            <w:tcBorders>
              <w:top w:val="single" w:sz="12" w:space="0" w:color="auto"/>
            </w:tcBorders>
          </w:tcPr>
          <w:p w14:paraId="433D49E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Scaled Median Income (Divided by $10,000)</w:t>
            </w:r>
          </w:p>
        </w:tc>
        <w:tc>
          <w:tcPr>
            <w:tcW w:w="1686" w:type="dxa"/>
            <w:tcBorders>
              <w:top w:val="single" w:sz="12" w:space="0" w:color="auto"/>
            </w:tcBorders>
          </w:tcPr>
          <w:p w14:paraId="214813F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1.631</w:t>
            </w:r>
          </w:p>
        </w:tc>
        <w:tc>
          <w:tcPr>
            <w:tcW w:w="1939" w:type="dxa"/>
            <w:tcBorders>
              <w:top w:val="single" w:sz="12" w:space="0" w:color="auto"/>
            </w:tcBorders>
          </w:tcPr>
          <w:p w14:paraId="653261F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1.444</w:t>
            </w:r>
          </w:p>
        </w:tc>
        <w:tc>
          <w:tcPr>
            <w:tcW w:w="1855" w:type="dxa"/>
            <w:tcBorders>
              <w:top w:val="single" w:sz="12" w:space="0" w:color="auto"/>
            </w:tcBorders>
          </w:tcPr>
          <w:p w14:paraId="58E510E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1.843</w:t>
            </w:r>
          </w:p>
        </w:tc>
        <w:tc>
          <w:tcPr>
            <w:tcW w:w="1508" w:type="dxa"/>
            <w:tcBorders>
              <w:top w:val="single" w:sz="12" w:space="0" w:color="auto"/>
            </w:tcBorders>
          </w:tcPr>
          <w:p w14:paraId="66C6556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487DDE53" w14:textId="77777777" w:rsidTr="004C4306">
        <w:trPr>
          <w:trHeight w:val="265"/>
        </w:trPr>
        <w:tc>
          <w:tcPr>
            <w:tcW w:w="5145" w:type="dxa"/>
          </w:tcPr>
          <w:p w14:paraId="244A664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Rural (%)</w:t>
            </w:r>
          </w:p>
        </w:tc>
        <w:tc>
          <w:tcPr>
            <w:tcW w:w="1686" w:type="dxa"/>
          </w:tcPr>
          <w:p w14:paraId="5543374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0.993</w:t>
            </w:r>
          </w:p>
        </w:tc>
        <w:tc>
          <w:tcPr>
            <w:tcW w:w="1939" w:type="dxa"/>
          </w:tcPr>
          <w:p w14:paraId="0EAD0F3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0.989</w:t>
            </w:r>
          </w:p>
        </w:tc>
        <w:tc>
          <w:tcPr>
            <w:tcW w:w="1855" w:type="dxa"/>
          </w:tcPr>
          <w:p w14:paraId="202E6C9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0.996</w:t>
            </w:r>
          </w:p>
        </w:tc>
        <w:tc>
          <w:tcPr>
            <w:tcW w:w="1508" w:type="dxa"/>
          </w:tcPr>
          <w:p w14:paraId="3008464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062EDF5B" w14:textId="77777777" w:rsidTr="004C4306">
        <w:trPr>
          <w:trHeight w:val="280"/>
        </w:trPr>
        <w:tc>
          <w:tcPr>
            <w:tcW w:w="5145" w:type="dxa"/>
          </w:tcPr>
          <w:p w14:paraId="1FC6F4A4"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Rural (vs. Urban)</w:t>
            </w:r>
          </w:p>
        </w:tc>
        <w:tc>
          <w:tcPr>
            <w:tcW w:w="1686" w:type="dxa"/>
          </w:tcPr>
          <w:p w14:paraId="2EA3ECE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0.740</w:t>
            </w:r>
          </w:p>
        </w:tc>
        <w:tc>
          <w:tcPr>
            <w:tcW w:w="1939" w:type="dxa"/>
          </w:tcPr>
          <w:p w14:paraId="61C5268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0.595</w:t>
            </w:r>
          </w:p>
        </w:tc>
        <w:tc>
          <w:tcPr>
            <w:tcW w:w="1855" w:type="dxa"/>
          </w:tcPr>
          <w:p w14:paraId="6363C82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0.920</w:t>
            </w:r>
          </w:p>
        </w:tc>
        <w:tc>
          <w:tcPr>
            <w:tcW w:w="1508" w:type="dxa"/>
          </w:tcPr>
          <w:p w14:paraId="060197F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0.007</w:t>
            </w:r>
          </w:p>
        </w:tc>
      </w:tr>
      <w:tr w:rsidR="003B4553" w:rsidRPr="003D2D46" w14:paraId="7C50AEBB" w14:textId="77777777" w:rsidTr="004C4306">
        <w:trPr>
          <w:trHeight w:val="265"/>
        </w:trPr>
        <w:tc>
          <w:tcPr>
            <w:tcW w:w="5145" w:type="dxa"/>
          </w:tcPr>
          <w:p w14:paraId="4F3B61A0"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White (%)</w:t>
            </w:r>
          </w:p>
        </w:tc>
        <w:tc>
          <w:tcPr>
            <w:tcW w:w="1686" w:type="dxa"/>
          </w:tcPr>
          <w:p w14:paraId="341D207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1.053</w:t>
            </w:r>
          </w:p>
        </w:tc>
        <w:tc>
          <w:tcPr>
            <w:tcW w:w="1939" w:type="dxa"/>
          </w:tcPr>
          <w:p w14:paraId="5C73AAA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1.023</w:t>
            </w:r>
          </w:p>
        </w:tc>
        <w:tc>
          <w:tcPr>
            <w:tcW w:w="1855" w:type="dxa"/>
          </w:tcPr>
          <w:p w14:paraId="5C65D92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1.084</w:t>
            </w:r>
          </w:p>
        </w:tc>
        <w:tc>
          <w:tcPr>
            <w:tcW w:w="1508" w:type="dxa"/>
          </w:tcPr>
          <w:p w14:paraId="4A49626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07784C9" w14:textId="77777777" w:rsidTr="004C4306">
        <w:trPr>
          <w:trHeight w:val="265"/>
        </w:trPr>
        <w:tc>
          <w:tcPr>
            <w:tcW w:w="5145" w:type="dxa"/>
          </w:tcPr>
          <w:p w14:paraId="3E4C274E"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Black (%)</w:t>
            </w:r>
          </w:p>
        </w:tc>
        <w:tc>
          <w:tcPr>
            <w:tcW w:w="1686" w:type="dxa"/>
          </w:tcPr>
          <w:p w14:paraId="0A8CC06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1.050</w:t>
            </w:r>
          </w:p>
        </w:tc>
        <w:tc>
          <w:tcPr>
            <w:tcW w:w="1939" w:type="dxa"/>
          </w:tcPr>
          <w:p w14:paraId="54BE7D9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1.019</w:t>
            </w:r>
          </w:p>
        </w:tc>
        <w:tc>
          <w:tcPr>
            <w:tcW w:w="1855" w:type="dxa"/>
          </w:tcPr>
          <w:p w14:paraId="2AE611C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1.083</w:t>
            </w:r>
          </w:p>
        </w:tc>
        <w:tc>
          <w:tcPr>
            <w:tcW w:w="1508" w:type="dxa"/>
          </w:tcPr>
          <w:p w14:paraId="5745EBE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0.002</w:t>
            </w:r>
          </w:p>
        </w:tc>
      </w:tr>
      <w:tr w:rsidR="003B4553" w:rsidRPr="003D2D46" w14:paraId="796DC87D" w14:textId="77777777" w:rsidTr="004C4306">
        <w:trPr>
          <w:trHeight w:val="280"/>
        </w:trPr>
        <w:tc>
          <w:tcPr>
            <w:tcW w:w="5145" w:type="dxa"/>
          </w:tcPr>
          <w:p w14:paraId="742DEFA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Hispanic (%)</w:t>
            </w:r>
          </w:p>
        </w:tc>
        <w:tc>
          <w:tcPr>
            <w:tcW w:w="1686" w:type="dxa"/>
          </w:tcPr>
          <w:p w14:paraId="214EE0D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0.988</w:t>
            </w:r>
          </w:p>
        </w:tc>
        <w:tc>
          <w:tcPr>
            <w:tcW w:w="1939" w:type="dxa"/>
          </w:tcPr>
          <w:p w14:paraId="6A133FA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0.982</w:t>
            </w:r>
          </w:p>
        </w:tc>
        <w:tc>
          <w:tcPr>
            <w:tcW w:w="1855" w:type="dxa"/>
          </w:tcPr>
          <w:p w14:paraId="7F7D334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0.993</w:t>
            </w:r>
          </w:p>
        </w:tc>
        <w:tc>
          <w:tcPr>
            <w:tcW w:w="1508" w:type="dxa"/>
          </w:tcPr>
          <w:p w14:paraId="0124BCD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494BF58" w14:textId="77777777" w:rsidTr="004C4306">
        <w:trPr>
          <w:trHeight w:val="265"/>
        </w:trPr>
        <w:tc>
          <w:tcPr>
            <w:tcW w:w="5145" w:type="dxa"/>
          </w:tcPr>
          <w:p w14:paraId="03B166B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Male (%)</w:t>
            </w:r>
          </w:p>
        </w:tc>
        <w:tc>
          <w:tcPr>
            <w:tcW w:w="1686" w:type="dxa"/>
          </w:tcPr>
          <w:p w14:paraId="47BD35F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1.082</w:t>
            </w:r>
          </w:p>
        </w:tc>
        <w:tc>
          <w:tcPr>
            <w:tcW w:w="1939" w:type="dxa"/>
          </w:tcPr>
          <w:p w14:paraId="40CB4DB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1.044</w:t>
            </w:r>
          </w:p>
        </w:tc>
        <w:tc>
          <w:tcPr>
            <w:tcW w:w="1855" w:type="dxa"/>
          </w:tcPr>
          <w:p w14:paraId="5272612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1.120</w:t>
            </w:r>
          </w:p>
        </w:tc>
        <w:tc>
          <w:tcPr>
            <w:tcW w:w="1508" w:type="dxa"/>
          </w:tcPr>
          <w:p w14:paraId="09058A3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61D2E0FF" w14:textId="77777777" w:rsidTr="004C4306">
        <w:trPr>
          <w:trHeight w:val="280"/>
        </w:trPr>
        <w:tc>
          <w:tcPr>
            <w:tcW w:w="5145" w:type="dxa"/>
          </w:tcPr>
          <w:p w14:paraId="497D5881"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Families Below Poverty (%)</w:t>
            </w:r>
          </w:p>
        </w:tc>
        <w:tc>
          <w:tcPr>
            <w:tcW w:w="1686" w:type="dxa"/>
          </w:tcPr>
          <w:p w14:paraId="68B915E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0.904</w:t>
            </w:r>
          </w:p>
        </w:tc>
        <w:tc>
          <w:tcPr>
            <w:tcW w:w="1939" w:type="dxa"/>
          </w:tcPr>
          <w:p w14:paraId="1F8AB60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0.861</w:t>
            </w:r>
          </w:p>
        </w:tc>
        <w:tc>
          <w:tcPr>
            <w:tcW w:w="1855" w:type="dxa"/>
          </w:tcPr>
          <w:p w14:paraId="27762CB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0.949</w:t>
            </w:r>
          </w:p>
        </w:tc>
        <w:tc>
          <w:tcPr>
            <w:tcW w:w="1508" w:type="dxa"/>
          </w:tcPr>
          <w:p w14:paraId="7B9D6FB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9421F9B" w14:textId="77777777" w:rsidTr="004C4306">
        <w:trPr>
          <w:trHeight w:val="265"/>
        </w:trPr>
        <w:tc>
          <w:tcPr>
            <w:tcW w:w="5145" w:type="dxa"/>
          </w:tcPr>
          <w:p w14:paraId="720E6EA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w:t>
            </w:r>
          </w:p>
        </w:tc>
        <w:tc>
          <w:tcPr>
            <w:tcW w:w="1686" w:type="dxa"/>
          </w:tcPr>
          <w:p w14:paraId="2EB8CD1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1.119</w:t>
            </w:r>
          </w:p>
        </w:tc>
        <w:tc>
          <w:tcPr>
            <w:tcW w:w="1939" w:type="dxa"/>
          </w:tcPr>
          <w:p w14:paraId="02A1017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1.081</w:t>
            </w:r>
          </w:p>
        </w:tc>
        <w:tc>
          <w:tcPr>
            <w:tcW w:w="1855" w:type="dxa"/>
          </w:tcPr>
          <w:p w14:paraId="75C0F8D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1.157</w:t>
            </w:r>
          </w:p>
        </w:tc>
        <w:tc>
          <w:tcPr>
            <w:tcW w:w="1508" w:type="dxa"/>
          </w:tcPr>
          <w:p w14:paraId="0717DB3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248AEBE4" w14:textId="77777777" w:rsidTr="004C4306">
        <w:trPr>
          <w:trHeight w:val="265"/>
        </w:trPr>
        <w:tc>
          <w:tcPr>
            <w:tcW w:w="5145" w:type="dxa"/>
          </w:tcPr>
          <w:p w14:paraId="38C3477D"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Unemployed (%)</w:t>
            </w:r>
          </w:p>
        </w:tc>
        <w:tc>
          <w:tcPr>
            <w:tcW w:w="1686" w:type="dxa"/>
          </w:tcPr>
          <w:p w14:paraId="369A598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1.082</w:t>
            </w:r>
          </w:p>
        </w:tc>
        <w:tc>
          <w:tcPr>
            <w:tcW w:w="1939" w:type="dxa"/>
          </w:tcPr>
          <w:p w14:paraId="5A68948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1.018</w:t>
            </w:r>
          </w:p>
        </w:tc>
        <w:tc>
          <w:tcPr>
            <w:tcW w:w="1855" w:type="dxa"/>
          </w:tcPr>
          <w:p w14:paraId="791824F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0.913</w:t>
            </w:r>
          </w:p>
        </w:tc>
        <w:tc>
          <w:tcPr>
            <w:tcW w:w="1508" w:type="dxa"/>
          </w:tcPr>
          <w:p w14:paraId="2E4EEA9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0.012</w:t>
            </w:r>
          </w:p>
        </w:tc>
      </w:tr>
      <w:tr w:rsidR="003B4553" w:rsidRPr="003D2D46" w14:paraId="7EAA88DD" w14:textId="77777777" w:rsidTr="004C4306">
        <w:trPr>
          <w:trHeight w:val="280"/>
        </w:trPr>
        <w:tc>
          <w:tcPr>
            <w:tcW w:w="5145" w:type="dxa"/>
          </w:tcPr>
          <w:p w14:paraId="00884A6C"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Uninsured (%)</w:t>
            </w:r>
          </w:p>
        </w:tc>
        <w:tc>
          <w:tcPr>
            <w:tcW w:w="1686" w:type="dxa"/>
          </w:tcPr>
          <w:p w14:paraId="079BB46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1.082</w:t>
            </w:r>
          </w:p>
        </w:tc>
        <w:tc>
          <w:tcPr>
            <w:tcW w:w="1939" w:type="dxa"/>
          </w:tcPr>
          <w:p w14:paraId="7B63A7F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1.062</w:t>
            </w:r>
          </w:p>
        </w:tc>
        <w:tc>
          <w:tcPr>
            <w:tcW w:w="1855" w:type="dxa"/>
          </w:tcPr>
          <w:p w14:paraId="39303D1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1.027</w:t>
            </w:r>
          </w:p>
        </w:tc>
        <w:tc>
          <w:tcPr>
            <w:tcW w:w="1508" w:type="dxa"/>
          </w:tcPr>
          <w:p w14:paraId="0AA5333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31CE6525" w14:textId="77777777" w:rsidTr="004C4306">
        <w:trPr>
          <w:trHeight w:val="265"/>
        </w:trPr>
        <w:tc>
          <w:tcPr>
            <w:tcW w:w="5145" w:type="dxa"/>
          </w:tcPr>
          <w:p w14:paraId="6F5175DA"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Less than High School (%)</w:t>
            </w:r>
          </w:p>
        </w:tc>
        <w:tc>
          <w:tcPr>
            <w:tcW w:w="1686" w:type="dxa"/>
          </w:tcPr>
          <w:p w14:paraId="232317D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0.905</w:t>
            </w:r>
          </w:p>
        </w:tc>
        <w:tc>
          <w:tcPr>
            <w:tcW w:w="1939" w:type="dxa"/>
          </w:tcPr>
          <w:p w14:paraId="14577A3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0.885</w:t>
            </w:r>
          </w:p>
        </w:tc>
        <w:tc>
          <w:tcPr>
            <w:tcW w:w="1855" w:type="dxa"/>
          </w:tcPr>
          <w:p w14:paraId="7AF940C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0.926</w:t>
            </w:r>
          </w:p>
        </w:tc>
        <w:tc>
          <w:tcPr>
            <w:tcW w:w="1508" w:type="dxa"/>
          </w:tcPr>
          <w:p w14:paraId="47375BE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1D3313EB" w14:textId="77777777" w:rsidTr="004C4306">
        <w:trPr>
          <w:trHeight w:val="280"/>
        </w:trPr>
        <w:tc>
          <w:tcPr>
            <w:tcW w:w="5145" w:type="dxa"/>
            <w:tcBorders>
              <w:bottom w:val="nil"/>
            </w:tcBorders>
          </w:tcPr>
          <w:p w14:paraId="560B124F"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High School Education (%)</w:t>
            </w:r>
          </w:p>
        </w:tc>
        <w:tc>
          <w:tcPr>
            <w:tcW w:w="1686" w:type="dxa"/>
            <w:tcBorders>
              <w:bottom w:val="nil"/>
            </w:tcBorders>
          </w:tcPr>
          <w:p w14:paraId="01CA40B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0.918</w:t>
            </w:r>
          </w:p>
        </w:tc>
        <w:tc>
          <w:tcPr>
            <w:tcW w:w="1939" w:type="dxa"/>
            <w:tcBorders>
              <w:bottom w:val="nil"/>
            </w:tcBorders>
          </w:tcPr>
          <w:p w14:paraId="4720473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0.892</w:t>
            </w:r>
          </w:p>
        </w:tc>
        <w:tc>
          <w:tcPr>
            <w:tcW w:w="1855" w:type="dxa"/>
            <w:tcBorders>
              <w:bottom w:val="nil"/>
            </w:tcBorders>
          </w:tcPr>
          <w:p w14:paraId="3C58504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0.944</w:t>
            </w:r>
          </w:p>
        </w:tc>
        <w:tc>
          <w:tcPr>
            <w:tcW w:w="1508" w:type="dxa"/>
            <w:tcBorders>
              <w:bottom w:val="nil"/>
            </w:tcBorders>
          </w:tcPr>
          <w:p w14:paraId="230BF7ED"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769B9739" w14:textId="77777777" w:rsidTr="004C4306">
        <w:trPr>
          <w:trHeight w:val="265"/>
        </w:trPr>
        <w:tc>
          <w:tcPr>
            <w:tcW w:w="5145" w:type="dxa"/>
            <w:tcBorders>
              <w:top w:val="nil"/>
              <w:bottom w:val="single" w:sz="12" w:space="0" w:color="auto"/>
            </w:tcBorders>
          </w:tcPr>
          <w:p w14:paraId="4B8FE986" w14:textId="77777777" w:rsidR="00EA09C6" w:rsidRPr="003D2D46" w:rsidRDefault="00EA09C6"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College Education (%)</w:t>
            </w:r>
          </w:p>
        </w:tc>
        <w:tc>
          <w:tcPr>
            <w:tcW w:w="1686" w:type="dxa"/>
            <w:tcBorders>
              <w:top w:val="nil"/>
              <w:bottom w:val="single" w:sz="12" w:space="0" w:color="auto"/>
            </w:tcBorders>
          </w:tcPr>
          <w:p w14:paraId="6AFE9AA2"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0.897</w:t>
            </w:r>
          </w:p>
        </w:tc>
        <w:tc>
          <w:tcPr>
            <w:tcW w:w="1939" w:type="dxa"/>
            <w:tcBorders>
              <w:top w:val="nil"/>
              <w:bottom w:val="single" w:sz="12" w:space="0" w:color="auto"/>
            </w:tcBorders>
          </w:tcPr>
          <w:p w14:paraId="447F3AB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0.879</w:t>
            </w:r>
          </w:p>
        </w:tc>
        <w:tc>
          <w:tcPr>
            <w:tcW w:w="1855" w:type="dxa"/>
            <w:tcBorders>
              <w:top w:val="nil"/>
              <w:bottom w:val="single" w:sz="12" w:space="0" w:color="auto"/>
            </w:tcBorders>
          </w:tcPr>
          <w:p w14:paraId="5FFBDCFC"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0.916</w:t>
            </w:r>
          </w:p>
        </w:tc>
        <w:tc>
          <w:tcPr>
            <w:tcW w:w="1508" w:type="dxa"/>
            <w:tcBorders>
              <w:top w:val="nil"/>
              <w:bottom w:val="single" w:sz="12" w:space="0" w:color="auto"/>
            </w:tcBorders>
          </w:tcPr>
          <w:p w14:paraId="5C59A85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bl>
    <w:p w14:paraId="4A055773"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49F8A66D" w14:textId="77777777" w:rsidR="00EA09C6" w:rsidRPr="003D2D46" w:rsidRDefault="00EA09C6" w:rsidP="00EE2A89">
      <w:pPr>
        <w:rPr>
          <w:rFonts w:ascii="Times New Roman" w:hAnsi="Times New Roman" w:cs="Times New Roman"/>
          <w:color w:val="000000" w:themeColor="text1"/>
        </w:rPr>
      </w:pPr>
    </w:p>
    <w:p w14:paraId="631580A8" w14:textId="77777777" w:rsidR="00CF2B3D" w:rsidRPr="003D2D46" w:rsidRDefault="00CF2B3D" w:rsidP="00EE2A89">
      <w:pPr>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p>
    <w:p w14:paraId="4AF59DCC" w14:textId="3EF10D72" w:rsidR="00CF2B3D" w:rsidRPr="003D2D46" w:rsidRDefault="00CF2B3D" w:rsidP="00EE2A89">
      <w:pPr>
        <w:pStyle w:val="Caption"/>
        <w:rPr>
          <w:rFonts w:ascii="Times New Roman" w:hAnsi="Times New Roman" w:cs="Times New Roman"/>
          <w:color w:val="000000" w:themeColor="text1"/>
        </w:rPr>
      </w:pPr>
      <w:bookmarkStart w:id="189" w:name="_Toc83975886"/>
      <w:r w:rsidRPr="003D2D46">
        <w:rPr>
          <w:rFonts w:ascii="Times New Roman" w:hAnsi="Times New Roman" w:cs="Times New Roman"/>
          <w:color w:val="000000" w:themeColor="text1"/>
        </w:rPr>
        <w:lastRenderedPageBreak/>
        <w:t>Table 4.</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Results of the final negative binomial model showing significant predictors of non-medical vaccination exemptions in Florida, 2014</w:t>
      </w:r>
      <w:bookmarkEnd w:id="189"/>
    </w:p>
    <w:tbl>
      <w:tblPr>
        <w:tblStyle w:val="TableGrid"/>
        <w:tblW w:w="12389" w:type="dxa"/>
        <w:tblBorders>
          <w:left w:val="none" w:sz="0" w:space="0" w:color="auto"/>
          <w:right w:val="none" w:sz="0" w:space="0" w:color="auto"/>
          <w:insideV w:val="none" w:sz="0" w:space="0" w:color="auto"/>
        </w:tblBorders>
        <w:tblLook w:val="04A0" w:firstRow="1" w:lastRow="0" w:firstColumn="1" w:lastColumn="0" w:noHBand="0" w:noVBand="1"/>
      </w:tblPr>
      <w:tblGrid>
        <w:gridCol w:w="4057"/>
        <w:gridCol w:w="2278"/>
        <w:gridCol w:w="2278"/>
        <w:gridCol w:w="2278"/>
        <w:gridCol w:w="1498"/>
      </w:tblGrid>
      <w:tr w:rsidR="003B4553" w:rsidRPr="003D2D46" w14:paraId="600B1349" w14:textId="77777777" w:rsidTr="00433D4E">
        <w:trPr>
          <w:trHeight w:val="394"/>
        </w:trPr>
        <w:tc>
          <w:tcPr>
            <w:tcW w:w="4057" w:type="dxa"/>
            <w:tcBorders>
              <w:top w:val="single" w:sz="12" w:space="0" w:color="auto"/>
              <w:bottom w:val="single" w:sz="12" w:space="0" w:color="auto"/>
            </w:tcBorders>
          </w:tcPr>
          <w:p w14:paraId="4BB3831C" w14:textId="77777777" w:rsidR="00EA09C6" w:rsidRPr="003D2D46" w:rsidRDefault="00EA09C6" w:rsidP="006962E0">
            <w:pPr>
              <w:rPr>
                <w:rFonts w:ascii="Times New Roman" w:hAnsi="Times New Roman" w:cs="Times New Roman"/>
                <w:b/>
                <w:bCs/>
                <w:color w:val="000000" w:themeColor="text1"/>
              </w:rPr>
            </w:pPr>
            <w:r w:rsidRPr="003D2D46">
              <w:rPr>
                <w:rFonts w:ascii="Times New Roman" w:hAnsi="Times New Roman" w:cs="Times New Roman"/>
                <w:b/>
                <w:bCs/>
                <w:color w:val="000000" w:themeColor="text1"/>
              </w:rPr>
              <w:t>Variable</w:t>
            </w:r>
          </w:p>
        </w:tc>
        <w:tc>
          <w:tcPr>
            <w:tcW w:w="2278" w:type="dxa"/>
            <w:tcBorders>
              <w:top w:val="single" w:sz="12" w:space="0" w:color="auto"/>
              <w:bottom w:val="single" w:sz="12" w:space="0" w:color="auto"/>
            </w:tcBorders>
          </w:tcPr>
          <w:p w14:paraId="40B9A782"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Risk Ratio</w:t>
            </w:r>
          </w:p>
        </w:tc>
        <w:tc>
          <w:tcPr>
            <w:tcW w:w="2278" w:type="dxa"/>
            <w:tcBorders>
              <w:top w:val="single" w:sz="12" w:space="0" w:color="auto"/>
              <w:bottom w:val="single" w:sz="12" w:space="0" w:color="auto"/>
            </w:tcBorders>
          </w:tcPr>
          <w:p w14:paraId="2D5BF401"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Lower 95% CI</w:t>
            </w:r>
            <w:r w:rsidRPr="003D2D46">
              <w:rPr>
                <w:rFonts w:ascii="Times New Roman" w:eastAsia="Arial" w:hAnsi="Times New Roman" w:cs="Times New Roman"/>
                <w:b/>
                <w:color w:val="000000" w:themeColor="text1"/>
                <w:vertAlign w:val="superscript"/>
              </w:rPr>
              <w:t>1</w:t>
            </w:r>
          </w:p>
        </w:tc>
        <w:tc>
          <w:tcPr>
            <w:tcW w:w="2278" w:type="dxa"/>
            <w:tcBorders>
              <w:top w:val="single" w:sz="12" w:space="0" w:color="auto"/>
              <w:bottom w:val="single" w:sz="12" w:space="0" w:color="auto"/>
            </w:tcBorders>
          </w:tcPr>
          <w:p w14:paraId="3BAC92AB"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Upper 95% CI</w:t>
            </w:r>
            <w:r w:rsidRPr="003D2D46">
              <w:rPr>
                <w:rFonts w:ascii="Times New Roman" w:eastAsia="Arial" w:hAnsi="Times New Roman" w:cs="Times New Roman"/>
                <w:b/>
                <w:color w:val="000000" w:themeColor="text1"/>
                <w:vertAlign w:val="superscript"/>
              </w:rPr>
              <w:t>1</w:t>
            </w:r>
          </w:p>
        </w:tc>
        <w:tc>
          <w:tcPr>
            <w:tcW w:w="1498" w:type="dxa"/>
            <w:tcBorders>
              <w:top w:val="single" w:sz="12" w:space="0" w:color="auto"/>
              <w:bottom w:val="single" w:sz="12" w:space="0" w:color="auto"/>
            </w:tcBorders>
          </w:tcPr>
          <w:p w14:paraId="66838ED3" w14:textId="77777777" w:rsidR="00EA09C6" w:rsidRPr="003D2D46" w:rsidRDefault="00EA09C6" w:rsidP="004F0890">
            <w:pPr>
              <w:jc w:val="center"/>
              <w:rPr>
                <w:rFonts w:ascii="Times New Roman" w:hAnsi="Times New Roman" w:cs="Times New Roman"/>
                <w:b/>
                <w:bCs/>
                <w:color w:val="000000" w:themeColor="text1"/>
              </w:rPr>
            </w:pPr>
            <w:r w:rsidRPr="003D2D46">
              <w:rPr>
                <w:rFonts w:ascii="Times New Roman" w:hAnsi="Times New Roman" w:cs="Times New Roman"/>
                <w:b/>
                <w:bCs/>
                <w:color w:val="000000" w:themeColor="text1"/>
              </w:rPr>
              <w:t>p-value</w:t>
            </w:r>
          </w:p>
        </w:tc>
      </w:tr>
      <w:tr w:rsidR="003B4553" w:rsidRPr="003D2D46" w14:paraId="3D53DC70" w14:textId="77777777" w:rsidTr="00433D4E">
        <w:trPr>
          <w:trHeight w:val="394"/>
        </w:trPr>
        <w:tc>
          <w:tcPr>
            <w:tcW w:w="4057" w:type="dxa"/>
            <w:tcBorders>
              <w:top w:val="single" w:sz="12" w:space="0" w:color="auto"/>
              <w:bottom w:val="nil"/>
            </w:tcBorders>
          </w:tcPr>
          <w:p w14:paraId="23EFC12C" w14:textId="77777777" w:rsidR="00EA09C6" w:rsidRPr="003D2D46" w:rsidRDefault="00EA09C6" w:rsidP="006962E0">
            <w:pPr>
              <w:rPr>
                <w:rFonts w:ascii="Times New Roman" w:hAnsi="Times New Roman" w:cs="Times New Roman"/>
                <w:color w:val="000000" w:themeColor="text1"/>
              </w:rPr>
            </w:pPr>
            <w:r w:rsidRPr="003D2D46">
              <w:rPr>
                <w:rFonts w:ascii="Times New Roman" w:hAnsi="Times New Roman" w:cs="Times New Roman"/>
                <w:color w:val="000000" w:themeColor="text1"/>
              </w:rPr>
              <w:t>Rural (%)</w:t>
            </w:r>
          </w:p>
        </w:tc>
        <w:tc>
          <w:tcPr>
            <w:tcW w:w="2278" w:type="dxa"/>
            <w:tcBorders>
              <w:top w:val="single" w:sz="12" w:space="0" w:color="auto"/>
              <w:bottom w:val="nil"/>
            </w:tcBorders>
          </w:tcPr>
          <w:p w14:paraId="3FD26CC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0 .992</w:t>
            </w:r>
          </w:p>
        </w:tc>
        <w:tc>
          <w:tcPr>
            <w:tcW w:w="2278" w:type="dxa"/>
            <w:tcBorders>
              <w:top w:val="single" w:sz="12" w:space="0" w:color="auto"/>
              <w:bottom w:val="nil"/>
            </w:tcBorders>
          </w:tcPr>
          <w:p w14:paraId="06A5010B"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0 .986</w:t>
            </w:r>
          </w:p>
        </w:tc>
        <w:tc>
          <w:tcPr>
            <w:tcW w:w="2278" w:type="dxa"/>
            <w:tcBorders>
              <w:top w:val="single" w:sz="12" w:space="0" w:color="auto"/>
              <w:bottom w:val="nil"/>
            </w:tcBorders>
          </w:tcPr>
          <w:p w14:paraId="0325AD2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0 .999</w:t>
            </w:r>
          </w:p>
        </w:tc>
        <w:tc>
          <w:tcPr>
            <w:tcW w:w="1498" w:type="dxa"/>
            <w:tcBorders>
              <w:top w:val="single" w:sz="12" w:space="0" w:color="auto"/>
              <w:bottom w:val="nil"/>
            </w:tcBorders>
          </w:tcPr>
          <w:p w14:paraId="5771A1A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0.023</w:t>
            </w:r>
          </w:p>
        </w:tc>
      </w:tr>
      <w:tr w:rsidR="003B4553" w:rsidRPr="003D2D46" w14:paraId="576C8BDE" w14:textId="77777777" w:rsidTr="00433D4E">
        <w:trPr>
          <w:trHeight w:val="373"/>
        </w:trPr>
        <w:tc>
          <w:tcPr>
            <w:tcW w:w="4057" w:type="dxa"/>
            <w:tcBorders>
              <w:top w:val="nil"/>
              <w:bottom w:val="nil"/>
            </w:tcBorders>
          </w:tcPr>
          <w:p w14:paraId="553C91D3" w14:textId="77777777" w:rsidR="00EA09C6" w:rsidRPr="003D2D46" w:rsidRDefault="00EA09C6" w:rsidP="006962E0">
            <w:pPr>
              <w:rPr>
                <w:rFonts w:ascii="Times New Roman" w:hAnsi="Times New Roman" w:cs="Times New Roman"/>
                <w:color w:val="000000" w:themeColor="text1"/>
              </w:rPr>
            </w:pPr>
            <w:r w:rsidRPr="003D2D46">
              <w:rPr>
                <w:rFonts w:ascii="Times New Roman" w:hAnsi="Times New Roman" w:cs="Times New Roman"/>
                <w:color w:val="000000" w:themeColor="text1"/>
              </w:rPr>
              <w:t>White (%)</w:t>
            </w:r>
          </w:p>
        </w:tc>
        <w:tc>
          <w:tcPr>
            <w:tcW w:w="2278" w:type="dxa"/>
            <w:tcBorders>
              <w:top w:val="nil"/>
              <w:bottom w:val="nil"/>
            </w:tcBorders>
          </w:tcPr>
          <w:p w14:paraId="0FB31D07"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1.016</w:t>
            </w:r>
          </w:p>
        </w:tc>
        <w:tc>
          <w:tcPr>
            <w:tcW w:w="2278" w:type="dxa"/>
            <w:tcBorders>
              <w:top w:val="nil"/>
              <w:bottom w:val="nil"/>
            </w:tcBorders>
          </w:tcPr>
          <w:p w14:paraId="656D530F"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1.000</w:t>
            </w:r>
          </w:p>
        </w:tc>
        <w:tc>
          <w:tcPr>
            <w:tcW w:w="2278" w:type="dxa"/>
            <w:tcBorders>
              <w:top w:val="nil"/>
              <w:bottom w:val="nil"/>
            </w:tcBorders>
          </w:tcPr>
          <w:p w14:paraId="2E18452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1.032</w:t>
            </w:r>
          </w:p>
        </w:tc>
        <w:tc>
          <w:tcPr>
            <w:tcW w:w="1498" w:type="dxa"/>
            <w:tcBorders>
              <w:top w:val="nil"/>
              <w:bottom w:val="nil"/>
            </w:tcBorders>
          </w:tcPr>
          <w:p w14:paraId="74220025"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0.045</w:t>
            </w:r>
          </w:p>
        </w:tc>
      </w:tr>
      <w:tr w:rsidR="003B4553" w:rsidRPr="003D2D46" w14:paraId="783F220A" w14:textId="77777777" w:rsidTr="00433D4E">
        <w:trPr>
          <w:trHeight w:val="394"/>
        </w:trPr>
        <w:tc>
          <w:tcPr>
            <w:tcW w:w="4057" w:type="dxa"/>
            <w:tcBorders>
              <w:top w:val="nil"/>
              <w:bottom w:val="nil"/>
            </w:tcBorders>
          </w:tcPr>
          <w:p w14:paraId="7A3EAA5F" w14:textId="77777777" w:rsidR="00EA09C6" w:rsidRPr="003D2D46" w:rsidRDefault="00EA09C6" w:rsidP="006962E0">
            <w:pPr>
              <w:rPr>
                <w:rFonts w:ascii="Times New Roman" w:hAnsi="Times New Roman" w:cs="Times New Roman"/>
                <w:color w:val="000000" w:themeColor="text1"/>
              </w:rPr>
            </w:pPr>
            <w:r w:rsidRPr="003D2D46">
              <w:rPr>
                <w:rFonts w:ascii="Times New Roman" w:hAnsi="Times New Roman" w:cs="Times New Roman"/>
                <w:color w:val="000000" w:themeColor="text1"/>
              </w:rPr>
              <w:t>College Education (%)</w:t>
            </w:r>
          </w:p>
        </w:tc>
        <w:tc>
          <w:tcPr>
            <w:tcW w:w="2278" w:type="dxa"/>
            <w:tcBorders>
              <w:top w:val="nil"/>
              <w:bottom w:val="nil"/>
            </w:tcBorders>
          </w:tcPr>
          <w:p w14:paraId="511AFFD6"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0 .897</w:t>
            </w:r>
          </w:p>
        </w:tc>
        <w:tc>
          <w:tcPr>
            <w:tcW w:w="2278" w:type="dxa"/>
            <w:tcBorders>
              <w:top w:val="nil"/>
              <w:bottom w:val="nil"/>
            </w:tcBorders>
          </w:tcPr>
          <w:p w14:paraId="13D5A25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0.846</w:t>
            </w:r>
          </w:p>
        </w:tc>
        <w:tc>
          <w:tcPr>
            <w:tcW w:w="2278" w:type="dxa"/>
            <w:tcBorders>
              <w:top w:val="nil"/>
              <w:bottom w:val="nil"/>
            </w:tcBorders>
          </w:tcPr>
          <w:p w14:paraId="05C299A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0.951</w:t>
            </w:r>
          </w:p>
        </w:tc>
        <w:tc>
          <w:tcPr>
            <w:tcW w:w="1498" w:type="dxa"/>
            <w:tcBorders>
              <w:top w:val="nil"/>
              <w:bottom w:val="nil"/>
            </w:tcBorders>
          </w:tcPr>
          <w:p w14:paraId="158DB400"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r w:rsidR="003B4553" w:rsidRPr="003D2D46" w14:paraId="450CF417" w14:textId="77777777" w:rsidTr="00433D4E">
        <w:trPr>
          <w:trHeight w:val="394"/>
        </w:trPr>
        <w:tc>
          <w:tcPr>
            <w:tcW w:w="4057" w:type="dxa"/>
            <w:tcBorders>
              <w:top w:val="nil"/>
              <w:bottom w:val="nil"/>
            </w:tcBorders>
          </w:tcPr>
          <w:p w14:paraId="2909C2C2" w14:textId="77777777" w:rsidR="00EA09C6" w:rsidRPr="003D2D46" w:rsidRDefault="00EA09C6" w:rsidP="006962E0">
            <w:pPr>
              <w:rPr>
                <w:rFonts w:ascii="Times New Roman" w:hAnsi="Times New Roman" w:cs="Times New Roman"/>
                <w:color w:val="000000" w:themeColor="text1"/>
              </w:rPr>
            </w:pPr>
            <w:r w:rsidRPr="003D2D46">
              <w:rPr>
                <w:rFonts w:ascii="Times New Roman" w:hAnsi="Times New Roman" w:cs="Times New Roman"/>
                <w:color w:val="000000" w:themeColor="text1"/>
              </w:rPr>
              <w:t>High School Education (%)</w:t>
            </w:r>
          </w:p>
        </w:tc>
        <w:tc>
          <w:tcPr>
            <w:tcW w:w="2278" w:type="dxa"/>
            <w:tcBorders>
              <w:top w:val="nil"/>
              <w:bottom w:val="nil"/>
            </w:tcBorders>
          </w:tcPr>
          <w:p w14:paraId="7681605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0 .898</w:t>
            </w:r>
          </w:p>
        </w:tc>
        <w:tc>
          <w:tcPr>
            <w:tcW w:w="2278" w:type="dxa"/>
            <w:tcBorders>
              <w:top w:val="nil"/>
              <w:bottom w:val="nil"/>
            </w:tcBorders>
          </w:tcPr>
          <w:p w14:paraId="5C590D71"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0 .829</w:t>
            </w:r>
          </w:p>
        </w:tc>
        <w:tc>
          <w:tcPr>
            <w:tcW w:w="2278" w:type="dxa"/>
            <w:tcBorders>
              <w:top w:val="nil"/>
              <w:bottom w:val="nil"/>
            </w:tcBorders>
          </w:tcPr>
          <w:p w14:paraId="5F65985E"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0 .973</w:t>
            </w:r>
          </w:p>
        </w:tc>
        <w:tc>
          <w:tcPr>
            <w:tcW w:w="1498" w:type="dxa"/>
            <w:tcBorders>
              <w:top w:val="nil"/>
              <w:bottom w:val="nil"/>
            </w:tcBorders>
          </w:tcPr>
          <w:p w14:paraId="579332B3"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0.009</w:t>
            </w:r>
          </w:p>
        </w:tc>
      </w:tr>
      <w:tr w:rsidR="003B4553" w:rsidRPr="003D2D46" w14:paraId="639B2029" w14:textId="77777777" w:rsidTr="00433D4E">
        <w:trPr>
          <w:trHeight w:val="394"/>
        </w:trPr>
        <w:tc>
          <w:tcPr>
            <w:tcW w:w="4057" w:type="dxa"/>
            <w:tcBorders>
              <w:top w:val="nil"/>
              <w:bottom w:val="single" w:sz="12" w:space="0" w:color="auto"/>
            </w:tcBorders>
          </w:tcPr>
          <w:p w14:paraId="1CFCE1E3" w14:textId="77777777" w:rsidR="00EA09C6" w:rsidRPr="003D2D46" w:rsidRDefault="00EA09C6" w:rsidP="006962E0">
            <w:pPr>
              <w:rPr>
                <w:rFonts w:ascii="Times New Roman" w:hAnsi="Times New Roman" w:cs="Times New Roman"/>
                <w:color w:val="000000" w:themeColor="text1"/>
              </w:rPr>
            </w:pPr>
            <w:r w:rsidRPr="003D2D46">
              <w:rPr>
                <w:rFonts w:ascii="Times New Roman" w:hAnsi="Times New Roman" w:cs="Times New Roman"/>
                <w:color w:val="000000" w:themeColor="text1"/>
              </w:rPr>
              <w:t>Less than High School (%)</w:t>
            </w:r>
          </w:p>
        </w:tc>
        <w:tc>
          <w:tcPr>
            <w:tcW w:w="2278" w:type="dxa"/>
            <w:tcBorders>
              <w:top w:val="nil"/>
              <w:bottom w:val="single" w:sz="12" w:space="0" w:color="auto"/>
            </w:tcBorders>
          </w:tcPr>
          <w:p w14:paraId="2C72788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0 .908</w:t>
            </w:r>
          </w:p>
        </w:tc>
        <w:tc>
          <w:tcPr>
            <w:tcW w:w="2278" w:type="dxa"/>
            <w:tcBorders>
              <w:top w:val="nil"/>
              <w:bottom w:val="single" w:sz="12" w:space="0" w:color="auto"/>
            </w:tcBorders>
          </w:tcPr>
          <w:p w14:paraId="3E870D04"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0 .874</w:t>
            </w:r>
          </w:p>
        </w:tc>
        <w:tc>
          <w:tcPr>
            <w:tcW w:w="2278" w:type="dxa"/>
            <w:tcBorders>
              <w:top w:val="nil"/>
              <w:bottom w:val="single" w:sz="12" w:space="0" w:color="auto"/>
            </w:tcBorders>
          </w:tcPr>
          <w:p w14:paraId="5E0B25D9"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0 .944</w:t>
            </w:r>
          </w:p>
        </w:tc>
        <w:tc>
          <w:tcPr>
            <w:tcW w:w="1498" w:type="dxa"/>
            <w:tcBorders>
              <w:top w:val="nil"/>
              <w:bottom w:val="single" w:sz="12" w:space="0" w:color="auto"/>
            </w:tcBorders>
          </w:tcPr>
          <w:p w14:paraId="6CB7D60A" w14:textId="77777777" w:rsidR="00EA09C6" w:rsidRPr="003D2D46" w:rsidRDefault="00EA09C6"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&lt;0.001</w:t>
            </w:r>
          </w:p>
        </w:tc>
      </w:tr>
    </w:tbl>
    <w:p w14:paraId="512DBFB4" w14:textId="77777777" w:rsidR="00EA09C6" w:rsidRPr="003D2D46" w:rsidRDefault="00EA09C6" w:rsidP="00EE2A89">
      <w:pPr>
        <w:rPr>
          <w:rFonts w:ascii="Times New Roman" w:hAnsi="Times New Roman" w:cs="Times New Roman"/>
          <w:iCs/>
          <w:color w:val="000000" w:themeColor="text1"/>
        </w:rPr>
      </w:pPr>
      <w:r w:rsidRPr="003D2D46">
        <w:rPr>
          <w:rFonts w:ascii="Times New Roman" w:hAnsi="Times New Roman" w:cs="Times New Roman"/>
          <w:iCs/>
          <w:color w:val="000000" w:themeColor="text1"/>
          <w:vertAlign w:val="superscript"/>
        </w:rPr>
        <w:t>1</w:t>
      </w:r>
      <w:r w:rsidRPr="003D2D46">
        <w:rPr>
          <w:rFonts w:ascii="Times New Roman" w:hAnsi="Times New Roman" w:cs="Times New Roman"/>
          <w:iCs/>
          <w:color w:val="000000" w:themeColor="text1"/>
        </w:rPr>
        <w:t>95% Confidence Interval</w:t>
      </w:r>
    </w:p>
    <w:p w14:paraId="63202B10" w14:textId="77777777" w:rsidR="00CF2B3D" w:rsidRPr="003D2D46" w:rsidRDefault="00CF2B3D" w:rsidP="00EE2A89">
      <w:pPr>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p>
    <w:p w14:paraId="13A12CBD" w14:textId="673F4E0A" w:rsidR="00EA09C6" w:rsidRPr="003D2D46" w:rsidRDefault="00022D45" w:rsidP="00AC2C5D">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exemption</w:t>
      </w:r>
      <w:r>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type (medical, religious, and philosophical) at the school level in Michigan identified</w:t>
      </w:r>
      <w:r w:rsidRPr="003D2D46">
        <w:rPr>
          <w:rFonts w:ascii="Times New Roman" w:hAnsi="Times New Roman" w:cs="Times New Roman"/>
          <w:color w:val="000000" w:themeColor="text1"/>
        </w:rPr>
        <w:t xml:space="preserve"> </w:t>
      </w:r>
      <w:r w:rsidR="00EA09C6" w:rsidRPr="003D2D46">
        <w:rPr>
          <w:rFonts w:ascii="Times New Roman" w:hAnsi="Times New Roman" w:cs="Times New Roman"/>
          <w:color w:val="000000" w:themeColor="text1"/>
        </w:rPr>
        <w:t xml:space="preserve">clusters for each exemption type, indicating that geographic differences occur by type of exemption </w:t>
      </w:r>
      <w:r w:rsidR="00EA09C6"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{"citationItems":[{"id":"ITEM-1","itemData":{"DOI":"10.1016/j.vaccine.2020.10.091","ISSN":"0264-410X","author":[{"dropping-particle":"","family":"Mashinini","given":"Duduzile P","non-dropping-particle":"","parse-names":false,"suffix":""},{"dropping-particle":"","family":"Fogarty","given":"Kieran J","non-dropping-particle":"","parse-names":false,"suffix":""},{"dropping-particle":"","family":"Potter","given":"Rachel C","non-dropping-particle":"","parse-names":false,"suffix":""},{"dropping-particle":"","family":"Berles","given":"James D","non-dropping-particle":"","parse-names":false,"suffix":""}],"container-title":"Vaccine","id":"ITEM-1","issue":"51","issued":{"date-parts":[["2020"]]},"page":"8116-8120","publisher":"Elsevier Ltd","title":"Geographic hot spot analysis of vaccine exemption clustering patterns in Michigan from 2008 to 2017","type":"article-journal","volume":"38"},"uris":["http://www.mendeley.com/documents/?uuid=1f75c6ba-7e6a-40d3-9dc7-09e0d5c7beb3"]}],"mendeley":{"formattedCitation":"(Mashinini et al., 2020)","plainTextFormattedCitation":"(Mashinini et al., 2020)","previouslyFormattedCitation":"(Mashinini et al., 2020)"},"properties":{"noteIndex":0},"schema":"https://github.com/citation-style-language/schema/raw/master/csl-citation.json"}</w:instrText>
      </w:r>
      <w:r w:rsidR="00EA09C6"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(Mashinini et al., 2020)</w:t>
      </w:r>
      <w:r w:rsidR="00EA09C6" w:rsidRPr="003D2D46">
        <w:rPr>
          <w:rFonts w:ascii="Times New Roman" w:hAnsi="Times New Roman" w:cs="Times New Roman"/>
          <w:color w:val="000000" w:themeColor="text1"/>
        </w:rPr>
        <w:fldChar w:fldCharType="end"/>
      </w:r>
      <w:r w:rsidR="00EA09C6" w:rsidRPr="003D2D46">
        <w:rPr>
          <w:rFonts w:ascii="Times New Roman" w:hAnsi="Times New Roman" w:cs="Times New Roman"/>
          <w:color w:val="000000" w:themeColor="text1"/>
        </w:rPr>
        <w:t>. Medical exemptions clustered in the southeast and northwestern regions of the state, religious exemptions were clustered in the southeastern areas</w:t>
      </w:r>
      <w:r w:rsidR="0033412F" w:rsidRPr="003D2D46">
        <w:rPr>
          <w:rFonts w:ascii="Times New Roman" w:hAnsi="Times New Roman" w:cs="Times New Roman"/>
          <w:color w:val="000000" w:themeColor="text1"/>
        </w:rPr>
        <w:t>, and</w:t>
      </w:r>
      <w:r w:rsidR="00EA09C6" w:rsidRPr="003D2D46">
        <w:rPr>
          <w:rFonts w:ascii="Times New Roman" w:hAnsi="Times New Roman" w:cs="Times New Roman"/>
          <w:color w:val="000000" w:themeColor="text1"/>
        </w:rPr>
        <w:t xml:space="preserve"> philosophical exemptions</w:t>
      </w:r>
      <w:r w:rsidR="0033412F" w:rsidRPr="003D2D46">
        <w:rPr>
          <w:rFonts w:ascii="Times New Roman" w:hAnsi="Times New Roman" w:cs="Times New Roman"/>
          <w:color w:val="000000" w:themeColor="text1"/>
        </w:rPr>
        <w:t xml:space="preserve"> were</w:t>
      </w:r>
      <w:r w:rsidR="00EA09C6" w:rsidRPr="003D2D46">
        <w:rPr>
          <w:rFonts w:ascii="Times New Roman" w:hAnsi="Times New Roman" w:cs="Times New Roman"/>
          <w:color w:val="000000" w:themeColor="text1"/>
        </w:rPr>
        <w:t xml:space="preserve"> clustered in the</w:t>
      </w:r>
      <w:r w:rsidR="0033412F" w:rsidRPr="003D2D46">
        <w:rPr>
          <w:rFonts w:ascii="Times New Roman" w:hAnsi="Times New Roman" w:cs="Times New Roman"/>
          <w:color w:val="000000" w:themeColor="text1"/>
        </w:rPr>
        <w:t xml:space="preserve"> northeast and</w:t>
      </w:r>
      <w:r w:rsidR="00EA09C6" w:rsidRPr="003D2D46">
        <w:rPr>
          <w:rFonts w:ascii="Times New Roman" w:hAnsi="Times New Roman" w:cs="Times New Roman"/>
          <w:color w:val="000000" w:themeColor="text1"/>
        </w:rPr>
        <w:t xml:space="preserve"> southeast</w:t>
      </w:r>
      <w:r w:rsidR="0033412F" w:rsidRPr="003D2D46">
        <w:rPr>
          <w:rFonts w:ascii="Times New Roman" w:hAnsi="Times New Roman" w:cs="Times New Roman"/>
          <w:color w:val="000000" w:themeColor="text1"/>
        </w:rPr>
        <w:t>ern areas</w:t>
      </w:r>
      <w:r w:rsidR="00EA09C6" w:rsidRPr="003D2D46">
        <w:rPr>
          <w:rFonts w:ascii="Times New Roman" w:hAnsi="Times New Roman" w:cs="Times New Roman"/>
          <w:color w:val="000000" w:themeColor="text1"/>
        </w:rPr>
        <w:t xml:space="preserve">. Another analysis of total vaccination exemptions in Ontario reported that total vaccination exemptions varied greatly by geographic area </w:t>
      </w:r>
      <w:r w:rsidR="00EA09C6"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{"citationItems":[{"id":"ITEM-1","itemData":{"DOI":"10.1503/cmaj.150707","author":[{"dropping-particle":"","family":"Wilson","given":"Sarah E","non-dropping-particle":"","parse-names":false,"suffix":""},{"dropping-particle":"","family":"Seo","given":"Chi Yon","non-dropping-particle":"","parse-names":false,"suffix":""},{"dropping-particle":"","family":"Lim","given":"Gillian H","non-dropping-particle":"","parse-names":false,"suffix":""},{"dropping-particle":"","family":"Fediurek","given":"Jill","non-dropping-particle":"","parse-names":false,"suffix":""},{"dropping-particle":"","family":"Crowcroft","given":"Natasha S","non-dropping-particle":"","parse-names":false,"suffix":""},{"dropping-particle":"","family":"Deeks","given":"Shelley L","non-dropping-particle":"","parse-names":false,"suffix":""}],"container-title":"Canadian Medical Association Journal Open","id":"ITEM-1","issue":"3","issued":{"date-parts":[["2015"]]},"page":"317-323","title":"Trends in medical and nonmedical immunization exemptions to measles-containing vaccine in Ontario: an annual cross-sectional assessment of students from school years 2002/03 to 2012/13","type":"article-journal","volume":"3"},"uris":["http://www.mendeley.com/documents/?uuid=5e82009d-2032-45ac-a500-a954125706aa"]}],"mendeley":{"formattedCitation":"(Wilson et al., 2015)","plainTextFormattedCitation":"(Wilson et al., 2015)","previouslyFormattedCitation":"(Wilson et al., 2015)"},"properties":{"noteIndex":0},"schema":"https://github.com/citation-style-language/schema/raw/master/csl-citation.json"}</w:instrText>
      </w:r>
      <w:r w:rsidR="00EA09C6"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(Wilson et al., 2015)</w:t>
      </w:r>
      <w:r w:rsidR="00EA09C6" w:rsidRPr="003D2D46">
        <w:rPr>
          <w:rFonts w:ascii="Times New Roman" w:hAnsi="Times New Roman" w:cs="Times New Roman"/>
          <w:color w:val="000000" w:themeColor="text1"/>
        </w:rPr>
        <w:fldChar w:fldCharType="end"/>
      </w:r>
      <w:r w:rsidR="00EA09C6" w:rsidRPr="003D2D46">
        <w:rPr>
          <w:rFonts w:ascii="Times New Roman" w:hAnsi="Times New Roman" w:cs="Times New Roman"/>
          <w:color w:val="000000" w:themeColor="text1"/>
        </w:rPr>
        <w:t xml:space="preserve">. The same study reported that communities with higher vaccination exemption rates tended to report outbreaks of vaccine-preventable diseases in southwestern Ontario, including a 2005 rubella outbreak and a 2011 pertussis outbreak </w:t>
      </w:r>
      <w:r w:rsidR="00EA09C6"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{"citationItems":[{"id":"ITEM-1","itemData":{"DOI":"10.1503/cmaj.150707","author":[{"dropping-particle":"","family":"Wilson","given":"Sarah E","non-dropping-particle":"","parse-names":false,"suffix":""},{"dropping-particle":"","family":"Seo","given":"Chi Yon","non-dropping-particle":"","parse-names":false,"suffix":""},{"dropping-particle":"","family":"Lim","given":"Gillian H","non-dropping-particle":"","parse-names":false,"suffix":""},{"dropping-particle":"","family":"Fediurek","given":"Jill","non-dropping-particle":"","parse-names":false,"suffix":""},{"dropping-particle":"","family":"Crowcroft","given":"Natasha S","non-dropping-particle":"","parse-names":false,"suffix":""},{"dropping-particle":"","family":"Deeks","given":"Shelley L","non-dropping-particle":"","parse-names":false,"suffix":""}],"container-title":"Canadian Medical Association Journal Open","id":"ITEM-1","issue":"3","issued":{"date-parts":[["2015"]]},"page":"317-323","title":"Trends in medical and nonmedical immunization exemptions to measles-containing vaccine in Ontario: an annual cross-sectional assessment of students from school years 2002/03 to 2012/13","type":"article-journal","volume":"3"},"uris":["http://www.mendeley.com/documents/?uuid=5e82009d-2032-45ac-a500-a954125706aa"]}],"mendeley":{"formattedCitation":"(Wilson et al., 2015)","plainTextFormattedCitation":"(Wilson et al., 2015)","previouslyFormattedCitation":"(Wilson et al., 2015)"},"properties":{"noteIndex":0},"schema":"https://github.com/citation-style-language/schema/raw/master/csl-citation.json"}</w:instrText>
      </w:r>
      <w:r w:rsidR="00EA09C6"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(Wilson et al., 2015)</w:t>
      </w:r>
      <w:r w:rsidR="00EA09C6" w:rsidRPr="003D2D46">
        <w:rPr>
          <w:rFonts w:ascii="Times New Roman" w:hAnsi="Times New Roman" w:cs="Times New Roman"/>
          <w:color w:val="000000" w:themeColor="text1"/>
        </w:rPr>
        <w:fldChar w:fldCharType="end"/>
      </w:r>
      <w:r w:rsidR="00EA09C6" w:rsidRPr="003D2D46">
        <w:rPr>
          <w:rFonts w:ascii="Times New Roman" w:hAnsi="Times New Roman" w:cs="Times New Roman"/>
          <w:color w:val="000000" w:themeColor="text1"/>
        </w:rPr>
        <w:t xml:space="preserve">. </w:t>
      </w:r>
      <w:r w:rsidR="004B751C" w:rsidRPr="003D2D46">
        <w:rPr>
          <w:rFonts w:ascii="Times New Roman" w:hAnsi="Times New Roman" w:cs="Times New Roman"/>
          <w:color w:val="000000" w:themeColor="text1"/>
        </w:rPr>
        <w:t xml:space="preserve">Identifying </w:t>
      </w:r>
      <w:r w:rsidR="009D0F66" w:rsidRPr="003D2D46">
        <w:rPr>
          <w:rFonts w:ascii="Times New Roman" w:hAnsi="Times New Roman" w:cs="Times New Roman"/>
          <w:color w:val="000000" w:themeColor="text1"/>
        </w:rPr>
        <w:t xml:space="preserve">areas with high </w:t>
      </w:r>
      <w:r w:rsidR="004B751C" w:rsidRPr="003D2D46">
        <w:rPr>
          <w:rFonts w:ascii="Times New Roman" w:hAnsi="Times New Roman" w:cs="Times New Roman"/>
          <w:color w:val="000000" w:themeColor="text1"/>
        </w:rPr>
        <w:t>exemption</w:t>
      </w:r>
      <w:r w:rsidR="009D0F66" w:rsidRPr="003D2D46">
        <w:rPr>
          <w:rFonts w:ascii="Times New Roman" w:hAnsi="Times New Roman" w:cs="Times New Roman"/>
          <w:color w:val="000000" w:themeColor="text1"/>
        </w:rPr>
        <w:t xml:space="preserve"> rate</w:t>
      </w:r>
      <w:r w:rsidR="004B751C" w:rsidRPr="003D2D46">
        <w:rPr>
          <w:rFonts w:ascii="Times New Roman" w:hAnsi="Times New Roman" w:cs="Times New Roman"/>
          <w:color w:val="000000" w:themeColor="text1"/>
        </w:rPr>
        <w:t xml:space="preserve">s can not only provide public health </w:t>
      </w:r>
      <w:r w:rsidR="00DD59D6" w:rsidRPr="003D2D46">
        <w:rPr>
          <w:rFonts w:ascii="Times New Roman" w:hAnsi="Times New Roman" w:cs="Times New Roman"/>
          <w:color w:val="000000" w:themeColor="text1"/>
        </w:rPr>
        <w:t>profess</w:t>
      </w:r>
      <w:r w:rsidR="00C826D2" w:rsidRPr="003D2D46">
        <w:rPr>
          <w:rFonts w:ascii="Times New Roman" w:hAnsi="Times New Roman" w:cs="Times New Roman"/>
          <w:color w:val="000000" w:themeColor="text1"/>
        </w:rPr>
        <w:t>i</w:t>
      </w:r>
      <w:r w:rsidR="00DD59D6" w:rsidRPr="003D2D46">
        <w:rPr>
          <w:rFonts w:ascii="Times New Roman" w:hAnsi="Times New Roman" w:cs="Times New Roman"/>
          <w:color w:val="000000" w:themeColor="text1"/>
        </w:rPr>
        <w:t>onals with infor</w:t>
      </w:r>
      <w:r w:rsidR="009D0F66" w:rsidRPr="003D2D46">
        <w:rPr>
          <w:rFonts w:ascii="Times New Roman" w:hAnsi="Times New Roman" w:cs="Times New Roman"/>
          <w:color w:val="000000" w:themeColor="text1"/>
        </w:rPr>
        <w:t xml:space="preserve">mation to guide </w:t>
      </w:r>
      <w:r w:rsidR="004B751C" w:rsidRPr="003D2D46">
        <w:rPr>
          <w:rFonts w:ascii="Times New Roman" w:hAnsi="Times New Roman" w:cs="Times New Roman"/>
          <w:color w:val="000000" w:themeColor="text1"/>
        </w:rPr>
        <w:t>resource allocation and programming</w:t>
      </w:r>
      <w:r w:rsidR="00CF5F93" w:rsidRPr="003D2D46">
        <w:rPr>
          <w:rFonts w:ascii="Times New Roman" w:hAnsi="Times New Roman" w:cs="Times New Roman"/>
          <w:color w:val="000000" w:themeColor="text1"/>
        </w:rPr>
        <w:t>,</w:t>
      </w:r>
      <w:r w:rsidR="004B751C" w:rsidRPr="003D2D46">
        <w:rPr>
          <w:rFonts w:ascii="Times New Roman" w:hAnsi="Times New Roman" w:cs="Times New Roman"/>
          <w:color w:val="000000" w:themeColor="text1"/>
        </w:rPr>
        <w:t xml:space="preserve"> but can </w:t>
      </w:r>
      <w:r w:rsidR="00CF5F93" w:rsidRPr="003D2D46">
        <w:rPr>
          <w:rFonts w:ascii="Times New Roman" w:hAnsi="Times New Roman" w:cs="Times New Roman"/>
          <w:color w:val="000000" w:themeColor="text1"/>
        </w:rPr>
        <w:t xml:space="preserve">also </w:t>
      </w:r>
      <w:r w:rsidR="004B751C" w:rsidRPr="003D2D46">
        <w:rPr>
          <w:rFonts w:ascii="Times New Roman" w:hAnsi="Times New Roman" w:cs="Times New Roman"/>
          <w:color w:val="000000" w:themeColor="text1"/>
        </w:rPr>
        <w:t>direct surveillance efforts</w:t>
      </w:r>
      <w:r w:rsidR="00B36E2E" w:rsidRPr="003D2D46">
        <w:rPr>
          <w:rFonts w:ascii="Times New Roman" w:hAnsi="Times New Roman" w:cs="Times New Roman"/>
          <w:color w:val="000000" w:themeColor="text1"/>
        </w:rPr>
        <w:t xml:space="preserve"> to</w:t>
      </w:r>
      <w:r w:rsidR="004B751C" w:rsidRPr="003D2D46">
        <w:rPr>
          <w:rFonts w:ascii="Times New Roman" w:hAnsi="Times New Roman" w:cs="Times New Roman"/>
          <w:color w:val="000000" w:themeColor="text1"/>
        </w:rPr>
        <w:t xml:space="preserve"> known areas of increased risk. </w:t>
      </w:r>
    </w:p>
    <w:p w14:paraId="293E03A3" w14:textId="77777777" w:rsidR="00EA09C6" w:rsidRPr="003D2D46" w:rsidRDefault="00EA09C6" w:rsidP="00580A15">
      <w:pPr>
        <w:spacing w:line="480" w:lineRule="auto"/>
        <w:rPr>
          <w:rFonts w:ascii="Times New Roman" w:hAnsi="Times New Roman" w:cs="Times New Roman"/>
          <w:color w:val="000000" w:themeColor="text1"/>
        </w:rPr>
      </w:pPr>
    </w:p>
    <w:p w14:paraId="4B1E47CD" w14:textId="77777777" w:rsidR="00EA09C6" w:rsidRPr="003D2D46" w:rsidRDefault="00EA09C6" w:rsidP="00AC2C5D">
      <w:pPr>
        <w:pStyle w:val="Heading511111"/>
        <w:spacing w:line="480" w:lineRule="auto"/>
        <w:rPr>
          <w:rFonts w:cs="Times New Roman"/>
          <w:color w:val="000000" w:themeColor="text1"/>
        </w:rPr>
      </w:pPr>
      <w:bookmarkStart w:id="190" w:name="_Toc82445565"/>
      <w:bookmarkStart w:id="191" w:name="_Toc87797129"/>
      <w:r w:rsidRPr="003D2D46">
        <w:rPr>
          <w:rFonts w:cs="Times New Roman"/>
          <w:color w:val="000000" w:themeColor="text1"/>
        </w:rPr>
        <w:t>4.5.1.2 Non-Medical Exemptions</w:t>
      </w:r>
      <w:bookmarkEnd w:id="190"/>
      <w:bookmarkEnd w:id="191"/>
    </w:p>
    <w:p w14:paraId="63B5572A" w14:textId="055C0813"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geographic disparities in non-medical vaccination exemptions observed at the county level in this study are consistent with findings from other studies that have reported that non-medical exemptions are often geographically clustered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{"citationItems":[{"id":"ITEM-1","itemData":{"DOI":"10.1001/jama.296.14.1757","ISSN":"0098-7484","abstract":"ContextSchool immunization requirements have played a major role in controlling vaccine-preventable diseases in the United States. Most states offer nonmedical exemptions to school requirements (religious or personal belief). Exemptors are at increased risk of acquiring and transmitting disease. The role of exemption policies may be especially important for pertussis, which is endemic in the United States.ObjectiveTo determine if (1) the rates of nonmedical exemptions differ and have been increasing in states that offer only religious vs personal belief exemptions; (2) the rates of nonmedical exemptions differ and have been increasing in states that have easy vs medium and easy vs difficult processes for obtaining exemptions; and (3) pertussis incidence is associated with policies of granting personal belief exemptions, ease of obtaining exemptions, and acceptance of parental signature as sufficient proof of compliance with school immunization requirements.Design, Setting, and ParticipantsWe analyzed 1991 through 2004 state-level rates of nonmedical exemptions at school entry and 1986 through 2004 pertussis incidence data for individuals aged 18 years or younger.Main Outcome MeasuresState-level exemption rates and pertussis incidence.ResultsFrom 2001 through 2004, states that permitted personal belief exemptions had higher nonmedical exemption rates than states that offered only religious exemptions, and states that easily granted exemptions had higher nonmedical exemption rates in 2002 through 2003 compared with states with medium and difficult exemption processes. The mean exemption rate increased an average of 6% per year, from 0.99% in 1991 to 2.54% in 2004, among states that offered personal belief exemptions. In states that easily granted exemptions, the rate increased 5% per year, from 1.26% in 1991 to 2.51% in 2004. No statistically significant change was seen in states that offered only religious exemptions or that had medium and difficult exemption processes. In multivariate analyses adjusting for demographics, easier granting of exemptions (incidence rate ratio = 1.53; 95% confidence interval, 1.10-2.14) and availability of personal belief exemptions (incidence rate ratio = 1.48; 95% confidence interval, 1.03-2.13) were associated with increased pertussis incidence.ConclusionsPermitting personal belief exemptions and easily granting exemptions are associated with higher and increasing nonmedical US exemption rates. State policies granting per…","author":[{"dropping-particle":"","family":"Omer","given":"Saad B.","non-dropping-particle":"","parse-names":false,"suffix":""},{"dropping-particle":"","family":"Pan","given":"William K. Y.","non-dropping-particle":"","parse-names":false,"suffix":""},{"dropping-particle":"","family":"Halsey","given":"Neal A.","non-dropping-particle":"","parse-names":false,"suffix":""},{"dropping-particle":"","family":"Stokley","given":"Shannon","non-dropping-particle":"","parse-names":false,"suffix":""},{"dropping-particle":"","family":"Moulton","given":"Lawrence H.","non-dropping-particle":"","parse-names":false,"suffix":""},{"dropping-particle":"","family":"Navar","given":"Ann Marie","non-dropping-particle":"","parse-names":false,"suffix":""},{"dropping-particle":"","family":"Pierce","given":"Mathew","non-dropping-particle":"","parse-names":false,"suffix":""},{"dropping-particle":"","family":"Salmon","given":"Daniel A.","non-dropping-particle":"","parse-names":false,"suffix":""}],"container-title":"Jama","id":"ITEM-1","issue":"14","issued":{"date-parts":[["2006"]]},"page":"1757","title":"Nonmedical Exemptions to School Immunization Requirements","type":"article-journal","volume":"296"},"uris":["http://www.mendeley.com/documents/?uuid=63cf2c52-42f3-4e7f-bb8d-fd5244a0e858"]}],"mendeley":{"formattedCitation":"(Omer et al., 2006)","plainTextFormattedCitation":"(Omer et al., 2006)","previouslyFormattedCitation":"(Omer et al., 2006)"},"properties":{"noteIndex":0},"schema":"https://github.com/citation-style-language/schema/raw/master/csl-citation.json"}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0C1FD1" w:rsidRPr="003D2D46">
        <w:rPr>
          <w:rFonts w:ascii="Times New Roman" w:hAnsi="Times New Roman" w:cs="Times New Roman"/>
          <w:noProof/>
          <w:color w:val="000000" w:themeColor="text1"/>
        </w:rPr>
        <w:t>(Omer et al., 2006)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is a cause for concern as clustering of unvaccinated or under-vaccinated individuals increases the risk of outbreaks of vaccine-preventable diseases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{"citationItems":[{"id":"ITEM-1","itemData":{"author":[{"dropping-particle":"","family":"Parker","given":"Amy A","non-dropping-particle":"","parse-names":false,"suffix":""},{"dropping-particle":"","family":"Staggs","given":"W","non-dropping-particle":"","parse-names":false,"suffix":""},{"dropping-particle":"","family":"Dayan","given":"GH","non-dropping-particle":"","parse-names":false,"suffix":""},{"dropping-particle":"","family":"Ortego-Sanchez","given":"IR","non-dropping-particle":"","parse-names":false,"suffix":""},{"dropping-particle":"","family":"Rota","given":"P","non-dropping-particle":"","parse-names":false,"suffix":""},{"dropping-particle":"","family":"Lowe","given":"L","non-dropping-particle":"","parse-names":false,"suffix":""},{"dropping-particle":"","family":"Boardman","given":"P","non-dropping-particle":"","parse-names":false,"suffix":""},{"dropping-particle":"","family":"Teclaw","given":"R","non-dropping-particle":"","parse-names":false,"suffix":""},{"dropping-particle":"","family":"Graves","given":"C","non-dropping-particle":"","parse-names":false,"suffix":""},{"dropping-particle":"","family":"LeBaron","given":"CW","non-dropping-particle":"","parse-names":false,"suffix":""}],"container-title":"New England Journal of Medicine\\","id":"ITEM-1","issue":"5","issued":{"date-parts":[["2006"]]},"page":"447-455","title":"Implications of a 2005 Measles Outbreak in Indiana for Sustained Elimination of Measles in the United States Amy","type":"article-journal","volume":"355"},"uris":["http://www.mendeley.com/documents/?uuid=5f3c64f6-8ffa-4523-91d0-2e6b7458cb0d"]}],"mendeley":{"formattedCitation":"(Parker et al., 2006)","plainTextFormattedCitation":"(Parker et al., 2006)","previouslyFormattedCitation":"(Parker et al., 2006)"},"properties":{"noteIndex":0},"schema":"https://github.com/citation-style-language/schema/raw/master/csl-citation.json"}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(Parker et al., 2006)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geospatial study of non-medical vaccine exemptions and pertussis outbreaks in the United States reported that geographic clusters of non-medical exemptions were associated with </w:t>
      </w:r>
      <w:r w:rsidRPr="003D2D46">
        <w:rPr>
          <w:rFonts w:ascii="Times New Roman" w:hAnsi="Times New Roman" w:cs="Times New Roman"/>
          <w:color w:val="000000" w:themeColor="text1"/>
        </w:rPr>
        <w:lastRenderedPageBreak/>
        <w:t xml:space="preserve">pertussis outbreaks in children under five and those aged 10-14 years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10.1073/pnas.1700240114","author":[{"dropping-particle":"","family":"Aloe","given":"Carlin","non-dropping-particle":"","parse-names":false,"suffix":""},{"dropping-particle":"","family":"Kulldorff","given":"Martin","non-dropping-particle":"","parse-names":false,"suffix":""},{"dropping-particle":"","family":"Bloom","given":"Barry R","non-dropping-particle":"","parse-names":false,"suffix":""}],"container-title":"Proceedings of the National Academy of Sciences of the United States of America","id":"ITEM-1","issued":{"date-parts":[["2017"]]},"page":"1-5","title":"Geospatial analysis of nonmedical vaccine exemptions and pertussis outbreaks in the United States","type":"article-journal"},"uris":["http://www.mendeley.com/documents/?uuid=77e62cf2-5339-456c-8169-d003c8a5b60e"]}],"mendeley":{"formattedCitation":"(Aloe, Kulldorff &amp; Bloom, 2017)","plainTextFormattedCitation":"(Aloe, Kulldorff &amp; Bloom, 2017)","previouslyFormattedCitation":"(Aloe, Kulldorff &amp; Bloom,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667C77" w:rsidRPr="003D2D46">
        <w:rPr>
          <w:rFonts w:ascii="Times New Roman" w:hAnsi="Times New Roman" w:cs="Times New Roman"/>
          <w:noProof/>
          <w:color w:val="000000" w:themeColor="text1"/>
        </w:rPr>
        <w:t>(Aloe, Kulldorff &amp; Bloom, 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Clusters of non-medical exemptions have also been identified in a school-level cluster analysis in Miami-Dade County in the 2017-2018 school year, during which wide variations between schools were reported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https://doi-org.utk.idm.oclc.org/10.1542/peds.147.3_MeetingAbstract.5","author":[{"dropping-particle":"","family":"Muller","given":"Carly","non-dropping-particle":"","parse-names":false,"suffix":""},{"dropping-particle":"","family":"Gwynn","given":"Lisa","non-dropping-particle":"","parse-names":false,"suffix":""}],"container-title":"2020 AAP National Conference","id":"ITEM-1","issued":{"date-parts":[["2021"]]},"title":"An Examination of Miami-Dade County Public-School Vaccination Compliance Utilizing GIS Mapping","type":"paper-conference"},"uris":["http://www.mendeley.com/documents/?uuid=0bbdfb7c-a399-4304-ace7-7bac5190f9de"]}],"mendeley":{"formattedCitation":"(Muller &amp; Gwynn, 2021)","plainTextFormattedCitation":"(Muller &amp; Gwynn, 2021)","previouslyFormattedCitation":"(Muller &amp; Gwynn,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(Muller &amp; Gwynn,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study also reported that several schools had less than 90% vaccine compliance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https://doi-org.utk.idm.oclc.org/10.1542/peds.147.3_MeetingAbstract.5","author":[{"dropping-particle":"","family":"Muller","given":"Carly","non-dropping-particle":"","parse-names":false,"suffix":""},{"dropping-particle":"","family":"Gwynn","given":"Lisa","non-dropping-particle":"","parse-names":false,"suffix":""}],"container-title":"2020 AAP National Conference","id":"ITEM-1","issued":{"date-parts":[["2021"]]},"title":"An Examination of Miami-Dade County Public-School Vaccination Compliance Utilizing GIS Mapping","type":"paper-conference"},"uris":["http://www.mendeley.com/documents/?uuid=0bbdfb7c-a399-4304-ace7-7bac5190f9de"]}],"mendeley":{"formattedCitation":"(Muller &amp; Gwynn, 2021)","plainTextFormattedCitation":"(Muller &amp; Gwynn, 2021)","previouslyFormattedCitation":"(Muller &amp; Gwynn, 2021)"},"properties":{"noteIndex":0},"schema":"https://github.com/citation-style-language/schema/raw/master/csl-citation.json"}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(Muller &amp; Gwynn, 2021)</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004B751C" w:rsidRPr="003D2D46">
        <w:rPr>
          <w:rFonts w:ascii="Times New Roman" w:hAnsi="Times New Roman" w:cs="Times New Roman"/>
          <w:color w:val="000000" w:themeColor="text1"/>
        </w:rPr>
        <w:t xml:space="preserve">As with total vaccination exemptions, identification of </w:t>
      </w:r>
      <w:r w:rsidR="007B62D7" w:rsidRPr="003D2D46">
        <w:rPr>
          <w:rFonts w:ascii="Times New Roman" w:hAnsi="Times New Roman" w:cs="Times New Roman"/>
          <w:color w:val="000000" w:themeColor="text1"/>
        </w:rPr>
        <w:t xml:space="preserve">geographic </w:t>
      </w:r>
      <w:r w:rsidR="004B751C" w:rsidRPr="003D2D46">
        <w:rPr>
          <w:rFonts w:ascii="Times New Roman" w:hAnsi="Times New Roman" w:cs="Times New Roman"/>
          <w:color w:val="000000" w:themeColor="text1"/>
        </w:rPr>
        <w:t xml:space="preserve">clusters of non-medical exemptions can highlight areas for further research, programming, or surveillance.  </w:t>
      </w:r>
    </w:p>
    <w:p w14:paraId="3EDDE257" w14:textId="77777777" w:rsidR="00332D09" w:rsidRPr="003D2D46" w:rsidRDefault="00332D09" w:rsidP="00580A15">
      <w:pPr>
        <w:spacing w:line="480" w:lineRule="auto"/>
        <w:rPr>
          <w:rFonts w:ascii="Times New Roman" w:hAnsi="Times New Roman" w:cs="Times New Roman"/>
          <w:color w:val="000000" w:themeColor="text1"/>
        </w:rPr>
      </w:pPr>
    </w:p>
    <w:p w14:paraId="6140F5A6" w14:textId="77777777" w:rsidR="00EA09C6" w:rsidRPr="003D2D46" w:rsidRDefault="00EA09C6">
      <w:pPr>
        <w:pStyle w:val="Heading41111"/>
        <w:spacing w:line="480" w:lineRule="auto"/>
        <w:rPr>
          <w:rFonts w:cs="Times New Roman"/>
          <w:color w:val="000000" w:themeColor="text1"/>
        </w:rPr>
      </w:pPr>
      <w:bookmarkStart w:id="192" w:name="_Toc82445566"/>
      <w:bookmarkStart w:id="193" w:name="_Toc87797130"/>
      <w:r w:rsidRPr="003D2D46">
        <w:rPr>
          <w:rFonts w:cs="Times New Roman"/>
          <w:color w:val="000000" w:themeColor="text1"/>
        </w:rPr>
        <w:t>4.5.2 Predictors of Vaccination Exemptions</w:t>
      </w:r>
      <w:bookmarkEnd w:id="192"/>
      <w:bookmarkEnd w:id="193"/>
    </w:p>
    <w:p w14:paraId="141CDD8A" w14:textId="77777777" w:rsidR="00EA09C6" w:rsidRPr="003D2D46" w:rsidRDefault="00EA09C6">
      <w:pPr>
        <w:pStyle w:val="Heading511111"/>
        <w:spacing w:line="480" w:lineRule="auto"/>
        <w:rPr>
          <w:rFonts w:cs="Times New Roman"/>
          <w:color w:val="000000" w:themeColor="text1"/>
        </w:rPr>
      </w:pPr>
      <w:bookmarkStart w:id="194" w:name="_Toc82445567"/>
      <w:bookmarkStart w:id="195" w:name="_Toc87797131"/>
      <w:r w:rsidRPr="003D2D46">
        <w:rPr>
          <w:rFonts w:cs="Times New Roman"/>
          <w:color w:val="000000" w:themeColor="text1"/>
        </w:rPr>
        <w:t>4.5.2.1 Total Exemptions</w:t>
      </w:r>
      <w:bookmarkEnd w:id="194"/>
      <w:bookmarkEnd w:id="195"/>
    </w:p>
    <w:p w14:paraId="326BB0C1" w14:textId="5D77F77C" w:rsidR="00EA09C6" w:rsidRPr="003D2D46" w:rsidRDefault="00EA09C6" w:rsidP="00AC2C5D">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observed association between higher median income and total vaccination exemptions in this study is inconsistent with reports by Quinn et al. from a study of public attitudes towards vaccination exemptions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{"citationItems":[{"id":"ITEM-1","itemData":{"DOI":"10.1080/21645515.2019.1646578","ISSN":"2164554X","PMID":"31403354","abstract":"Today, the United States and countries throughout the world are experiencing measles outbreaks that have sickened thousands of children. From the Disneyland outbreak in 2014 to today, some states have responded with changes in laws on vaccine requirements and exemptions. In this article, we examine the history of vaccine laws, and using our 2015 survey data, explore to what extent the news coverage of the Disneyland outbreak altered parents’ attitudes toward required vaccination and non-medical exemptions. We explore those results in the context of today’s increasing polarized and politicalized battle over vaccine laws, and consider how health care providers and policy makers can work to improve public attitudes about vaccines.","author":[{"dropping-particle":"","family":"Quinn","given":"Sandra Crouse","non-dropping-particle":"","parse-names":false,"suffix":""},{"dropping-particle":"","family":"Jamison","given":"A. M.","non-dropping-particle":"","parse-names":false,"suffix":""},{"dropping-particle":"","family":"Freimuth","given":"V. S.","non-dropping-particle":"","parse-names":false,"suffix":""}],"container-title":"Human Vaccines and Immunotherapeutics","id":"ITEM-1","issue":"5","issued":{"date-parts":[["2020"]]},"page":"1050-1054","publisher":"Taylor &amp; Francis","title":"Measles outbreaks and public attitudes towards vaccine exemptions: some cautions and strategies for addressing vaccine hesitancy","type":"article-journal","volume":"16"},"uris":["http://www.mendeley.com/documents/?uuid=ba29d368-6de6-458d-8ac3-3789c34b77f2"]}],"mendeley":{"formattedCitation":"(Quinn, Jamison &amp; Freimuth, 2020)","plainTextFormattedCitation":"(Quinn, Jamison &amp; Freimuth, 2020)","previouslyFormattedCitation":"(Quinn, Jamison &amp; Freimuth,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(Quinn, Jamison &amp; Freimuth,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authors reported that adults with an annual income greater than $40,000 favored the idea of required vaccination and had less favorable attitudes towards exemptions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{"citationItems":[{"id":"ITEM-1","itemData":{"DOI":"10.1080/21645515.2019.1646578","ISSN":"2164554X","PMID":"31403354","abstract":"Today, the United States and countries throughout the world are experiencing measles outbreaks that have sickened thousands of children. From the Disneyland outbreak in 2014 to today, some states have responded with changes in laws on vaccine requirements and exemptions. In this article, we examine the history of vaccine laws, and using our 2015 survey data, explore to what extent the news coverage of the Disneyland outbreak altered parents’ attitudes toward required vaccination and non-medical exemptions. We explore those results in the context of today’s increasing polarized and politicalized battle over vaccine laws, and consider how health care providers and policy makers can work to improve public attitudes about vaccines.","author":[{"dropping-particle":"","family":"Quinn","given":"Sandra Crouse","non-dropping-particle":"","parse-names":false,"suffix":""},{"dropping-particle":"","family":"Jamison","given":"A. M.","non-dropping-particle":"","parse-names":false,"suffix":""},{"dropping-particle":"","family":"Freimuth","given":"V. S.","non-dropping-particle":"","parse-names":false,"suffix":""}],"container-title":"Human Vaccines and Immunotherapeutics","id":"ITEM-1","issue":"5","issued":{"date-parts":[["2020"]]},"page":"1050-1054","publisher":"Taylor &amp; Francis","title":"Measles outbreaks and public attitudes towards vaccine exemptions: some cautions and strategies for addressing vaccine hesitancy","type":"article-journal","volume":"16"},"uris":["http://www.mendeley.com/documents/?uuid=ba29d368-6de6-458d-8ac3-3789c34b77f2"]}],"mendeley":{"formattedCitation":"(Quinn, Jamison &amp; Freimuth, 2020)","plainTextFormattedCitation":"(Quinn, Jamison &amp; Freimuth, 2020)","previouslyFormattedCitation":"(Quinn, Jamison &amp; Freimuth,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(Quinn, Jamison &amp; Freimuth,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However, since Quinn et al.’s study reported individual-level attitudes towards vaccination, direct comparisons cannot be made with the findings of this county-level study and should be interpreted with caution.</w:t>
      </w:r>
    </w:p>
    <w:p w14:paraId="6868A9BD" w14:textId="77777777" w:rsidR="00EA09C6" w:rsidRPr="003D2D46" w:rsidRDefault="00EA09C6" w:rsidP="00580A15">
      <w:pPr>
        <w:spacing w:line="480" w:lineRule="auto"/>
        <w:rPr>
          <w:rFonts w:ascii="Times New Roman" w:hAnsi="Times New Roman" w:cs="Times New Roman"/>
          <w:color w:val="000000" w:themeColor="text1"/>
        </w:rPr>
      </w:pPr>
    </w:p>
    <w:p w14:paraId="12449865" w14:textId="205F48B0"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finding that higher percentage of Hispanic population was a predictor of higher risk of total exemptions in this study contrasts reports from an Arizona study which reported </w:t>
      </w:r>
      <w:r w:rsidRPr="003D2D46">
        <w:rPr>
          <w:rFonts w:ascii="Times New Roman" w:hAnsi="Times New Roman" w:cs="Times New Roman"/>
          <w:color w:val="000000" w:themeColor="text1"/>
        </w:rPr>
        <w:lastRenderedPageBreak/>
        <w:t xml:space="preserve">that Hispanic ethnicity was associated with higher vaccination acceptance and coverage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{"citationItems":[{"id":"ITEM-1","itemData":{"DOI":"10.1016/j.vaccine.2012.11.092","ISSN":"0264410X","PMID":"23246263","abstract":"Objectives: The present study was designed to characterize Arizona schools with high rates of permanent PBE among kindergartners, and to determine the degree to which they aggregate across the state. Methods: Data for permanent personal belief exemptions (PBE) were accessed through the 2010-2011 kindergarten Immunization Data Report (IDR) from the Arizona Department of Health Services (AZDHS), and were linked to the 2009-2010 data from the National Center of Education Statistics (NCES). Incidence rate ratios (IRR) were calculated using negative binomial regression, and hotspots were identified using Getis-Ord Gi*. Results: Schools with highest proportion of white students compared to the lowest had the highest exemption rates (IRR = 14.11; 95% confidence interval [CI], 9.47-21.03); furthermore charter schools and those with low prevalence of free and reduced lunches had significantly higher rates of PBE. Statewide analyses of PBE identified higher rates of permanent PBE in northern vs. southern Arizona, while a more focused examination of the central Arizona region demonstrated a pattern of increased PBE from west to east. Conclusion: In Arizona, the profile of a high PBE school is that of a charter school attended by predominantly white, higher-income students. The local and statewide hotspots serve as a challenge that requires a multi-faceted approach that calls upon all healthcare professionals. It is important that both local and statewide pockets be targeted by local and state officials either to improve vaccination uptake or to employ careful monitoring to identify outbreaks at their onset. © 2012 Elsevier Ltd.","author":[{"dropping-particle":"","family":"Birnbaum","given":"Michael S.","non-dropping-particle":"","parse-names":false,"suffix":""},{"dropping-particle":"","family":"Jacobs","given":"Elizabeth T.","non-dropping-particle":"","parse-names":false,"suffix":""},{"dropping-particle":"","family":"Ralston-King","given":"Jennifer","non-dropping-particle":"","parse-names":false,"suffix":""},{"dropping-particle":"","family":"Ernst","given":"Kacey C.","non-dropping-particle":"","parse-names":false,"suffix":""}],"container-title":"Vaccine","id":"ITEM-1","issue":"5","issued":{"date-parts":[["2013"]]},"page":"750-756","publisher":"Elsevier Ltd","title":"Correlates of high vaccination exemption rates among kindergartens","type":"article-journal","volume":"31"},"uris":["http://www.mendeley.com/documents/?uuid=f5863da4-3da7-4acf-8407-fbb4664ffa62"]}],"mendeley":{"formattedCitation":"(Birnbaum et al., 2013)","plainTextFormattedCitation":"(Birnbaum et al., 2013)","previouslyFormattedCitation":"(Birnbaum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(Birnbaum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Although the observed association between density of primary care providers and total vaccination exemptions in this study has not been reported elsewhere,</w:t>
      </w:r>
      <w:r w:rsidRPr="003D2D46" w:rsidDel="00E05CAF">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there have been reports of association between density of primary care providers and non-medical exemptions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{"citationItems":[{"id":"ITEM-1","itemData":{"DOI":"10.2105/AJPH.2016.303177","ISSN":"15410048","PMID":"27196654","abstract":"Objectives. To understand contextual associations between medical care providers- pediatricians, family medical practitioners, and alternative medicine practitioners-and personal belief exemptions (PBEs) from mandated school entry vaccinations. Methods. Data on kindergarten PBEs from the California Department of Public Health were analyzed for 2010, 2011, and 2012, with each school sorted into Primary Care Service Areas (PCSAs). Provider data from federal sources and state records of alternative medicine providers, alongside controls for school factors, were used to estimate panel models. Results. Each 10% increase in the relative proportion of pediatricians in a given PCSA was associated with a statistically significant 11% decrease in PBE prevalence. The same increase in the proportion of family medical practitioners was associated with a 3.5% relative increase. Access to alternative medicine practitioners was also associated with a significantly higher PBE prevalence. Conclusions. Medical provider contexts are associated with PBEs, reflecting a combination of contextual effects and self-selection of families into schools and PCSAs that share their preferences. The geographic distribution of child primary care services may be a key factor in a school's health risk associated with lack of immunization or underimmunization.","author":[{"dropping-particle":"","family":"Walker","given":"Edward T.","non-dropping-particle":"","parse-names":false,"suffix":""},{"dropping-particle":"","family":"Rea","given":"Christopher M.","non-dropping-particle":"","parse-names":false,"suffix":""}],"container-title":"American Journal of Public Health","id":"ITEM-1","issue":"7","issued":{"date-parts":[["2016"]]},"page":"1336-1341","title":"Pediatric care provider density and personal belief exemptions from vaccine requirements in California kindergartens","type":"article-journal","volume":"106"},"uris":["http://www.mendeley.com/documents/?uuid=40ac6ae3-bbc9-4173-aeae-a9ad06eda55d"]}],"mendeley":{"formattedCitation":"(Walker &amp; Rea, 2016)","plainTextFormattedCitation":"(Walker &amp; Rea, 2016)","previouslyFormattedCitation":"(Walker &amp; Rea,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(Walker &amp; Rea,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r w:rsidR="002176F6" w:rsidRPr="003D2D46">
        <w:rPr>
          <w:rFonts w:ascii="Times New Roman" w:hAnsi="Times New Roman" w:cs="Times New Roman"/>
          <w:color w:val="000000" w:themeColor="text1"/>
        </w:rPr>
        <w:t xml:space="preserve"> </w:t>
      </w:r>
    </w:p>
    <w:p w14:paraId="6C972145" w14:textId="77777777" w:rsidR="00EA09C6" w:rsidRPr="003D2D46" w:rsidRDefault="00EA09C6" w:rsidP="00580A15">
      <w:pPr>
        <w:spacing w:line="480" w:lineRule="auto"/>
        <w:rPr>
          <w:rFonts w:ascii="Times New Roman" w:hAnsi="Times New Roman" w:cs="Times New Roman"/>
          <w:color w:val="000000" w:themeColor="text1"/>
        </w:rPr>
      </w:pPr>
    </w:p>
    <w:p w14:paraId="7CE45850" w14:textId="77777777" w:rsidR="00EA09C6" w:rsidRPr="003D2D46" w:rsidRDefault="00EA09C6" w:rsidP="00580A15">
      <w:pPr>
        <w:pStyle w:val="Heading511111"/>
        <w:spacing w:line="480" w:lineRule="auto"/>
        <w:rPr>
          <w:rFonts w:cs="Times New Roman"/>
          <w:color w:val="000000" w:themeColor="text1"/>
        </w:rPr>
      </w:pPr>
      <w:bookmarkStart w:id="196" w:name="_Toc82445568"/>
      <w:bookmarkStart w:id="197" w:name="_Toc87797132"/>
      <w:r w:rsidRPr="003D2D46">
        <w:rPr>
          <w:rFonts w:cs="Times New Roman"/>
          <w:color w:val="000000" w:themeColor="text1"/>
        </w:rPr>
        <w:t>4.5.2.2 Non-Medical Exemptions</w:t>
      </w:r>
      <w:bookmarkEnd w:id="196"/>
      <w:bookmarkEnd w:id="197"/>
    </w:p>
    <w:p w14:paraId="5F1CE5D4" w14:textId="3C48BDC5"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association between white race and higher risk of non-medical vaccination exemptions observed in this study is consistent with findings from several other studies that have consistently reported that White race was a predictor of both higher non-medical exemptions and vaccination hesitancy and refusals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{"citationItems":[{"id":"ITEM-1","itemData":{"DOI":"10.1377/hlthaff.2011.0396","ISSN":"02782715","abstract":"The United States has made tremendous progress in using vaccines to prevent serious, often infectious, diseases. But concerns about such issues as vaccines' safety and the increasing complexity of immunization schedules have fostered doubts about the necessity of vaccinations. We investigated parents' confidence in childhood vaccines by reviewing recent survey data. We found that most parents-even those whose children receive all of the recommended vaccines-have questions, concerns, or misperceptions about them. We suggest ways to give parents the information they need and to keep the US national vaccination program a success. © 2011 Project HOPE-The People-to-People Health Foundation, Inc.","author":[{"dropping-particle":"","family":"Kennedy","given":"Allison","non-dropping-particle":"","parse-names":false,"suffix":""},{"dropping-particle":"","family":"LaVail","given":"Katherine","non-dropping-particle":"","parse-names":false,"suffix":""},{"dropping-particle":"","family":"Nowak","given":"Glen","non-dropping-particle":"","parse-names":false,"suffix":""},{"dropping-particle":"","family":"Basket","given":"Michelle","non-dropping-particle":"","parse-names":false,"suffix":""},{"dropping-particle":"","family":"Landry","given":"Sarah","non-dropping-particle":"","parse-names":false,"suffix":""}],"container-title":"Health Affairs","id":"ITEM-1","issue":"6","issued":{"date-parts":[["2011"]]},"page":"1151-1159","title":"Confidence about vaccines in the United States: Understanding parents' perceptions","type":"article-journal","volume":"30"},"uris":["http://www.mendeley.com/documents/?uuid=1ea4867a-aa99-4d56-b5bc-da93fad2eca6"]},{"id":"ITEM-2","itemData":{"DOI":"10.1177/003335490512000306","ISSN":"00333549","PMID":"16134564","abstract":"Objectives. Our objectives were the following: (1) to describe the socio-demographic factors, vaccine beliefs, and behaviors that are associated with parental opposition to compulsory vaccination, and (2) to determine if the availability of a philosophical exemption in a parent's state of residence is associated with parental opposition to compulsory vaccination. Methods. Data from the 2002 HealthStyles survey were analyzed. Chi-square analysis was used to identify significant associations between belief and behavior questions and opposition to compulsory vaccination for school entry. Multivariate logistic regression was conducted using significant variables from the bivariate analysis to identify independent predictors of opposition to compulsory vaccination among surveyed parents. Results. Of respondents with at least one child aged ≤18 years living in the household (n = 1,527), 12% were opposed to compulsory vaccination. Survey results indicate that a parent's belief regarding compulsory vaccination for school entry is significantly associated with beliefs in the safety and utility of vaccines, as well as intention to have the youngest child fully vaccinated. Residence in a state that permits philosophical exemption to vaccination also was significantly associated with a parent's opposition to compulsory vaccination for school entry. Conclusions. Providing basic information to parents regarding vaccines and vaccine-preventable diseases may help reduce opposition to compulsory vaccination by reinforcing the safety and importance of routine childhood vaccinations.","author":[{"dropping-particle":"","family":"Kennedy","given":"Allison M.","non-dropping-particle":"","parse-names":false,"suffix":""},{"dropping-particle":"","family":"Brown","given":"Cedric J.","non-dropping-particle":"","parse-names":false,"suffix":""},{"dropping-particle":"","family":"Gust","given":"Deborah A.","non-dropping-particle":"","parse-names":false,"suffix":""}],"container-title":"Public Health Reports","id":"ITEM-2","issue":"3","issued":{"date-parts":[["2005"]]},"page":"252-258","title":"Vaccine beliefs of parents who oppose compulsory vaccination","type":"article-journal","volume":"120"},"uris":["http://www.mendeley.com/documents/?uuid=ece89805-8573-4159-a6ff-1b6678b812df"]},{"id":"ITEM-3","itemData":{"DOI":"10.1542/peds.2007-0538","ISSN":"00314005","abstract":"OBJECTIVES. The goals were (1) to obtain national estimates of the proportions of parents with indicators of vaccine doubt, (2) to identify factors associated with those parents, compared with parents reporting no vaccine doubt indicators, (3) to identify the specific vaccines that prompted doubt and the reasons why, and (4) to describe the main reasons parents changed their minds about delaying or refusing a vaccine for their child. METHODS. Data were from the National Immunization Survey (2003-2004). Groups included parents who ever got a vaccination for their child although they were not sure it was the best thing to do (\"unsure\"), delayed a vaccination for their child (\"delayed\"), or decided not to have their child get a vaccination (\"refused\"). RESULTS. A total of 3924 interviews were completed. Response rates were 57.9% in 2003 and 65.0% in 2004. Twenty-eight percent of parents responded yes to ever experiencing ≥ 1 of the outcome measures listed above. In separate analyses for each outcome measure, vaccine safety concern was a predictor for unsure, refused, and delayed parents. The largest proportions of unsure and refused parents chose varicella vaccine as the vaccine prompting their concern, whereas delayed parents most often reported \"not a specific vaccine\" as the vaccine prompting their concern. Most parents who delayed vaccines for their child did so for reasons related to their child's illness, unlike the unsure and refused parents. The largest proportion of parents who changed their minds about delaying or not getting a vaccination for their child listed \"information or assurances from health care provider\" as the main reason. CONCLUSIONS. Parents who exhibit doubts about immunizations are not all the same. This research suggests encouraging children's health care providers to solicit questions about vaccines, to establish a trusting relationship, and to provide appropriate educational materials to parents. Copyright © 2008 by the American Academy of Pediatrics. All rights reserved.","author":[{"dropping-particle":"","family":"Gust","given":"Deborah A.","non-dropping-particle":"","parse-names":false,"suffix":""},{"dropping-particle":"","family":"Darling","given":"Natalie","non-dropping-particle":"","parse-names":false,"suffix":""},{"dropping-particle":"","family":"Kennedy","given":"Allison","non-dropping-particle":"","parse-names":false,"suffix":""},{"dropping-particle":"","family":"Schwartz","given":"Ben","non-dropping-particle":"","parse-names":false,"suffix":""}],"container-title":"Pediatrics","id":"ITEM-3","issue":"4","issued":{"date-parts":[["2008","10"]]},"page":"718-725","title":"Parents with doubts about vaccines: Which vaccines and reasons why","type":"article-journal","volume":"122"},"uris":["http://www.mendeley.com/documents/?uuid=a97b9588-a6fb-4392-8710-9517db566c87"]},{"id":"ITEM-4","itemData":{"DOI":"10.2105/AJPH.2015.302926","ISSN":"15410048","PMID":"26562114","abstract":"Objectives. We examined the variability in the percentage of students with personal belief exemptions (PBEs) from mandatory vaccinations in California schools and communities according to income, education, race, and school characteristics. Methods. We used spatial lag models to analyze 2007-2013 PBE data from the California Department of Public Health. The analyses included school-and regional-level models, and separately examined the percentage of students with exemptions in 2013 and the change in percentages over time. Results. The percentage of students with PBEs doubled from 2007 to 2013, from 1.54% to 3.06%. Across all models, higher median household income and higher percentage of White race in the population, but not educational attainment, significantly predicted higher percentages of students with PBEs in 2013. Higher income, White population, and private school type significantly predicted greater increases in exemptions from 2007 to 2013, whereas higher educational attainment was associated with smaller increases. Conclusions. Personal belief exemptions are more common in areas with a higher percentage of White race and higher income.","author":[{"dropping-particle":"","family":"Yang","given":"Y. Tony","non-dropping-particle":"","parse-names":false,"suffix":""},{"dropping-particle":"","family":"Delamater","given":"Paul L.","non-dropping-particle":"","parse-names":false,"suffix":""},{"dropping-particle":"","family":"Leslie","given":"Timothy F.","non-dropping-particle":"","parse-names":false,"suffix":""},{"dropping-particle":"","family":"Mello","given":"Michelle M.","non-dropping-particle":"","parse-names":false,"suffix":""}],"container-title":"American Journal of Public Health","id":"ITEM-4","issue":"1","issued":{"date-parts":[["2016"]]},"page":"172-177","title":"Sociodemographic predictors of vaccination exemptions on the basis of personal belief in California","type":"article-journal","volume":"106"},"uris":["http://www.mendeley.com/documents/?uuid=cabaf351-ae2b-4240-9461-2bce2e4867d4"]},{"id":"ITEM-5","itemData":{"DOI":"10.1371/JOURNAL.PMED.1003049","ISBN":"1111111111","ISSN":"15491676","PMID":"32155142","abstract":"Background As conscientious vaccination exemption (CVE) percentages rise across the United States, so does the risk and occurrence of outbreaks of vaccine-preventable diseases such as measles. In the state of Texas, the median CVE percentage across school systems more than doubled between 2012 and 2018. During this period, the proportion of schools surpassing a CVE percentage of 3% rose from 2% to 6% for public schools, 20% to 26% for private schools, and 17% to 22% for charter schools. The aim of this study was to investigate this phenomenon at a fine scale. Methods and findings Here, we use beta regression models to study the socioeconomic and geographic drivers of CVE trends in Texas. Using annual counts of CVEs at the school system level from the 2012-2013 to the 2017-2018 school year, we identified county-level predictors of median CVE percentage among public, private, and charter schools, the proportion of schools below a high-risk threshold for vaccination coverage, and five-year trends in CVEs. Since the 2012-2013 school year, CVE percentages have increased in 41 out of 46 counties in the top 10 metropolitan areas of Texas. We find that 77.6% of the variation in CVE percentages across metropolitan counties is explained by median income, the proportion of the population that holds a bachelor's degree, the proportion of the population that self-reports as ethnically white, the proportion of the population that is English speaking, and the proportion of the population that is under the age of five years old. Across the 10 top metropolitan areas in Texas, counties vary considerably in the proportion of school systems reporting CVE percentages above 3%. Sixty-six percent of that variation is explained by the proportion of the population that holds a bachelor's degree and the proportion of the population affiliated with a religious congregation. Three of the largest metropolitan areas-Austin, Dallas-Fort Worth, and Houston-are potential vaccination exemption \"hotspots,\" with over 13% of local school systems above this risk threshold. The major limitations of this study are inconsistent school-system-level CVE reporting during the study period and a lack of geographic and socioeconomic data for individual private schools. Conclusions In this study, we have identified high-risk communities that are typically obscured in county-level risk assessments and found that public schools, like private schools, are exhibiting predictable increases in vaccination …","author":[{"dropping-particle":"","family":"Morrison","given":"Maike","non-dropping-particle":"","parse-names":false,"suffix":""},{"dropping-particle":"","family":"Castro","given":"Lauren A.","non-dropping-particle":"","parse-names":false,"suffix":""},{"dropping-particle":"","family":"Meyers","given":"Lauren Ancel","non-dropping-particle":"","parse-names":false,"suffix":""}],"container-title":"PLoS Medicine","id":"ITEM-5","issue":"3","issued":{"date-parts":[["2020"]]},"page":"1-18","title":"Conscientious vaccination exemptions in kindergarten to eighth-grade children across Texas schools from 2012 to 2018: A regression analysis","type":"article-journal","volume":"17"},"uris":["http://www.mendeley.com/documents/?uuid=42550639-be9d-41b1-91b2-8828248589f8"]},{"id":"ITEM-6","itemData":{"DOI":"10.1016/j.vaccine.2013.04.053","ISSN":"0264410X","PMID":"23664998","abstract":"Background: Rates of nonmedical exemptions to kindergarten-entry immunization requirements have increased over the past 2 decades, especially in states that permit philosophical exemptions and/or have easier administrative policies for obtaining nonmedical exemptions. We evaluated trends in school personal belief exemption rates over the period 1994-2009 in California, and associated school and community characteristics. Methods: We used data on personal belief exemptions from 6392 public and private elementary schools from the California Department of Public Health, as well as census tract and school demographic data. Generalized estimating equations were used to model annual mean increases in personal belief exemption rates, and to identify school and community characteristics associated with personal belief exemption rates. Results: Over the study period, the average school personal belief exemption rate increased from 0.6% in 1994 to 2.3% in 2009, an average of 9.2% (95% CI: 8.8-9.6%) per year. The average personal belief exemption rate among private schools over the entire study period was 1.77 (95% CI: 1.55-2.01) times that among public schools. The annual rate of increase was slightly higher among private schools (10.1%, 95% CI: 9.1-11.1%) than among public schools (8.8%, 95% CI: 8.4-9.2%). Schools located within census tracts classified as rural had 1.66 (95% CI: 1.26-2.08) times higher personal belief exemption rates than schools located within urban census tracts. Exemption rates were also associated with race, population density, education, and income. Conclusions: This study confirms concerns about increasing rates of nonmedical exemptions to kindergarten vaccine requirements within the state of California, using data collected over a 16-year period. © 2013 Elsevier Ltd.","author":[{"dropping-particle":"","family":"Richards","given":"Jennifer L.","non-dropping-particle":"","parse-names":false,"suffix":""},{"dropping-particle":"","family":"Wagenaar","given":"Bradley H.","non-dropping-particle":"","parse-names":false,"suffix":""},{"dropping-particle":"","family":"Otterloo","given":"Joshua","non-dropping-particle":"Van","parse-names":false,"suffix":""},{"dropping-particle":"","family":"Gondalia","given":"Rahul","non-dropping-particle":"","parse-names":false,"suffix":""},{"dropping-particle":"","family":"Atwell","given":"Jessica E.","non-dropping-particle":"","parse-names":false,"suffix":""},{"dropping-particle":"","family":"Kleinbaum","given":"David G.","non-dropping-particle":"","parse-names":false,"suffix":""},{"dropping-particle":"","family":"Salmon","given":"Daniel A.","non-dropping-particle":"","parse-names":false,"suffix":""},{"dropping-particle":"","family":"Omer","given":"Saad B.","non-dropping-particle":"","parse-names":false,"suffix":""}],"container-title":"Vaccine","id":"ITEM-6","issue":"29","issued":{"date-parts":[["2013"]]},"page":"3009-3013","publisher":"Elsevier Ltd","title":"Nonmedical exemptions to immunization requirements in California: A 16-year longitudinal analysis of trends and associated community factors","type":"article-journal","volume":"31"},"uris":["http://www.mendeley.com/documents/?uuid=c29df392-448d-42b3-90b2-28941ac58a0f"]},{"id":"ITEM-7","itemData":{"DOI":"10.5993/AJHB.29.1.7","ISSN":"10873244","PMID":"15604052","abstract":"Objectives: To better understand differences among parents in their attitudes, beliefs, and behaviors regarding childhood immunizations and health-related issues. Methods: Forty-four survey variables assessing attitudes and beliefs about immunizations and health were analyzed. The K-means clusters technique was used to identify homogeneous groups of parents based upon their responses to the questions. Results: Five clusters were identified: Immunization Advocates (33.0%), Go Along to Get Alongs (26.4%), Health Advocates (24.8%), Fencesitters (13.2%), and Worrieds (2.6%). Conclusions: Although only a small percentage of parents are seriously concerned, other parents who are generally supportive of immunizations for their child are also affected by immunization safety issues.","author":[{"dropping-particle":"","family":"Gust","given":"Deborah","non-dropping-particle":"","parse-names":false,"suffix":""},{"dropping-particle":"","family":"Brown","given":"Cedric","non-dropping-particle":"","parse-names":false,"suffix":""},{"dropping-particle":"","family":"Sheedy","given":"Kristine","non-dropping-particle":"","parse-names":false,"suffix":""},{"dropping-particle":"","family":"Hibbs","given":"Beth","non-dropping-particle":"","parse-names":false,"suffix":""},{"dropping-particle":"","family":"Weaver","given":"Donna","non-dropping-particle":"","parse-names":false,"suffix":""},{"dropping-particle":"","family":"Nowak","given":"Glen","non-dropping-particle":"","parse-names":false,"suffix":""}],"container-title":"American Journal of Health Behavior","id":"ITEM-7","issue":"1","issued":{"date-parts":[["2005"]]},"page":"81-92","publisher":"PNG Publications","title":"Immunization attitudes and beliefs among parents: Beyond a dichotomous perspective","type":"article","volume":"29"},"uris":["http://www.mendeley.com/documents/?uuid=cf3624c8-51da-40a5-8b5f-fa1bf611f7e7"]},{"id":"ITEM-8","itemData":{"DOI":"10.1016/j.vaccine.2012.11.092","ISSN":"0264410X","PMID":"23246263","abstract":"Objectives: The present study was designed to characterize Arizona schools with high rates of permanent PBE among kindergartners, and to determine the degree to which they aggregate across the state. Methods: Data for permanent personal belief exemptions (PBE) were accessed through the 2010-2011 kindergarten Immunization Data Report (IDR) from the Arizona Department of Health Services (AZDHS), and were linked to the 2009-2010 data from the National Center of Education Statistics (NCES). Incidence rate ratios (IRR) were calculated using negative binomial regression, and hotspots were identified using Getis-Ord Gi*. Results: Schools with highest proportion of white students compared to the lowest had the highest exemption rates (IRR = 14.11; 95% confidence interval [CI], 9.47-21.03); furthermore charter schools and those with low prevalence of free and reduced lunches had significantly higher rates of PBE. Statewide analyses of PBE identified higher rates of permanent PBE in northern vs. southern Arizona, while a more focused examination of the central Arizona region demonstrated a pattern of increased PBE from west to east. Conclusion: In Arizona, the profile of a high PBE school is that of a charter school attended by predominantly white, higher-income students. The local and statewide hotspots serve as a challenge that requires a multi-faceted approach that calls upon all healthcare professionals. It is important that both local and statewide pockets be targeted by local and state officials either to improve vaccination uptake or to employ careful monitoring to identify outbreaks at their onset. © 2012 Elsevier Ltd.","author":[{"dropping-particle":"","family":"Birnbaum","given":"Michael S.","non-dropping-particle":"","parse-names":false,"suffix":""},{"dropping-particle":"","family":"Jacobs","given":"Elizabeth T.","non-dropping-particle":"","parse-names":false,"suffix":""},{"dropping-particle":"","family":"Ralston-King","given":"Jennifer","non-dropping-particle":"","parse-names":false,"suffix":""},{"dropping-particle":"","family":"Ernst","given":"Kacey C.","non-dropping-particle":"","parse-names":false,"suffix":""}],"container-title":"Vaccine","id":"ITEM-8","issue":"5","issued":{"date-parts":[["2013"]]},"page":"750-756","publisher":"Elsevier Ltd","title":"Correlates of high vaccination exemption rates among kindergartens","type":"article-journal","volume":"31"},"uris":["http://www.mendeley.com/documents/?uuid=f5863da4-3da7-4acf-8407-fbb4664ffa62"]}],"mendeley":{"formattedCitation":"(Gust et al., 2005, 2008; Kennedy, Brown &amp; Gust, 2005; Kennedy et al., 2011; Birnbaum et al., 2013; Richards et al., 2013; Yang et al., 2016; Morrison, Castro &amp; Meyers, 2020)","plainTextFormattedCitation":"(Gust et al., 2005, 2008; Kennedy, Brown &amp; Gust, 2005; Kennedy et al., 2011; Birnbaum et al., 2013; Richards et al., 2013; Yang et al., 2016; Morrison, Castro &amp; Meyers, 2020)","previouslyFormattedCitation":"(Gust et al., 2005, 2008; Kennedy, Brown &amp; Gust, 2005; Kennedy et al., 2011; Birnbaum et al., 2013; Richards et al., 2013; Yang et al., 2016; Morrison, Castro &amp; Meyers,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(Gust et al., 2005, 2008; Kennedy, Brown &amp; Gust, 2005; Kennedy et al., 2011; Birnbaum et al., 2013; Richards et al., 2013; Yang et al., 2016; Morrison, Castro &amp; Meyers,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Yang et al. (2016) explored the relationship between sociodemographic factors and philosophical exemptions in California and reported that personal belief exemptions were higher in areas with higher percentages of white populations </w:t>
      </w:r>
      <w:r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{"citationItems":[{"id":"ITEM-1","itemData":{"DOI":"10.2105/AJPH.2015.302926","ISSN":"15410048","PMID":"26562114","abstract":"Objectives. We examined the variability in the percentage of students with personal belief exemptions (PBEs) from mandatory vaccinations in California schools and communities according to income, education, race, and school characteristics. Methods. We used spatial lag models to analyze 2007-2013 PBE data from the California Department of Public Health. The analyses included school-and regional-level models, and separately examined the percentage of students with exemptions in 2013 and the change in percentages over time. Results. The percentage of students with PBEs doubled from 2007 to 2013, from 1.54% to 3.06%. Across all models, higher median household income and higher percentage of White race in the population, but not educational attainment, significantly predicted higher percentages of students with PBEs in 2013. Higher income, White population, and private school type significantly predicted greater increases in exemptions from 2007 to 2013, whereas higher educational attainment was associated with smaller increases. Conclusions. Personal belief exemptions are more common in areas with a higher percentage of White race and higher income.","author":[{"dropping-particle":"","family":"Yang","given":"Y. Tony","non-dropping-particle":"","parse-names":false,"suffix":""},{"dropping-particle":"","family":"Delamater","given":"Paul L.","non-dropping-particle":"","parse-names":false,"suffix":""},{"dropping-particle":"","family":"Leslie","given":"Timothy F.","non-dropping-particle":"","parse-names":false,"suffix":""},{"dropping-particle":"","family":"Mello","given":"Michelle M.","non-dropping-particle":"","parse-names":false,"suffix":""}],"container-title":"American Journal of Public Health","id":"ITEM-1","issue":"1","issued":{"date-parts":[["2016"]]},"page":"172-177","title":"Sociodemographic predictors of vaccination exemptions on the basis of personal belief in California","type":"article-journal","volume":"106"},"uris":["http://www.mendeley.com/documents/?uuid=cabaf351-ae2b-4240-9461-2bce2e4867d4"]}],"mendeley":{"formattedCitation":"(Yang et al., 2016)","plainTextFormattedCitation":"(Yang et al., 2016)","previouslyFormattedCitation":"(Yang et al., 2016)"},"properties":{"noteIndex":0},"schema":"https://github.com/citation-style-language/schema/raw/master/csl-citation.json"}</w:instrText>
      </w:r>
      <w:r w:rsidRPr="003D2D46">
        <w:rPr>
          <w:rFonts w:ascii="Times New Roman" w:eastAsia="Calibri" w:hAnsi="Times New Roman" w:cs="Times New Roman"/>
          <w:color w:val="000000" w:themeColor="text1"/>
        </w:rPr>
        <w:fldChar w:fldCharType="separate"/>
      </w:r>
      <w:r w:rsidR="001636D5" w:rsidRPr="003D2D46">
        <w:rPr>
          <w:rFonts w:ascii="Times New Roman" w:eastAsia="Calibri" w:hAnsi="Times New Roman" w:cs="Times New Roman"/>
          <w:noProof/>
          <w:color w:val="000000" w:themeColor="text1"/>
        </w:rPr>
        <w:t>(Yang et al., 2016)</w:t>
      </w:r>
      <w:r w:rsidRPr="003D2D46">
        <w:rPr>
          <w:rFonts w:ascii="Times New Roman" w:eastAsia="Calibri" w:hAnsi="Times New Roman" w:cs="Times New Roman"/>
          <w:color w:val="000000" w:themeColor="text1"/>
        </w:rPr>
        <w:fldChar w:fldCharType="end"/>
      </w:r>
      <w:r w:rsidRPr="003D2D46">
        <w:rPr>
          <w:rFonts w:ascii="Times New Roman" w:eastAsia="Calibri" w:hAnsi="Times New Roman" w:cs="Times New Roman"/>
          <w:color w:val="000000" w:themeColor="text1"/>
        </w:rPr>
        <w:t>.</w:t>
      </w:r>
      <w:r w:rsidRPr="003D2D46">
        <w:rPr>
          <w:rFonts w:ascii="Times New Roman" w:hAnsi="Times New Roman" w:cs="Times New Roman"/>
          <w:color w:val="000000" w:themeColor="text1"/>
        </w:rPr>
        <w:t xml:space="preserve"> Similarly, a study of Arizona school systems reported that schools with higher proportions of white students had the highest philosophical/personal belief vaccination exemptions (RR=14.11)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{"citationItems":[{"id":"ITEM-1","itemData":{"DOI":"10.1016/j.vaccine.2012.11.092","ISSN":"0264410X","PMID":"23246263","abstract":"Objectives: The present study was designed to characterize Arizona schools with high rates of permanent PBE among kindergartners, and to determine the degree to which they aggregate across the state. Methods: Data for permanent personal belief exemptions (PBE) were accessed through the 2010-2011 kindergarten Immunization Data Report (IDR) from the Arizona Department of Health Services (AZDHS), and were linked to the 2009-2010 data from the National Center of Education Statistics (NCES). Incidence rate ratios (IRR) were calculated using negative binomial regression, and hotspots were identified using Getis-Ord Gi*. Results: Schools with highest proportion of white students compared to the lowest had the highest exemption rates (IRR = 14.11; 95% confidence interval [CI], 9.47-21.03); furthermore charter schools and those with low prevalence of free and reduced lunches had significantly higher rates of PBE. Statewide analyses of PBE identified higher rates of permanent PBE in northern vs. southern Arizona, while a more focused examination of the central Arizona region demonstrated a pattern of increased PBE from west to east. Conclusion: In Arizona, the profile of a high PBE school is that of a charter school attended by predominantly white, higher-income students. The local and statewide hotspots serve as a challenge that requires a multi-faceted approach that calls upon all healthcare professionals. It is important that both local and statewide pockets be targeted by local and state officials either to improve vaccination uptake or to employ careful monitoring to identify outbreaks at their onset. © 2012 Elsevier Ltd.","author":[{"dropping-particle":"","family":"Birnbaum","given":"Michael S.","non-dropping-particle":"","parse-names":false,"suffix":""},{"dropping-particle":"","family":"Jacobs","given":"Elizabeth T.","non-dropping-particle":"","parse-names":false,"suffix":""},{"dropping-particle":"","family":"Ralston-King","given":"Jennifer","non-dropping-particle":"","parse-names":false,"suffix":""},{"dropping-particle":"","family":"Ernst","given":"Kacey C.","non-dropping-particle":"","parse-names":false,"suffix":""}],"container-title":"Vaccine","id":"ITEM-1","issue":"5","issued":{"date-parts":[["2013"]]},"page":"750-756","publisher":"Elsevier Ltd","title":"Correlates of high vaccination exemption rates among kindergartens","type":"article-journal","volume":"31"},"uris":["http://www.mendeley.com/documents/?uuid=f5863da4-3da7-4acf-8407-fbb4664ffa62"]}],"mendeley":{"formattedCitation":"(Birnbaum et al., 2013)","plainTextFormattedCitation":"(Birnbaum et al., 2013)","previouslyFormattedCitation":"(Birnbaum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(Birnbaum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2A9DE17" w14:textId="77777777" w:rsidR="00EA09C6" w:rsidRPr="003D2D46" w:rsidRDefault="00EA09C6" w:rsidP="00580A15">
      <w:pPr>
        <w:spacing w:line="480" w:lineRule="auto"/>
        <w:rPr>
          <w:rFonts w:ascii="Times New Roman" w:hAnsi="Times New Roman" w:cs="Times New Roman"/>
          <w:color w:val="000000" w:themeColor="text1"/>
        </w:rPr>
      </w:pPr>
    </w:p>
    <w:p w14:paraId="79B9FDA8" w14:textId="562FCEA8"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Counties with higher percentages of people living in rural areas had lower risk of non-medical vaccination exemptions, a finding that is consistent with those from a study in </w:t>
      </w:r>
      <w:r w:rsidRPr="003D2D46">
        <w:rPr>
          <w:rFonts w:ascii="Times New Roman" w:hAnsi="Times New Roman" w:cs="Times New Roman"/>
          <w:color w:val="000000" w:themeColor="text1"/>
        </w:rPr>
        <w:lastRenderedPageBreak/>
        <w:t xml:space="preserve">California which reported lower exemption rates in rural areas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{"citationItems":[{"id":"ITEM-1","itemData":{"DOI":"10.2105/AJPH.2015.302926","ISSN":"15410048","PMID":"26562114","abstract":"Objectives. We examined the variability in the percentage of students with personal belief exemptions (PBEs) from mandatory vaccinations in California schools and communities according to income, education, race, and school characteristics. Methods. We used spatial lag models to analyze 2007-2013 PBE data from the California Department of Public Health. The analyses included school-and regional-level models, and separately examined the percentage of students with exemptions in 2013 and the change in percentages over time. Results. The percentage of students with PBEs doubled from 2007 to 2013, from 1.54% to 3.06%. Across all models, higher median household income and higher percentage of White race in the population, but not educational attainment, significantly predicted higher percentages of students with PBEs in 2013. Higher income, White population, and private school type significantly predicted greater increases in exemptions from 2007 to 2013, whereas higher educational attainment was associated with smaller increases. Conclusions. Personal belief exemptions are more common in areas with a higher percentage of White race and higher income.","author":[{"dropping-particle":"","family":"Yang","given":"Y. Tony","non-dropping-particle":"","parse-names":false,"suffix":""},{"dropping-particle":"","family":"Delamater","given":"Paul L.","non-dropping-particle":"","parse-names":false,"suffix":""},{"dropping-particle":"","family":"Leslie","given":"Timothy F.","non-dropping-particle":"","parse-names":false,"suffix":""},{"dropping-particle":"","family":"Mello","given":"Michelle M.","non-dropping-particle":"","parse-names":false,"suffix":""}],"container-title":"American Journal of Public Health","id":"ITEM-1","issue":"1","issued":{"date-parts":[["2016"]]},"page":"172-177","title":"Sociodemographic predictors of vaccination exemptions on the basis of personal belief in California","type":"article-journal","volume":"106"},"uris":["http://www.mendeley.com/documents/?uuid=cabaf351-ae2b-4240-9461-2bce2e4867d4"]}],"mendeley":{"formattedCitation":"(Yang et al., 2016)","plainTextFormattedCitation":"(Yang et al., 2016)","previouslyFormattedCitation":"(Yang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(Yang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However, a longitudinal analysis of community factors associated with non-medical exemptions in California reported that schools in rural areas had higher non-medical exemption rates than those in urban areas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{"citationItems":[{"id":"ITEM-1","itemData":{"DOI":"10.1016/j.vaccine.2013.04.053","ISSN":"0264410X","PMID":"23664998","abstract":"Background: Rates of nonmedical exemptions to kindergarten-entry immunization requirements have increased over the past 2 decades, especially in states that permit philosophical exemptions and/or have easier administrative policies for obtaining nonmedical exemptions. We evaluated trends in school personal belief exemption rates over the period 1994-2009 in California, and associated school and community characteristics. Methods: We used data on personal belief exemptions from 6392 public and private elementary schools from the California Department of Public Health, as well as census tract and school demographic data. Generalized estimating equations were used to model annual mean increases in personal belief exemption rates, and to identify school and community characteristics associated with personal belief exemption rates. Results: Over the study period, the average school personal belief exemption rate increased from 0.6% in 1994 to 2.3% in 2009, an average of 9.2% (95% CI: 8.8-9.6%) per year. The average personal belief exemption rate among private schools over the entire study period was 1.77 (95% CI: 1.55-2.01) times that among public schools. The annual rate of increase was slightly higher among private schools (10.1%, 95% CI: 9.1-11.1%) than among public schools (8.8%, 95% CI: 8.4-9.2%). Schools located within census tracts classified as rural had 1.66 (95% CI: 1.26-2.08) times higher personal belief exemption rates than schools located within urban census tracts. Exemption rates were also associated with race, population density, education, and income. Conclusions: This study confirms concerns about increasing rates of nonmedical exemptions to kindergarten vaccine requirements within the state of California, using data collected over a 16-year period. © 2013 Elsevier Ltd.","author":[{"dropping-particle":"","family":"Richards","given":"Jennifer L.","non-dropping-particle":"","parse-names":false,"suffix":""},{"dropping-particle":"","family":"Wagenaar","given":"Bradley H.","non-dropping-particle":"","parse-names":false,"suffix":""},{"dropping-particle":"","family":"Otterloo","given":"Joshua","non-dropping-particle":"Van","parse-names":false,"suffix":""},{"dropping-particle":"","family":"Gondalia","given":"Rahul","non-dropping-particle":"","parse-names":false,"suffix":""},{"dropping-particle":"","family":"Atwell","given":"Jessica E.","non-dropping-particle":"","parse-names":false,"suffix":""},{"dropping-particle":"","family":"Kleinbaum","given":"David G.","non-dropping-particle":"","parse-names":false,"suffix":""},{"dropping-particle":"","family":"Salmon","given":"Daniel A.","non-dropping-particle":"","parse-names":false,"suffix":""},{"dropping-particle":"","family":"Omer","given":"Saad B.","non-dropping-particle":"","parse-names":false,"suffix":""}],"container-title":"Vaccine","id":"ITEM-1","issue":"29","issued":{"date-parts":[["2013"]]},"page":"3009-3013","publisher":"Elsevier Ltd","title":"Nonmedical exemptions to immunization requirements in California: A 16-year longitudinal analysis of trends and associated community factors","type":"article-journal","volume":"31"},"uris":["http://www.mendeley.com/documents/?uuid=c29df392-448d-42b3-90b2-28941ac58a0f"]}],"mendeley":{"formattedCitation":"(Richards et al., 2013)","plainTextFormattedCitation":"(Richards et al., 2013)","previouslyFormattedCitation":"(Richards et al.,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(Richards et al.,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Since that study investigated exemptions at the census tract level, the differences in findings at different geographic levels implies that future investigations should consider assessing several geographic scales including counties, census tracts or school districts.</w:t>
      </w:r>
    </w:p>
    <w:p w14:paraId="6F45060C" w14:textId="77777777" w:rsidR="00EA09C6" w:rsidRPr="003D2D46" w:rsidRDefault="00EA09C6" w:rsidP="00580A15">
      <w:pPr>
        <w:spacing w:line="480" w:lineRule="auto"/>
        <w:rPr>
          <w:rFonts w:ascii="Times New Roman" w:hAnsi="Times New Roman" w:cs="Times New Roman"/>
          <w:color w:val="000000" w:themeColor="text1"/>
        </w:rPr>
      </w:pPr>
    </w:p>
    <w:p w14:paraId="4605E97A" w14:textId="02745498"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finding that higher percentage of the population having a college degree were associated with lower risk of non-medical vaccination exemptions is consistent with findings from previous studies. For example, Yang et al. reported that higher education level was associated with a lower percentage of exemptions at school and regional geographic levels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{"citationItems":[{"id":"ITEM-1","itemData":{"DOI":"10.2105/AJPH.2015.302926","ISSN":"15410048","PMID":"26562114","abstract":"Objectives. We examined the variability in the percentage of students with personal belief exemptions (PBEs) from mandatory vaccinations in California schools and communities according to income, education, race, and school characteristics. Methods. We used spatial lag models to analyze 2007-2013 PBE data from the California Department of Public Health. The analyses included school-and regional-level models, and separately examined the percentage of students with exemptions in 2013 and the change in percentages over time. Results. The percentage of students with PBEs doubled from 2007 to 2013, from 1.54% to 3.06%. Across all models, higher median household income and higher percentage of White race in the population, but not educational attainment, significantly predicted higher percentages of students with PBEs in 2013. Higher income, White population, and private school type significantly predicted greater increases in exemptions from 2007 to 2013, whereas higher educational attainment was associated with smaller increases. Conclusions. Personal belief exemptions are more common in areas with a higher percentage of White race and higher income.","author":[{"dropping-particle":"","family":"Yang","given":"Y. Tony","non-dropping-particle":"","parse-names":false,"suffix":""},{"dropping-particle":"","family":"Delamater","given":"Paul L.","non-dropping-particle":"","parse-names":false,"suffix":""},{"dropping-particle":"","family":"Leslie","given":"Timothy F.","non-dropping-particle":"","parse-names":false,"suffix":""},{"dropping-particle":"","family":"Mello","given":"Michelle M.","non-dropping-particle":"","parse-names":false,"suffix":""}],"container-title":"American Journal of Public Health","id":"ITEM-1","issue":"1","issued":{"date-parts":[["2016"]]},"page":"172-177","title":"Sociodemographic predictors of vaccination exemptions on the basis of personal belief in California","type":"article-journal","volume":"106"},"uris":["http://www.mendeley.com/documents/?uuid=cabaf351-ae2b-4240-9461-2bce2e4867d4"]}],"mendeley":{"formattedCitation":"(Yang et al., 2016)","plainTextFormattedCitation":"(Yang et al., 2016)","previouslyFormattedCitation":"(Yang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(Yang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current study also identified that counties with higher percentage of the population having high school education and less than high school education were associated with lower risk of non-medical vaccination exemptions. These findings highlight the need to investigate the nuances of groups with different education levels, as they may have attitudinal factors including variations in degrees of vaccination hesitancy, support of compulsory vaccination policies, and access. For example, a study by Kennedy and co-workers done at the individual level reported that persons with at least some college education were more likely to be opposed to compulsory vaccination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{"citationItems":[{"id":"ITEM-1","itemData":{"DOI":"10.1177/003335490512000306","ISSN":"00333549","PMID":"16134564","abstract":"Objectives. Our objectives were the following: (1) to describe the socio-demographic factors, vaccine beliefs, and behaviors that are associated with parental opposition to compulsory vaccination, and (2) to determine if the availability of a philosophical exemption in a parent's state of residence is associated with parental opposition to compulsory vaccination. Methods. Data from the 2002 HealthStyles survey were analyzed. Chi-square analysis was used to identify significant associations between belief and behavior questions and opposition to compulsory vaccination for school entry. Multivariate logistic regression was conducted using significant variables from the bivariate analysis to identify independent predictors of opposition to compulsory vaccination among surveyed parents. Results. Of respondents with at least one child aged ≤18 years living in the household (n = 1,527), 12% were opposed to compulsory vaccination. Survey results indicate that a parent's belief regarding compulsory vaccination for school entry is significantly associated with beliefs in the safety and utility of vaccines, as well as intention to have the youngest child fully vaccinated. Residence in a state that permits philosophical exemption to vaccination also was significantly associated with a parent's opposition to compulsory vaccination for school entry. Conclusions. Providing basic information to parents regarding vaccines and vaccine-preventable diseases may help reduce opposition to compulsory vaccination by reinforcing the safety and importance of routine childhood vaccinations.","author":[{"dropping-particle":"","family":"Kennedy","given":"Allison M.","non-dropping-particle":"","parse-names":false,"suffix":""},{"dropping-particle":"","family":"Brown","given":"Cedric J.","non-dropping-particle":"","parse-names":false,"suffix":""},{"dropping-particle":"","family":"Gust","given":"Deborah A.","non-dropping-particle":"","parse-names":false,"suffix":""}],"container-title":"Public Health Reports","id":"ITEM-1","issue":"3","issued":{"date-parts":[["2005"]]},"page":"252-258","title":"Vaccine beliefs of parents who oppose compulsory vaccination","type":"article-journal","volume":"120"},"uris":["http://www.mendeley.com/documents/?uuid=ece89805-8573-4159-a6ff-1b6678b812df"]}],"mendeley":{"formattedCitation":"(Kennedy, Brown &amp; Gust, 2005)","plainTextFormattedCitation":"(Kennedy, Brown &amp; Gust, 2005)","previouslyFormattedCitation":"(Kennedy, Brown &amp; Gust, 2005)"},"properties":{"noteIndex":0},"schema":"https://github.com/citation-style-language/schema/raw/master/csl-citation.json"}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(Kennedy, Brown &amp; Gust, 2005)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While Kennedy et al.’s study focused on individual attitudes towards vaccination, it is interesting to see the contrast </w:t>
      </w:r>
      <w:r w:rsidRPr="003D2D46">
        <w:rPr>
          <w:rFonts w:ascii="Times New Roman" w:hAnsi="Times New Roman" w:cs="Times New Roman"/>
          <w:color w:val="000000" w:themeColor="text1"/>
        </w:rPr>
        <w:lastRenderedPageBreak/>
        <w:t xml:space="preserve">between the individual-level findings of their study compared to the county-level associations identified here. </w:t>
      </w:r>
    </w:p>
    <w:p w14:paraId="6BDAD58B" w14:textId="77777777" w:rsidR="00EA09C6" w:rsidRPr="003D2D46" w:rsidRDefault="00EA09C6" w:rsidP="00580A15">
      <w:pPr>
        <w:spacing w:line="480" w:lineRule="auto"/>
        <w:rPr>
          <w:rFonts w:ascii="Times New Roman" w:hAnsi="Times New Roman" w:cs="Times New Roman"/>
          <w:color w:val="000000" w:themeColor="text1"/>
        </w:rPr>
      </w:pPr>
    </w:p>
    <w:p w14:paraId="453F28BC" w14:textId="70C8CB4C" w:rsidR="00EA09C6" w:rsidRPr="003D2D4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Although this study did not identify higher median income as a predictor of higher non-medical vaccination exemptions, other studies have reported associations between the two. For instance, McNutt et al. reported that affluence was associated with higher rates of non-medical exemptions in California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{"citationItems":[{"id":"ITEM-1","itemData":{"DOI":"10.1016/j.vaccine.2015.11.063","ISSN":"18732518","PMID":"26679403","abstract":"Background: Non-medical vaccine exemption rates in California private schools far exceed those of public schools, but little is known about specific factors which may be associated with high exemption rates in private schools. Methods: The percent of personal-belief exemptions (PBEs) among California public and private kindergartens were computed for 2000-2001 to 2014-2015 academic years. For the 2014-2015 academic year, a random sample of private schools was selected to investigate associations between kindergarten characteristics (tuition amount, religious affiliation) and vaccine profile (non-medical vaccine exemptions, vaccine coverage). Results: The proportion of private kindergartens reporting 5% or more children with PBEs increased from 9% (2000-2001) to 34% (2013-2014), followed by a small decrease in 2014-2015 (31%). Overall, 93.7% (565/605) of kindergartens sampled in 2014-2015 had data available. Very high PBE levels (&gt;20%) were seen among secular and non-Catholic, Christian kindergartens but not Roman Catholic, Jewish or Islamic kindergartens. However, the majority of schools at all tuition levels had fewer than 5% of children with a PBE. Kindergartens with an annual tuition of $10,000 or more were over twice as likely to have 20% or more children with PBEs than kindergartens with a lower tuition (p &lt; .01). Additionally, the conditional admission proportions for kindergartens with tuitions of $10,000 or more were 39% compared to 22% for less expensive kindergartens (p &lt; .01). Only about half of all private kindergartens had 95% coverage of the MMR (49%) and pertussis-containing vaccines (51%). Conclusions: School-entry vaccination requirements are critical to preventing outbreaks of vaccine preventable diseases in the US. Nonmedical exemptions increased between the 2000-2001 and 2014-2015 academic years and appear to be associated with affluence, raising social justice concerns.","author":[{"dropping-particle":"","family":"McNutt","given":"Louise Anne","non-dropping-particle":"","parse-names":false,"suffix":""},{"dropping-particle":"","family":"Desemone","given":"Cristina","non-dropping-particle":"","parse-names":false,"suffix":""},{"dropping-particle":"","family":"DeNicola","given":"Erica","non-dropping-particle":"","parse-names":false,"suffix":""},{"dropping-particle":"","family":"Chebib","given":"Hassan","non-dropping-particle":"El","parse-names":false,"suffix":""},{"dropping-particle":"","family":"Nadeau","given":"Jessica A.","non-dropping-particle":"","parse-names":false,"suffix":""},{"dropping-particle":"","family":"Bednarczyk","given":"Robert A.","non-dropping-particle":"","parse-names":false,"suffix":""},{"dropping-particle":"","family":"Shaw","given":"Jana","non-dropping-particle":"","parse-names":false,"suffix":""}],"container-title":"Vaccine","id":"ITEM-1","issue":"14","issued":{"date-parts":[["2016"]]},"page":"1733-1738","publisher":"Elsevier Ltd","title":"Affluence as a predictor of vaccine refusal and underimmunization in California private kindergartens","type":"article-journal","volume":"34"},"uris":["http://www.mendeley.com/documents/?uuid=8fa6e378-3f57-42a3-9d11-eb020a4fdff7"]}],"mendeley":{"formattedCitation":"(McNutt et al., 2016)","plainTextFormattedCitation":"(McNutt et al., 2016)","previouslyFormattedCitation":"(McNutt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(McNutt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Other studies, including Yang et al.’s analysis of predictors of vaccination exemptions in California, have reported an association between higher median income and higher percentages of students with non-medical exemptions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{"citationItems":[{"id":"ITEM-1","itemData":{"DOI":"10.2105/AJPH.2015.302926","ISSN":"15410048","PMID":"26562114","abstract":"Objectives. We examined the variability in the percentage of students with personal belief exemptions (PBEs) from mandatory vaccinations in California schools and communities according to income, education, race, and school characteristics. Methods. We used spatial lag models to analyze 2007-2013 PBE data from the California Department of Public Health. The analyses included school-and regional-level models, and separately examined the percentage of students with exemptions in 2013 and the change in percentages over time. Results. The percentage of students with PBEs doubled from 2007 to 2013, from 1.54% to 3.06%. Across all models, higher median household income and higher percentage of White race in the population, but not educational attainment, significantly predicted higher percentages of students with PBEs in 2013. Higher income, White population, and private school type significantly predicted greater increases in exemptions from 2007 to 2013, whereas higher educational attainment was associated with smaller increases. Conclusions. Personal belief exemptions are more common in areas with a higher percentage of White race and higher income.","author":[{"dropping-particle":"","family":"Yang","given":"Y. Tony","non-dropping-particle":"","parse-names":false,"suffix":""},{"dropping-particle":"","family":"Delamater","given":"Paul L.","non-dropping-particle":"","parse-names":false,"suffix":""},{"dropping-particle":"","family":"Leslie","given":"Timothy F.","non-dropping-particle":"","parse-names":false,"suffix":""},{"dropping-particle":"","family":"Mello","given":"Michelle M.","non-dropping-particle":"","parse-names":false,"suffix":""}],"container-title":"American Journal of Public Health","id":"ITEM-1","issue":"1","issued":{"date-parts":[["2016"]]},"page":"172-177","title":"Sociodemographic predictors of vaccination exemptions on the basis of personal belief in California","type":"article-journal","volume":"106"},"uris":["http://www.mendeley.com/documents/?uuid=cabaf351-ae2b-4240-9461-2bce2e4867d4"]}],"mendeley":{"formattedCitation":"(Yang et al., 2016)","plainTextFormattedCitation":"(Yang et al., 2016)","previouslyFormattedCitation":"(Yang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(Yang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230A9C39" w14:textId="77777777" w:rsidR="00A66A93" w:rsidRPr="003D2D46" w:rsidRDefault="00A66A93" w:rsidP="00580A15">
      <w:pPr>
        <w:spacing w:line="480" w:lineRule="auto"/>
        <w:rPr>
          <w:rFonts w:ascii="Times New Roman" w:hAnsi="Times New Roman" w:cs="Times New Roman"/>
          <w:color w:val="000000" w:themeColor="text1"/>
        </w:rPr>
      </w:pPr>
    </w:p>
    <w:p w14:paraId="2B3AE8B7" w14:textId="530D7684" w:rsidR="002C20AB" w:rsidRPr="003D2D46" w:rsidRDefault="00EA09C6" w:rsidP="002C20AB">
      <w:pPr>
        <w:spacing w:line="480" w:lineRule="auto"/>
        <w:rPr>
          <w:rFonts w:ascii="Times New Roman" w:hAnsi="Times New Roman" w:cs="Times New Roman"/>
        </w:rPr>
      </w:pPr>
      <w:r w:rsidRPr="003D2D46">
        <w:rPr>
          <w:rFonts w:ascii="Times New Roman" w:hAnsi="Times New Roman" w:cs="Times New Roman"/>
          <w:color w:val="000000" w:themeColor="text1"/>
        </w:rPr>
        <w:t xml:space="preserve">Density of primary care providers was a predictor of higher total vaccination exemptions in this study but was not a significant predictor of non-medical exemptions, which has been reported in other studies. Walker et al.’s study reported that for every 10% increase in density of pediatricians there was an 11% decrease in philosophical/personal belief vaccination exemptions in California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{"citationItems":[{"id":"ITEM-1","itemData":{"DOI":"10.2105/AJPH.2016.303177","ISSN":"15410048","PMID":"27196654","abstract":"Objectives. To understand contextual associations between medical care providers- pediatricians, family medical practitioners, and alternative medicine practitioners-and personal belief exemptions (PBEs) from mandated school entry vaccinations. Methods. Data on kindergarten PBEs from the California Department of Public Health were analyzed for 2010, 2011, and 2012, with each school sorted into Primary Care Service Areas (PCSAs). Provider data from federal sources and state records of alternative medicine providers, alongside controls for school factors, were used to estimate panel models. Results. Each 10% increase in the relative proportion of pediatricians in a given PCSA was associated with a statistically significant 11% decrease in PBE prevalence. The same increase in the proportion of family medical practitioners was associated with a 3.5% relative increase. Access to alternative medicine practitioners was also associated with a significantly higher PBE prevalence. Conclusions. Medical provider contexts are associated with PBEs, reflecting a combination of contextual effects and self-selection of families into schools and PCSAs that share their preferences. The geographic distribution of child primary care services may be a key factor in a school's health risk associated with lack of immunization or underimmunization.","author":[{"dropping-particle":"","family":"Walker","given":"Edward T.","non-dropping-particle":"","parse-names":false,"suffix":""},{"dropping-particle":"","family":"Rea","given":"Christopher M.","non-dropping-particle":"","parse-names":false,"suffix":""}],"container-title":"American Journal of Public Health","id":"ITEM-1","issue":"7","issued":{"date-parts":[["2016"]]},"page":"1336-1341","title":"Pediatric care provider density and personal belief exemptions from vaccine requirements in California kindergartens","type":"article-journal","volume":"106"},"uris":["http://www.mendeley.com/documents/?uuid=40ac6ae3-bbc9-4173-aeae-a9ad06eda55d"]}],"mendeley":{"formattedCitation":"(Walker &amp; Rea, 2016)","plainTextFormattedCitation":"(Walker &amp; Rea, 2016)","previouslyFormattedCitation":"(Walker &amp; Rea,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(Walker &amp; Rea,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However, they also reported that a 10% increase in the proportion of family medicine practitioners was associated with a 3.5% increase in philosophical/personal belief vaccination exemptions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{"citationItems":[{"id":"ITEM-1","itemData":{"DOI":"10.2105/AJPH.2016.303177","ISSN":"15410048","PMID":"27196654","abstract":"Objectives. To understand contextual associations between medical care providers- pediatricians, family medical practitioners, and alternative medicine practitioners-and personal belief exemptions (PBEs) from mandated school entry vaccinations. Methods. Data on kindergarten PBEs from the California Department of Public Health were analyzed for 2010, 2011, and 2012, with each school sorted into Primary Care Service Areas (PCSAs). Provider data from federal sources and state records of alternative medicine providers, alongside controls for school factors, were used to estimate panel models. Results. Each 10% increase in the relative proportion of pediatricians in a given PCSA was associated with a statistically significant 11% decrease in PBE prevalence. The same increase in the proportion of family medical practitioners was associated with a 3.5% relative increase. Access to alternative medicine practitioners was also associated with a significantly higher PBE prevalence. Conclusions. Medical provider contexts are associated with PBEs, reflecting a combination of contextual effects and self-selection of families into schools and PCSAs that share their preferences. The geographic distribution of child primary care services may be a key factor in a school's health risk associated with lack of immunization or underimmunization.","author":[{"dropping-particle":"","family":"Walker","given":"Edward T.","non-dropping-particle":"","parse-names":false,"suffix":""},{"dropping-particle":"","family":"Rea","given":"Christopher M.","non-dropping-particle":"","parse-names":false,"suffix":""}],"container-title":"American Journal of Public Health","id":"ITEM-1","issue":"7","issued":{"date-parts":[["2016"]]},"page":"1336-1341","title":"Pediatric care provider density and personal belief exemptions from vaccine requirements in California kindergartens","type":"article-journal","volume":"106"},"uris":["http://www.mendeley.com/documents/?uuid=40ac6ae3-bbc9-4173-aeae-a9ad06eda55d"]}],"mendeley":{"formattedCitation":"(Walker &amp; Rea, 2016)","plainTextFormattedCitation":"(Walker &amp; Rea, 2016)","previouslyFormattedCitation":"(Walker &amp; Rea,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(Walker &amp; Rea,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Future individual-level studies should take these practitioner type differences into consideration in investigations aimed at improving our understanding of the socioeconomic and demographic predictors of vaccination exemptions. </w:t>
      </w:r>
      <w:r w:rsidR="002C20AB" w:rsidRPr="003D2D46">
        <w:rPr>
          <w:rFonts w:ascii="Times New Roman" w:hAnsi="Times New Roman" w:cs="Times New Roman"/>
        </w:rPr>
        <w:t xml:space="preserve">Finally, the seemingly counterintuitive </w:t>
      </w:r>
      <w:r w:rsidR="00081674" w:rsidRPr="003D2D46">
        <w:rPr>
          <w:rFonts w:ascii="Times New Roman" w:hAnsi="Times New Roman" w:cs="Times New Roman"/>
        </w:rPr>
        <w:t xml:space="preserve">observed associations between </w:t>
      </w:r>
      <w:r w:rsidR="00C71AC3" w:rsidRPr="003D2D46">
        <w:rPr>
          <w:rFonts w:ascii="Times New Roman" w:hAnsi="Times New Roman" w:cs="Times New Roman"/>
        </w:rPr>
        <w:t xml:space="preserve">total/non-medical vaccination </w:t>
      </w:r>
      <w:r w:rsidR="00C71AC3" w:rsidRPr="003D2D46">
        <w:rPr>
          <w:rFonts w:ascii="Times New Roman" w:hAnsi="Times New Roman" w:cs="Times New Roman"/>
        </w:rPr>
        <w:lastRenderedPageBreak/>
        <w:t xml:space="preserve">exemptions and both </w:t>
      </w:r>
      <w:r w:rsidR="002C20AB" w:rsidRPr="003D2D46">
        <w:rPr>
          <w:rFonts w:ascii="Times New Roman" w:hAnsi="Times New Roman" w:cs="Times New Roman"/>
        </w:rPr>
        <w:t xml:space="preserve">high </w:t>
      </w:r>
      <w:r w:rsidR="00C71AC3" w:rsidRPr="003D2D46">
        <w:rPr>
          <w:rFonts w:ascii="Times New Roman" w:hAnsi="Times New Roman" w:cs="Times New Roman"/>
        </w:rPr>
        <w:t xml:space="preserve">levels of </w:t>
      </w:r>
      <w:r w:rsidR="002C20AB" w:rsidRPr="003D2D46">
        <w:rPr>
          <w:rFonts w:ascii="Times New Roman" w:hAnsi="Times New Roman" w:cs="Times New Roman"/>
        </w:rPr>
        <w:t xml:space="preserve">education and high median income demonstrates the complexity of vaccination attitudes and the different streams of influence that impact them. As mentioned </w:t>
      </w:r>
      <w:r w:rsidR="00F21EDD" w:rsidRPr="003D2D46">
        <w:rPr>
          <w:rFonts w:ascii="Times New Roman" w:hAnsi="Times New Roman" w:cs="Times New Roman"/>
        </w:rPr>
        <w:t>earlier</w:t>
      </w:r>
      <w:r w:rsidR="002C20AB" w:rsidRPr="003D2D46">
        <w:rPr>
          <w:rFonts w:ascii="Times New Roman" w:hAnsi="Times New Roman" w:cs="Times New Roman"/>
        </w:rPr>
        <w:t xml:space="preserve">, white race and affluence have been consistently identified as </w:t>
      </w:r>
      <w:r w:rsidR="004A14C7" w:rsidRPr="003D2D46">
        <w:rPr>
          <w:rFonts w:ascii="Times New Roman" w:hAnsi="Times New Roman" w:cs="Times New Roman"/>
        </w:rPr>
        <w:t>predictors</w:t>
      </w:r>
      <w:r w:rsidR="002C20AB" w:rsidRPr="003D2D46">
        <w:rPr>
          <w:rFonts w:ascii="Times New Roman" w:hAnsi="Times New Roman" w:cs="Times New Roman"/>
        </w:rPr>
        <w:t xml:space="preserve"> </w:t>
      </w:r>
      <w:r w:rsidR="000B5FF5" w:rsidRPr="003D2D46">
        <w:rPr>
          <w:rFonts w:ascii="Times New Roman" w:hAnsi="Times New Roman" w:cs="Times New Roman"/>
        </w:rPr>
        <w:t xml:space="preserve">of </w:t>
      </w:r>
      <w:r w:rsidR="002C20AB" w:rsidRPr="003D2D46">
        <w:rPr>
          <w:rFonts w:ascii="Times New Roman" w:hAnsi="Times New Roman" w:cs="Times New Roman"/>
        </w:rPr>
        <w:t xml:space="preserve">vaccination hesitancy and vaccination exemptions. These relationships have been explored further in ethnographic work that has identified privileged and powerful identities in society as those that value individual beliefs over guidance offered by scientific and regulatory or other state entities. For example, a qualitative analysis examining privilege and personal belief exemptions examined issues of choice as they relate to concepts of class, gender, and social responsibility </w:t>
      </w:r>
      <w:r w:rsidR="00937006" w:rsidRPr="003D2D46">
        <w:rPr>
          <w:rFonts w:ascii="Times New Roman" w:hAnsi="Times New Roman" w:cs="Times New Roman"/>
        </w:rPr>
        <w:fldChar w:fldCharType="begin" w:fldLock="1"/>
      </w:r>
      <w:r w:rsidR="00476116" w:rsidRPr="003D2D46">
        <w:rPr>
          <w:rFonts w:ascii="Times New Roman" w:hAnsi="Times New Roman" w:cs="Times New Roman"/>
        </w:rPr>
        <w:instrText>ADDIN CSL_CITATION {"citationItems":[{"id":"ITEM-1","itemData":{"DOI":"10.1177/0891243214532711","ISSN":"08912432","abstract":"Neoliberal cultural frames of individual choice inform mothers’ accounts of why they refuse state-mandated vaccines for their children. Using interviews with 25 mothers who reject recommended vaccines, this article examines the gendered discourse of vaccine refusal. First, I show how mothers, seeing themselves as experts on their children, weigh perceived risks of infection against those of vaccines and dismiss claims that vaccines are necessary. Second, I explicate how mothers see their own intensive mothering practices—particularly around feeding, nutrition, and natural living—as an alternate and superior means of supporting their children’s immunity. Third, I show how they attempt to control risk through management of social exposure, as they envision disease risk to lie in “foreign” bodies outside their networks, and, therefore, individually manageable. Finally, I examine how these mothers focus solely on their own children by evaluating—and often rejecting—assertions that their choices undermine community health, while ignoring how their children benefit from the immunity of others. By analyzing the gendered discourse of vaccines, this article identifies how women’s insistence on individual maternal choice as evidence of commitment to their children draws on and replicates structural inequality in ways that remain invisible, but affect others.","author":[{"dropping-particle":"","family":"Reich","given":"Jennifer A.","non-dropping-particle":"","parse-names":false,"suffix":""}],"container-title":"Gender and Society","id":"ITEM-1","issue":"5","issued":{"date-parts":[["2014"]]},"page":"679-704","title":"Neoliberal Mothering and Vaccine Refusal: Imagined Gated Communities and the Privilege of Choice","type":"article-journal","volume":"28"},"uris":["http://www.mendeley.com/documents/?uuid=d2ab0490-f486-414d-a00e-4d6e416d392b","http://www.mendeley.com/documents/?uuid=916c8119-c829-4b13-ba56-cba627fb5c13","http://www.mendeley.com/documents/?uuid=5f76db8b-f24b-4cd5-8d91-f6c757d61e44"]}],"mendeley":{"formattedCitation":"(Reich, 2014)","plainTextFormattedCitation":"(Reich, 2014)","previouslyFormattedCitation":"(Reich, 2014)"},"properties":{"noteIndex":0},"schema":"https://github.com/citation-style-language/schema/raw/master/csl-citation.json"}</w:instrText>
      </w:r>
      <w:r w:rsidR="00937006" w:rsidRPr="003D2D46">
        <w:rPr>
          <w:rFonts w:ascii="Times New Roman" w:hAnsi="Times New Roman" w:cs="Times New Roman"/>
        </w:rPr>
        <w:fldChar w:fldCharType="separate"/>
      </w:r>
      <w:r w:rsidR="00937006" w:rsidRPr="003D2D46">
        <w:rPr>
          <w:rFonts w:ascii="Times New Roman" w:hAnsi="Times New Roman" w:cs="Times New Roman"/>
          <w:noProof/>
        </w:rPr>
        <w:t>(Reich, 2014)</w:t>
      </w:r>
      <w:r w:rsidR="00937006" w:rsidRPr="003D2D46">
        <w:rPr>
          <w:rFonts w:ascii="Times New Roman" w:hAnsi="Times New Roman" w:cs="Times New Roman"/>
        </w:rPr>
        <w:fldChar w:fldCharType="end"/>
      </w:r>
      <w:r w:rsidR="00937006" w:rsidRPr="003D2D46">
        <w:rPr>
          <w:rFonts w:ascii="Times New Roman" w:hAnsi="Times New Roman" w:cs="Times New Roman"/>
        </w:rPr>
        <w:t>.</w:t>
      </w:r>
      <w:r w:rsidR="002C20AB" w:rsidRPr="003D2D46">
        <w:rPr>
          <w:rFonts w:ascii="Times New Roman" w:hAnsi="Times New Roman" w:cs="Times New Roman"/>
        </w:rPr>
        <w:t xml:space="preserve"> Th</w:t>
      </w:r>
      <w:r w:rsidR="009736F0" w:rsidRPr="003D2D46">
        <w:rPr>
          <w:rFonts w:ascii="Times New Roman" w:hAnsi="Times New Roman" w:cs="Times New Roman"/>
        </w:rPr>
        <w:t>e investigators</w:t>
      </w:r>
      <w:r w:rsidR="002C20AB" w:rsidRPr="003D2D46">
        <w:rPr>
          <w:rFonts w:ascii="Times New Roman" w:hAnsi="Times New Roman" w:cs="Times New Roman"/>
        </w:rPr>
        <w:t xml:space="preserve"> reported that mothers who refused vaccination</w:t>
      </w:r>
      <w:r w:rsidR="007A10AD" w:rsidRPr="003D2D46">
        <w:rPr>
          <w:rFonts w:ascii="Times New Roman" w:hAnsi="Times New Roman" w:cs="Times New Roman"/>
        </w:rPr>
        <w:t>s</w:t>
      </w:r>
      <w:r w:rsidR="002C20AB" w:rsidRPr="003D2D46">
        <w:rPr>
          <w:rFonts w:ascii="Times New Roman" w:hAnsi="Times New Roman" w:cs="Times New Roman"/>
        </w:rPr>
        <w:t xml:space="preserve"> for their children for philosophical/ideological reasons related their choice to parenting practices. The authors suggest</w:t>
      </w:r>
      <w:r w:rsidR="007A10AD" w:rsidRPr="003D2D46">
        <w:rPr>
          <w:rFonts w:ascii="Times New Roman" w:hAnsi="Times New Roman" w:cs="Times New Roman"/>
        </w:rPr>
        <w:t>ed</w:t>
      </w:r>
      <w:r w:rsidR="002C20AB" w:rsidRPr="003D2D46">
        <w:rPr>
          <w:rFonts w:ascii="Times New Roman" w:hAnsi="Times New Roman" w:cs="Times New Roman"/>
        </w:rPr>
        <w:t xml:space="preserve"> that members of privileged identities are able to draw upon their access to resources and privilege to make such choices, like adopting parenting practices based in natural living and nutritional regimens for disease prevention </w:t>
      </w:r>
      <w:r w:rsidR="00937006" w:rsidRPr="003D2D46">
        <w:rPr>
          <w:rFonts w:ascii="Times New Roman" w:hAnsi="Times New Roman" w:cs="Times New Roman"/>
        </w:rPr>
        <w:fldChar w:fldCharType="begin" w:fldLock="1"/>
      </w:r>
      <w:r w:rsidR="00476116" w:rsidRPr="003D2D46">
        <w:rPr>
          <w:rFonts w:ascii="Times New Roman" w:hAnsi="Times New Roman" w:cs="Times New Roman"/>
        </w:rPr>
        <w:instrText>ADDIN CSL_CITATION {"citationItems":[{"id":"ITEM-1","itemData":{"author":[{"dropping-particle":"","family":"Bryden","given":"GM","non-dropping-particle":"","parse-names":false,"suffix":""},{"dropping-particle":"","family":"Browne","given":"M","non-dropping-particle":"","parse-names":false,"suffix":""},{"dropping-particle":"","family":"Rockloff","given":"M","non-dropping-particle":"","parse-names":false,"suffix":""},{"dropping-particle":"","family":"Unsworth","given":"C","non-dropping-particle":"","parse-names":false,"suffix":""}],"container-title":"Vaccine","id":"ITEM-1","issued":{"date-parts":[["2019"]]},"page":"4525-4532","title":"The privilege paradox: Geographic areas with highest socio-economic advantage have the lowest rates of vaccination","type":"article-journal","volume":"37"},"uris":["http://www.mendeley.com/documents/?uuid=8d1d7a77-54f6-4460-b233-89698053b95d","http://www.mendeley.com/documents/?uuid=f68aeb0b-c120-48d6-87f7-145aa02dbc71","http://www.mendeley.com/documents/?uuid=a1355393-a600-4939-90d1-9dc653a5aa69"]}],"mendeley":{"formattedCitation":"(Bryden et al., 2019)","plainTextFormattedCitation":"(Bryden et al., 2019)","previouslyFormattedCitation":"(Bryden et al., 2019)"},"properties":{"noteIndex":0},"schema":"https://github.com/citation-style-language/schema/raw/master/csl-citation.json"}</w:instrText>
      </w:r>
      <w:r w:rsidR="00937006" w:rsidRPr="003D2D46">
        <w:rPr>
          <w:rFonts w:ascii="Times New Roman" w:hAnsi="Times New Roman" w:cs="Times New Roman"/>
        </w:rPr>
        <w:fldChar w:fldCharType="separate"/>
      </w:r>
      <w:r w:rsidR="00937006" w:rsidRPr="003D2D46">
        <w:rPr>
          <w:rFonts w:ascii="Times New Roman" w:hAnsi="Times New Roman" w:cs="Times New Roman"/>
          <w:noProof/>
        </w:rPr>
        <w:t>(Bryden et al., 2019)</w:t>
      </w:r>
      <w:r w:rsidR="00937006" w:rsidRPr="003D2D46">
        <w:rPr>
          <w:rFonts w:ascii="Times New Roman" w:hAnsi="Times New Roman" w:cs="Times New Roman"/>
        </w:rPr>
        <w:fldChar w:fldCharType="end"/>
      </w:r>
      <w:r w:rsidR="00937006" w:rsidRPr="003D2D46">
        <w:rPr>
          <w:rFonts w:ascii="Times New Roman" w:hAnsi="Times New Roman" w:cs="Times New Roman"/>
        </w:rPr>
        <w:t>.</w:t>
      </w:r>
      <w:r w:rsidR="002C20AB" w:rsidRPr="003D2D46">
        <w:rPr>
          <w:rFonts w:ascii="Times New Roman" w:hAnsi="Times New Roman" w:cs="Times New Roman"/>
        </w:rPr>
        <w:t xml:space="preserve"> </w:t>
      </w:r>
    </w:p>
    <w:p w14:paraId="78F0069F" w14:textId="77777777" w:rsidR="002C20AB" w:rsidRPr="003D2D46" w:rsidRDefault="002C20AB" w:rsidP="00580A15">
      <w:pPr>
        <w:spacing w:line="480" w:lineRule="auto"/>
        <w:rPr>
          <w:rFonts w:ascii="Times New Roman" w:hAnsi="Times New Roman" w:cs="Times New Roman"/>
          <w:color w:val="000000" w:themeColor="text1"/>
        </w:rPr>
      </w:pPr>
    </w:p>
    <w:p w14:paraId="7B514067" w14:textId="77777777" w:rsidR="00EA09C6" w:rsidRPr="003D2D46" w:rsidRDefault="00EA09C6" w:rsidP="00AC2C5D">
      <w:pPr>
        <w:pStyle w:val="Heading41111"/>
        <w:spacing w:line="480" w:lineRule="auto"/>
        <w:rPr>
          <w:rFonts w:cs="Times New Roman"/>
          <w:color w:val="000000" w:themeColor="text1"/>
        </w:rPr>
      </w:pPr>
      <w:bookmarkStart w:id="198" w:name="_Toc82445569"/>
      <w:bookmarkStart w:id="199" w:name="_Toc87797133"/>
      <w:r w:rsidRPr="003D2D46">
        <w:rPr>
          <w:rFonts w:cs="Times New Roman"/>
          <w:color w:val="000000" w:themeColor="text1"/>
        </w:rPr>
        <w:t>4.5.3 Strengths and Limitations</w:t>
      </w:r>
      <w:bookmarkEnd w:id="198"/>
      <w:bookmarkEnd w:id="199"/>
    </w:p>
    <w:p w14:paraId="772097A4" w14:textId="4EE5E5D8" w:rsidR="00EA09C6" w:rsidRDefault="00EA09C6"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study has shown evidence of county-level geographic disparities in vaccination exemptions and that these disparities are influenced, at least in part, by socioeconomic and demographic factors. However, this study is not without limitations. Exemption data did not include students in home-school programs and therefore this study could not account for the home-schooled population. Regardless of this limitation, the findings of </w:t>
      </w:r>
      <w:r w:rsidRPr="003D2D46">
        <w:rPr>
          <w:rFonts w:ascii="Times New Roman" w:hAnsi="Times New Roman" w:cs="Times New Roman"/>
          <w:color w:val="000000" w:themeColor="text1"/>
        </w:rPr>
        <w:lastRenderedPageBreak/>
        <w:t>this study are important for guiding and planning public health programs to reduce vaccination exemptions and improve health outcomes for vaccine-preventable diseases.</w:t>
      </w:r>
    </w:p>
    <w:p w14:paraId="3776583C" w14:textId="77777777" w:rsidR="008E7A6E" w:rsidRPr="003D2D46" w:rsidRDefault="008E7A6E" w:rsidP="008E7A6E">
      <w:pPr>
        <w:pStyle w:val="Heading2"/>
        <w:spacing w:line="480" w:lineRule="auto"/>
        <w:rPr>
          <w:rFonts w:cs="Times New Roman"/>
          <w:color w:val="000000" w:themeColor="text1"/>
          <w:szCs w:val="24"/>
        </w:rPr>
      </w:pPr>
      <w:bookmarkStart w:id="200" w:name="_Toc82445570"/>
      <w:bookmarkStart w:id="201" w:name="_Toc87797134"/>
      <w:r w:rsidRPr="003D2D46">
        <w:rPr>
          <w:rFonts w:cs="Times New Roman"/>
          <w:color w:val="000000" w:themeColor="text1"/>
          <w:szCs w:val="24"/>
        </w:rPr>
        <w:t>4.6 Conclusion</w:t>
      </w:r>
      <w:bookmarkEnd w:id="200"/>
      <w:r w:rsidRPr="003D2D46">
        <w:rPr>
          <w:rFonts w:cs="Times New Roman"/>
          <w:color w:val="000000" w:themeColor="text1"/>
          <w:szCs w:val="24"/>
        </w:rPr>
        <w:t>s</w:t>
      </w:r>
      <w:bookmarkEnd w:id="201"/>
    </w:p>
    <w:p w14:paraId="5223D016" w14:textId="77777777" w:rsidR="008E7A6E" w:rsidRPr="003D2D46" w:rsidRDefault="008E7A6E" w:rsidP="008E7A6E">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There is evidence of county-level geographic disparities in both total and non-medical vaccination exemption risks in Florida. These disparities are explained by differences in county-level socioeconomic and demographic factors. Study findings are important in guiding resource allocation for health planning aimed at improving vaccination rates and reducing incidence of vaccine-preventable diseases.</w:t>
      </w:r>
    </w:p>
    <w:p w14:paraId="64AF6303" w14:textId="77777777" w:rsidR="008E7A6E" w:rsidRPr="003D2D46" w:rsidRDefault="008E7A6E" w:rsidP="00580A15">
      <w:pPr>
        <w:spacing w:line="480" w:lineRule="auto"/>
        <w:rPr>
          <w:rFonts w:ascii="Times New Roman" w:hAnsi="Times New Roman" w:cs="Times New Roman"/>
          <w:color w:val="000000" w:themeColor="text1"/>
        </w:rPr>
      </w:pPr>
    </w:p>
    <w:p w14:paraId="5C922C85" w14:textId="73816632" w:rsidR="002D463A" w:rsidRPr="003D2D46" w:rsidRDefault="007857BE"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9C137A7" w14:textId="77777777" w:rsidR="00C52A2D" w:rsidRPr="003D2D46" w:rsidRDefault="00CF36A2" w:rsidP="00580A15">
      <w:pPr>
        <w:pStyle w:val="Heading1"/>
        <w:spacing w:line="480" w:lineRule="auto"/>
        <w:rPr>
          <w:rFonts w:ascii="Times New Roman" w:hAnsi="Times New Roman" w:cs="Times New Roman"/>
          <w:color w:val="000000" w:themeColor="text1"/>
          <w:sz w:val="24"/>
        </w:rPr>
      </w:pPr>
      <w:bookmarkStart w:id="202" w:name="_Toc87797135"/>
      <w:bookmarkStart w:id="203" w:name="_Toc82445571"/>
      <w:r w:rsidRPr="003D2D46">
        <w:rPr>
          <w:rFonts w:ascii="Times New Roman" w:hAnsi="Times New Roman" w:cs="Times New Roman"/>
          <w:color w:val="000000" w:themeColor="text1"/>
          <w:sz w:val="24"/>
        </w:rPr>
        <w:lastRenderedPageBreak/>
        <w:t xml:space="preserve">CHAPTER </w:t>
      </w:r>
      <w:r w:rsidR="000D1486" w:rsidRPr="003D2D46">
        <w:rPr>
          <w:rFonts w:ascii="Times New Roman" w:hAnsi="Times New Roman" w:cs="Times New Roman"/>
          <w:color w:val="000000" w:themeColor="text1"/>
          <w:sz w:val="24"/>
        </w:rPr>
        <w:t>5</w:t>
      </w:r>
      <w:bookmarkEnd w:id="202"/>
      <w:r w:rsidR="000D1486" w:rsidRPr="003D2D46">
        <w:rPr>
          <w:rFonts w:ascii="Times New Roman" w:hAnsi="Times New Roman" w:cs="Times New Roman"/>
          <w:color w:val="000000" w:themeColor="text1"/>
          <w:sz w:val="24"/>
        </w:rPr>
        <w:t xml:space="preserve"> </w:t>
      </w:r>
    </w:p>
    <w:p w14:paraId="427D9F5D" w14:textId="77777777" w:rsidR="00282889" w:rsidRPr="003D2D46" w:rsidRDefault="00282889" w:rsidP="00580A15">
      <w:pPr>
        <w:pStyle w:val="Heading1"/>
        <w:spacing w:line="480" w:lineRule="auto"/>
        <w:rPr>
          <w:rFonts w:ascii="Times New Roman" w:hAnsi="Times New Roman" w:cs="Times New Roman"/>
          <w:color w:val="000000" w:themeColor="text1"/>
          <w:sz w:val="24"/>
        </w:rPr>
      </w:pPr>
    </w:p>
    <w:p w14:paraId="6EC2D4B6" w14:textId="2C7E9CD9" w:rsidR="00CE3A3E" w:rsidRPr="003D2D46" w:rsidRDefault="007D09E9" w:rsidP="00580A15">
      <w:pPr>
        <w:pStyle w:val="Heading1"/>
        <w:spacing w:line="480" w:lineRule="auto"/>
        <w:rPr>
          <w:rFonts w:ascii="Times New Roman" w:hAnsi="Times New Roman" w:cs="Times New Roman"/>
          <w:color w:val="000000" w:themeColor="text1"/>
          <w:sz w:val="24"/>
        </w:rPr>
      </w:pPr>
      <w:bookmarkStart w:id="204" w:name="_Toc87797136"/>
      <w:r w:rsidRPr="003D2D46">
        <w:rPr>
          <w:rFonts w:ascii="Times New Roman" w:hAnsi="Times New Roman" w:cs="Times New Roman"/>
          <w:color w:val="000000" w:themeColor="text1"/>
          <w:sz w:val="24"/>
        </w:rPr>
        <w:t>G</w:t>
      </w:r>
      <w:r w:rsidR="00043F0A" w:rsidRPr="003D2D46">
        <w:rPr>
          <w:rFonts w:ascii="Times New Roman" w:hAnsi="Times New Roman" w:cs="Times New Roman"/>
          <w:color w:val="000000" w:themeColor="text1"/>
          <w:sz w:val="24"/>
        </w:rPr>
        <w:t xml:space="preserve">eographic </w:t>
      </w:r>
      <w:r w:rsidR="00371213" w:rsidRPr="003D2D46">
        <w:rPr>
          <w:rFonts w:ascii="Times New Roman" w:hAnsi="Times New Roman" w:cs="Times New Roman"/>
          <w:color w:val="000000" w:themeColor="text1"/>
          <w:sz w:val="24"/>
        </w:rPr>
        <w:t>D</w:t>
      </w:r>
      <w:r w:rsidR="00043F0A" w:rsidRPr="003D2D46">
        <w:rPr>
          <w:rFonts w:ascii="Times New Roman" w:hAnsi="Times New Roman" w:cs="Times New Roman"/>
          <w:color w:val="000000" w:themeColor="text1"/>
          <w:sz w:val="24"/>
        </w:rPr>
        <w:t xml:space="preserve">isparities and </w:t>
      </w:r>
      <w:r w:rsidR="00371213" w:rsidRPr="003D2D46">
        <w:rPr>
          <w:rFonts w:ascii="Times New Roman" w:hAnsi="Times New Roman" w:cs="Times New Roman"/>
          <w:color w:val="000000" w:themeColor="text1"/>
          <w:sz w:val="24"/>
        </w:rPr>
        <w:t>S</w:t>
      </w:r>
      <w:r w:rsidR="00043F0A" w:rsidRPr="003D2D46">
        <w:rPr>
          <w:rFonts w:ascii="Times New Roman" w:hAnsi="Times New Roman" w:cs="Times New Roman"/>
          <w:color w:val="000000" w:themeColor="text1"/>
          <w:sz w:val="24"/>
        </w:rPr>
        <w:t xml:space="preserve">ociodemographic </w:t>
      </w:r>
      <w:r w:rsidR="00371213" w:rsidRPr="003D2D46">
        <w:rPr>
          <w:rFonts w:ascii="Times New Roman" w:hAnsi="Times New Roman" w:cs="Times New Roman"/>
          <w:color w:val="000000" w:themeColor="text1"/>
          <w:sz w:val="24"/>
        </w:rPr>
        <w:t>P</w:t>
      </w:r>
      <w:r w:rsidR="00043F0A" w:rsidRPr="003D2D46">
        <w:rPr>
          <w:rFonts w:ascii="Times New Roman" w:hAnsi="Times New Roman" w:cs="Times New Roman"/>
          <w:color w:val="000000" w:themeColor="text1"/>
          <w:sz w:val="24"/>
        </w:rPr>
        <w:t xml:space="preserve">redictors of </w:t>
      </w:r>
      <w:r w:rsidR="00371213" w:rsidRPr="003D2D46">
        <w:rPr>
          <w:rFonts w:ascii="Times New Roman" w:hAnsi="Times New Roman" w:cs="Times New Roman"/>
          <w:color w:val="000000" w:themeColor="text1"/>
          <w:sz w:val="24"/>
        </w:rPr>
        <w:t>P</w:t>
      </w:r>
      <w:r w:rsidR="00043F0A" w:rsidRPr="003D2D46">
        <w:rPr>
          <w:rFonts w:ascii="Times New Roman" w:hAnsi="Times New Roman" w:cs="Times New Roman"/>
          <w:color w:val="000000" w:themeColor="text1"/>
          <w:sz w:val="24"/>
        </w:rPr>
        <w:t>ert</w:t>
      </w:r>
      <w:r w:rsidR="00EA008F" w:rsidRPr="003D2D46">
        <w:rPr>
          <w:rFonts w:ascii="Times New Roman" w:hAnsi="Times New Roman" w:cs="Times New Roman"/>
          <w:color w:val="000000" w:themeColor="text1"/>
          <w:sz w:val="24"/>
        </w:rPr>
        <w:t xml:space="preserve">ussis </w:t>
      </w:r>
      <w:r w:rsidR="00891E44" w:rsidRPr="003D2D46">
        <w:rPr>
          <w:rFonts w:ascii="Times New Roman" w:hAnsi="Times New Roman" w:cs="Times New Roman"/>
          <w:color w:val="000000" w:themeColor="text1"/>
          <w:sz w:val="24"/>
        </w:rPr>
        <w:t xml:space="preserve">RISK </w:t>
      </w:r>
      <w:r w:rsidR="00EA008F" w:rsidRPr="003D2D46">
        <w:rPr>
          <w:rFonts w:ascii="Times New Roman" w:hAnsi="Times New Roman" w:cs="Times New Roman"/>
          <w:color w:val="000000" w:themeColor="text1"/>
          <w:sz w:val="24"/>
        </w:rPr>
        <w:t xml:space="preserve">in </w:t>
      </w:r>
      <w:r w:rsidR="00371213" w:rsidRPr="003D2D46">
        <w:rPr>
          <w:rFonts w:ascii="Times New Roman" w:hAnsi="Times New Roman" w:cs="Times New Roman"/>
          <w:color w:val="000000" w:themeColor="text1"/>
          <w:sz w:val="24"/>
        </w:rPr>
        <w:t>F</w:t>
      </w:r>
      <w:r w:rsidR="00EA008F" w:rsidRPr="003D2D46">
        <w:rPr>
          <w:rFonts w:ascii="Times New Roman" w:hAnsi="Times New Roman" w:cs="Times New Roman"/>
          <w:color w:val="000000" w:themeColor="text1"/>
          <w:sz w:val="24"/>
        </w:rPr>
        <w:t>lorida</w:t>
      </w:r>
      <w:bookmarkEnd w:id="203"/>
      <w:bookmarkEnd w:id="204"/>
    </w:p>
    <w:p w14:paraId="4367479F" w14:textId="77777777" w:rsidR="00F71ADC" w:rsidRPr="003D2D46" w:rsidRDefault="00CE3A3E"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6C338230" w14:textId="77777777" w:rsidR="000D1486" w:rsidRPr="003D2D46" w:rsidRDefault="000D1486" w:rsidP="00E547A1">
      <w:pPr>
        <w:pStyle w:val="Heading2"/>
        <w:spacing w:line="480" w:lineRule="auto"/>
        <w:rPr>
          <w:rFonts w:cs="Times New Roman"/>
          <w:color w:val="000000" w:themeColor="text1"/>
          <w:szCs w:val="24"/>
        </w:rPr>
      </w:pPr>
      <w:bookmarkStart w:id="205" w:name="_Toc82445572"/>
      <w:bookmarkStart w:id="206" w:name="_Toc87797137"/>
      <w:bookmarkStart w:id="207" w:name="_Toc289175834"/>
      <w:r w:rsidRPr="003D2D46">
        <w:rPr>
          <w:rFonts w:cs="Times New Roman"/>
          <w:color w:val="000000" w:themeColor="text1"/>
          <w:szCs w:val="24"/>
        </w:rPr>
        <w:lastRenderedPageBreak/>
        <w:t>5.1 Disclosure</w:t>
      </w:r>
      <w:bookmarkEnd w:id="205"/>
      <w:bookmarkEnd w:id="206"/>
    </w:p>
    <w:p w14:paraId="0F166D11" w14:textId="77777777" w:rsidR="00EA008F" w:rsidRPr="003D2D46" w:rsidRDefault="00EA008F"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A version of this chapter was published </w:t>
      </w:r>
      <w:r w:rsidR="00EF6B30" w:rsidRPr="003D2D46">
        <w:rPr>
          <w:rFonts w:ascii="Times New Roman" w:hAnsi="Times New Roman" w:cs="Times New Roman"/>
          <w:color w:val="000000" w:themeColor="text1"/>
        </w:rPr>
        <w:t>in PeerJ</w:t>
      </w:r>
      <w:r w:rsidRPr="003D2D46">
        <w:rPr>
          <w:rFonts w:ascii="Times New Roman" w:hAnsi="Times New Roman" w:cs="Times New Roman"/>
          <w:color w:val="000000" w:themeColor="text1"/>
        </w:rPr>
        <w:t>.</w:t>
      </w:r>
      <w:r w:rsidR="000D1486" w:rsidRPr="003D2D46">
        <w:rPr>
          <w:rFonts w:ascii="Times New Roman" w:hAnsi="Times New Roman" w:cs="Times New Roman"/>
          <w:color w:val="000000" w:themeColor="text1"/>
        </w:rPr>
        <w:t xml:space="preserve"> The full citation is: </w:t>
      </w:r>
    </w:p>
    <w:p w14:paraId="6A62E1F1" w14:textId="77777777" w:rsidR="000D1486" w:rsidRPr="003D2D46" w:rsidRDefault="000D1486" w:rsidP="00580A15">
      <w:pPr>
        <w:spacing w:line="480" w:lineRule="auto"/>
        <w:rPr>
          <w:rFonts w:ascii="Times New Roman" w:hAnsi="Times New Roman" w:cs="Times New Roman"/>
          <w:color w:val="000000" w:themeColor="text1"/>
        </w:rPr>
      </w:pPr>
    </w:p>
    <w:p w14:paraId="6E82C04D" w14:textId="13CBCA18" w:rsidR="00EA008F" w:rsidRPr="003D2D46" w:rsidRDefault="002A58CB" w:rsidP="00580A15">
      <w:pPr>
        <w:spacing w:line="480" w:lineRule="auto"/>
        <w:rPr>
          <w:rFonts w:ascii="Times New Roman" w:hAnsi="Times New Roman" w:cs="Times New Roman"/>
          <w:iCs/>
          <w:color w:val="000000" w:themeColor="text1"/>
        </w:rPr>
      </w:pPr>
      <w:r w:rsidRPr="003D2D46">
        <w:rPr>
          <w:rFonts w:ascii="Times New Roman" w:hAnsi="Times New Roman" w:cs="Times New Roman"/>
          <w:color w:val="000000" w:themeColor="text1"/>
        </w:rPr>
        <w:t>Tandy CB, Odoi A</w:t>
      </w:r>
      <w:r w:rsidR="00EA008F"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2021. </w:t>
      </w:r>
      <w:r w:rsidR="00EA008F" w:rsidRPr="003D2D46">
        <w:rPr>
          <w:rFonts w:ascii="Times New Roman" w:hAnsi="Times New Roman" w:cs="Times New Roman"/>
          <w:color w:val="000000" w:themeColor="text1"/>
        </w:rPr>
        <w:t xml:space="preserve">Geographic disparities and socio-demographic predictors of pertussis in Florida. </w:t>
      </w:r>
      <w:r w:rsidRPr="003D2D46">
        <w:rPr>
          <w:rFonts w:ascii="Times New Roman" w:hAnsi="Times New Roman" w:cs="Times New Roman"/>
          <w:i/>
          <w:color w:val="000000" w:themeColor="text1"/>
        </w:rPr>
        <w:t>PeerJ</w:t>
      </w:r>
      <w:r w:rsidRPr="003D2D46">
        <w:rPr>
          <w:rFonts w:ascii="Times New Roman" w:hAnsi="Times New Roman" w:cs="Times New Roman"/>
          <w:iCs/>
          <w:color w:val="000000" w:themeColor="text1"/>
        </w:rPr>
        <w:t xml:space="preserve"> 9:e11902 </w:t>
      </w:r>
      <w:hyperlink r:id="rId13" w:history="1">
        <w:r w:rsidR="00A31B5D" w:rsidRPr="003D2D46">
          <w:rPr>
            <w:rStyle w:val="Hyperlink"/>
            <w:rFonts w:ascii="Times New Roman" w:hAnsi="Times New Roman" w:cs="Times New Roman"/>
            <w:iCs/>
          </w:rPr>
          <w:t>https://doi.org/10.7717/peerj.11902</w:t>
        </w:r>
      </w:hyperlink>
    </w:p>
    <w:p w14:paraId="29183D70" w14:textId="77777777" w:rsidR="00EA008F" w:rsidRPr="003D2D46" w:rsidRDefault="00EA008F" w:rsidP="00580A15">
      <w:pPr>
        <w:spacing w:line="480" w:lineRule="auto"/>
        <w:rPr>
          <w:rFonts w:ascii="Times New Roman" w:hAnsi="Times New Roman" w:cs="Times New Roman"/>
          <w:color w:val="000000" w:themeColor="text1"/>
        </w:rPr>
      </w:pPr>
    </w:p>
    <w:p w14:paraId="21F9C815" w14:textId="263AA9B8" w:rsidR="00580A15" w:rsidRPr="003D2D46" w:rsidRDefault="00580A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My contributions to the paper included study design, data identification, data analysis and interpretation, and preparation of the manuscript. Dr. Agricola Odoi was involved in the development of the research idea, data analysis</w:t>
      </w:r>
      <w:r w:rsidR="00A31B5D"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interpretation, and preparation of the manuscript. </w:t>
      </w:r>
    </w:p>
    <w:p w14:paraId="067D91AB" w14:textId="77777777" w:rsidR="00FF4BED" w:rsidRPr="003D2D46" w:rsidRDefault="00FF4BED"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A49FDE7" w14:textId="77777777" w:rsidR="00236E6D" w:rsidRPr="003D2D46" w:rsidRDefault="005529ED" w:rsidP="00EF6B30">
      <w:pPr>
        <w:pStyle w:val="Heading2"/>
        <w:spacing w:line="480" w:lineRule="auto"/>
        <w:rPr>
          <w:rFonts w:cs="Times New Roman"/>
          <w:color w:val="000000" w:themeColor="text1"/>
          <w:szCs w:val="24"/>
        </w:rPr>
      </w:pPr>
      <w:bookmarkStart w:id="208" w:name="_Toc82445573"/>
      <w:bookmarkStart w:id="209" w:name="_Toc87797138"/>
      <w:r w:rsidRPr="003D2D46">
        <w:rPr>
          <w:rFonts w:cs="Times New Roman"/>
          <w:color w:val="000000" w:themeColor="text1"/>
          <w:szCs w:val="24"/>
        </w:rPr>
        <w:lastRenderedPageBreak/>
        <w:t>5</w:t>
      </w:r>
      <w:r w:rsidR="00106487" w:rsidRPr="003D2D46">
        <w:rPr>
          <w:rFonts w:cs="Times New Roman"/>
          <w:color w:val="000000" w:themeColor="text1"/>
          <w:szCs w:val="24"/>
        </w:rPr>
        <w:t>.</w:t>
      </w:r>
      <w:r w:rsidR="00FF4BED" w:rsidRPr="003D2D46">
        <w:rPr>
          <w:rFonts w:cs="Times New Roman"/>
          <w:color w:val="000000" w:themeColor="text1"/>
          <w:szCs w:val="24"/>
        </w:rPr>
        <w:t>2</w:t>
      </w:r>
      <w:r w:rsidR="00106487" w:rsidRPr="003D2D46">
        <w:rPr>
          <w:rFonts w:cs="Times New Roman"/>
          <w:color w:val="000000" w:themeColor="text1"/>
          <w:szCs w:val="24"/>
        </w:rPr>
        <w:t xml:space="preserve"> </w:t>
      </w:r>
      <w:r w:rsidR="00CE4D4B" w:rsidRPr="003D2D46">
        <w:rPr>
          <w:rFonts w:cs="Times New Roman"/>
          <w:color w:val="000000" w:themeColor="text1"/>
          <w:szCs w:val="24"/>
        </w:rPr>
        <w:t>Abstract</w:t>
      </w:r>
      <w:bookmarkEnd w:id="207"/>
      <w:bookmarkEnd w:id="208"/>
      <w:bookmarkEnd w:id="209"/>
    </w:p>
    <w:p w14:paraId="239E43E9" w14:textId="77777777" w:rsidR="00D50CE1" w:rsidRPr="003D2D46" w:rsidRDefault="00EF2015"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b/>
          <w:color w:val="000000" w:themeColor="text1"/>
        </w:rPr>
        <w:t xml:space="preserve">Background. </w:t>
      </w:r>
      <w:r w:rsidR="00D50CE1" w:rsidRPr="003D2D46">
        <w:rPr>
          <w:rFonts w:ascii="Times New Roman" w:hAnsi="Times New Roman" w:cs="Times New Roman"/>
          <w:color w:val="000000" w:themeColor="text1"/>
          <w:shd w:val="clear" w:color="auto" w:fill="FFFFFF"/>
        </w:rPr>
        <w:t>Pertussis is a toxin-mediated respiratory illness caused by </w:t>
      </w:r>
      <w:r w:rsidR="00D50CE1" w:rsidRPr="003D2D46">
        <w:rPr>
          <w:rFonts w:ascii="Times New Roman" w:hAnsi="Times New Roman" w:cs="Times New Roman"/>
          <w:i/>
          <w:iCs/>
          <w:color w:val="000000" w:themeColor="text1"/>
          <w:shd w:val="clear" w:color="auto" w:fill="FFFFFF"/>
        </w:rPr>
        <w:t>Bordetella pertussis</w:t>
      </w:r>
      <w:r w:rsidR="00D50CE1" w:rsidRPr="003D2D46">
        <w:rPr>
          <w:rFonts w:ascii="Times New Roman" w:hAnsi="Times New Roman" w:cs="Times New Roman"/>
          <w:color w:val="000000" w:themeColor="text1"/>
          <w:shd w:val="clear" w:color="auto" w:fill="FFFFFF"/>
        </w:rPr>
        <w:t> that can result in severe complications and death, particularly in infants. Between 2008 and 2011, children less than 3 months old accounted for 83% of the pertussis deaths in the United States. Understanding the geographic disparities in the distribution of pertussis risk and identifying high risk geographic areas is necessary for guiding resource allocation and public health control strategies. Therefore, this study investigated geographic disparities and temporal changes in pertussis risk in Florida from 2010 to 2018. It also investigated socioeconomic and demographic predictors of the identified disparities.</w:t>
      </w:r>
    </w:p>
    <w:p w14:paraId="09A015F1" w14:textId="77777777" w:rsidR="00D50CE1" w:rsidRPr="003D2D46" w:rsidRDefault="00EF2015"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b/>
          <w:color w:val="000000" w:themeColor="text1"/>
        </w:rPr>
        <w:t xml:space="preserve">Methods. </w:t>
      </w:r>
      <w:r w:rsidR="00D50CE1" w:rsidRPr="003D2D46">
        <w:rPr>
          <w:rFonts w:ascii="Times New Roman" w:hAnsi="Times New Roman" w:cs="Times New Roman"/>
          <w:color w:val="000000" w:themeColor="text1"/>
          <w:shd w:val="clear" w:color="auto" w:fill="FFFFFF"/>
        </w:rPr>
        <w:t>Pertussis data covering the time period 2010–2018 were obtained from Florida HealthCHARTS web interface. Spatial patterns and temporal changes in geographic distribution of pertussis risk were assessed using county-level choropleth maps for the time periods 2010–2012, 2013–2015, 2016–2018 and 2010–2018. Tango’s flexible spatial scan statistics were used to identify high-risk spatial clusters which were displayed in maps. Ordinary least squares (OLS) regression was used to identify significant predictors of county-level risk. Residuals of the OLS model were assessed for model assumptions including spatial autocorrelation.</w:t>
      </w:r>
    </w:p>
    <w:p w14:paraId="5D767F4A" w14:textId="77777777" w:rsidR="00D50CE1" w:rsidRPr="003D2D46" w:rsidRDefault="00EF2015"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b/>
          <w:color w:val="000000" w:themeColor="text1"/>
        </w:rPr>
        <w:t>Results</w:t>
      </w:r>
      <w:r w:rsidRPr="003D2D46">
        <w:rPr>
          <w:rFonts w:ascii="Times New Roman" w:hAnsi="Times New Roman" w:cs="Times New Roman"/>
          <w:b/>
          <w:bCs/>
          <w:color w:val="000000" w:themeColor="text1"/>
        </w:rPr>
        <w:t>.</w:t>
      </w:r>
      <w:r w:rsidRPr="003D2D46">
        <w:rPr>
          <w:rFonts w:ascii="Times New Roman" w:hAnsi="Times New Roman" w:cs="Times New Roman"/>
          <w:color w:val="000000" w:themeColor="text1"/>
        </w:rPr>
        <w:t xml:space="preserve"> </w:t>
      </w:r>
      <w:r w:rsidR="00D50CE1" w:rsidRPr="003D2D46">
        <w:rPr>
          <w:rFonts w:ascii="Times New Roman" w:hAnsi="Times New Roman" w:cs="Times New Roman"/>
          <w:color w:val="000000" w:themeColor="text1"/>
          <w:shd w:val="clear" w:color="auto" w:fill="FFFFFF"/>
        </w:rPr>
        <w:t xml:space="preserve">County-level pertussis risk varied from 0 to 116.31 cases per 100,000 people during the study period. A total of 11 significant (p&lt; 0.05) spatial clusters were identified with risk ratios ranging from 1.5 to 5.8. Geographic distribution remained relatively consistent over time with areas of high risk persisting in the western panhandle, </w:t>
      </w:r>
      <w:r w:rsidR="00D50CE1" w:rsidRPr="003D2D46">
        <w:rPr>
          <w:rFonts w:ascii="Times New Roman" w:hAnsi="Times New Roman" w:cs="Times New Roman"/>
          <w:color w:val="000000" w:themeColor="text1"/>
          <w:shd w:val="clear" w:color="auto" w:fill="FFFFFF"/>
        </w:rPr>
        <w:lastRenderedPageBreak/>
        <w:t>northeastern coast, and along the western coast. Although county level pertussis risks generally increased from 2010–2012 to 2013–2015, risk tended to be lower during the 2016–2018 time period. Significant predictors of county-level pertussis risk were rurality, percentage of females, and median income. Counties with high pertussis risk tended to be rural (p= 0.021), those with high median incomes (p= 0.039), and those with high percentages of females (p&lt; 0.001).</w:t>
      </w:r>
    </w:p>
    <w:p w14:paraId="26D11E64" w14:textId="215B5A10" w:rsidR="001579D0" w:rsidRPr="003D2D46" w:rsidRDefault="00EF2015"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b/>
          <w:bCs/>
          <w:color w:val="000000" w:themeColor="text1"/>
        </w:rPr>
        <w:t>Conclusion.</w:t>
      </w:r>
      <w:r w:rsidRPr="003D2D46">
        <w:rPr>
          <w:rFonts w:ascii="Times New Roman" w:hAnsi="Times New Roman" w:cs="Times New Roman"/>
          <w:color w:val="000000" w:themeColor="text1"/>
        </w:rPr>
        <w:t xml:space="preserve"> </w:t>
      </w:r>
      <w:r w:rsidR="00D50CE1" w:rsidRPr="003D2D46">
        <w:rPr>
          <w:rFonts w:ascii="Times New Roman" w:hAnsi="Times New Roman" w:cs="Times New Roman"/>
          <w:color w:val="000000" w:themeColor="text1"/>
          <w:shd w:val="clear" w:color="auto" w:fill="FFFFFF"/>
        </w:rPr>
        <w:t>There is evidence that geographic disparities exist and have persisted over time in Florida. This study highlights the application and importance of Geographic Information Systems (GIS) technology and spatial statistical/epidemiological tools in identifying areas of highest disease risk so as to guide resource allocation to reduce health disparities and improve health for all.</w:t>
      </w:r>
    </w:p>
    <w:p w14:paraId="489ACAFD" w14:textId="77777777" w:rsidR="00A31B5D" w:rsidRPr="003D2D46" w:rsidRDefault="00A31B5D" w:rsidP="00580A15">
      <w:pPr>
        <w:spacing w:line="480" w:lineRule="auto"/>
        <w:rPr>
          <w:rFonts w:ascii="Times New Roman" w:hAnsi="Times New Roman" w:cs="Times New Roman"/>
          <w:color w:val="000000" w:themeColor="text1"/>
          <w:shd w:val="clear" w:color="auto" w:fill="FFFFFF"/>
        </w:rPr>
      </w:pPr>
    </w:p>
    <w:p w14:paraId="3F87A996" w14:textId="77777777" w:rsidR="001579D0" w:rsidRPr="003D2D46" w:rsidRDefault="001579D0" w:rsidP="001579D0">
      <w:pPr>
        <w:pStyle w:val="Heading2"/>
        <w:spacing w:line="480" w:lineRule="auto"/>
        <w:rPr>
          <w:rFonts w:cs="Times New Roman"/>
          <w:color w:val="000000" w:themeColor="text1"/>
          <w:szCs w:val="24"/>
        </w:rPr>
      </w:pPr>
      <w:bookmarkStart w:id="210" w:name="_Toc87797139"/>
      <w:r w:rsidRPr="003D2D46">
        <w:rPr>
          <w:rFonts w:cs="Times New Roman"/>
          <w:color w:val="000000" w:themeColor="text1"/>
          <w:szCs w:val="24"/>
        </w:rPr>
        <w:t>5.3 Introduction</w:t>
      </w:r>
      <w:bookmarkEnd w:id="210"/>
    </w:p>
    <w:p w14:paraId="25FE1153" w14:textId="332CFFC4" w:rsidR="00CE4D4B" w:rsidRPr="003D2D46" w:rsidRDefault="001579D0" w:rsidP="00580A15">
      <w:pPr>
        <w:spacing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Pertussis is a toxin-mediated respiratory illness caused by </w:t>
      </w:r>
      <w:r w:rsidRPr="003D2D46">
        <w:rPr>
          <w:rFonts w:ascii="Times New Roman" w:hAnsi="Times New Roman" w:cs="Times New Roman"/>
          <w:i/>
          <w:iCs/>
          <w:color w:val="000000" w:themeColor="text1"/>
        </w:rPr>
        <w:t xml:space="preserve">Bordetella pertussis </w:t>
      </w:r>
      <w:r w:rsidRPr="003D2D46">
        <w:rPr>
          <w:rFonts w:ascii="Times New Roman" w:hAnsi="Times New Roman" w:cs="Times New Roman"/>
          <w:color w:val="000000" w:themeColor="text1"/>
        </w:rPr>
        <w:t xml:space="preserve">that can result in severe complications, particularly in infants (&lt;1 year old)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-1","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2015a)","manualFormatting":"(Centers for Disease Control and Prevention (CDC), 2015)","plainTextFormattedCitation":"(Centers for Disease Control and Prevention, 2015a)","previouslyFormattedCitation":"(Centers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(Centers for Disease Control and Prevention (CDC),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Severe complications include pneumonia and neurological complications. Between 2008 and 2011, children less than three months old accounted for 83% of pertussis deaths in the United States. While most of the cases and especially those that are severe occur in infants, people of all ages are susceptible to the disease </w:t>
      </w:r>
      <w:r w:rsidRPr="003D2D46">
        <w:rPr>
          <w:rFonts w:ascii="Times New Roman" w:hAnsi="Times New Roman" w:cs="Times New Roman"/>
          <w:color w:val="000000" w:themeColor="text1"/>
        </w:rPr>
        <w:fldChar w:fldCharType="begin" w:fldLock="1"/>
      </w:r>
      <w:r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again","type":"article-journal","volume":"209"},"uris":["http://www.mendeley.com/documents/?uuid=a4743d08-4d5a-4272-9c4c-e79acba1bc3c","http://www.mendeley.com/documents/?uuid=19ce94ac-c12c-4c5d-b888-a4f1335a5235"]}],"mendeley":{"formattedCitation":"(Clark, 2014)","plainTextFormattedCitation":"(Clark, 2014)","previouslyFormattedCitation":"(Clark,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(Clark,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adolescents and adults are considered the most important sources of infection for susceptible infants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{"citationItems":[{"id":"ITEM-1","itemData":{"DOI":"10.1016/j.cmi.2016.01.003","ISSN":"14690691","PMID":"27130670","abstract":"Pertussis is a highly contagious infectious disease caused by Bordetella pertussis that can be extremely serious, particularly in young infants. For many years the efforts of health authorities throughout the world to prevent pertussis had the main goals of reducing the morbidity of infants and children under 5 years of age, maintaining protection for several years during the school-age period and developing a significant herd immunity to directly and indirectly reduce the risk of the spread of the disease among young infants and the risk of transmission of the infection from preschool children to infants. However, the increased risk of B. pertussis infection among adolescents and adults due to the waning immunity to this bacterium induced by vaccines and natural infection seems to be the main reason for the resurgence of pertussis. We discuss the reasons for the administration of pertussis vaccines to individuals for whom they were previously not recommended, the expected results of the administration of additional pertussis vaccine doses and the differences in the administration of pertussis vaccines in different countries. An analysis of the literature revealed several reports indicating the need for the modification of immunization schedules against pertussis, with booster doses among adolescents and the need for the vaccination of pregnant women. However, to monitor the true epidemiology of pertussis, effective programmes to collect pertussis cases, adequate reporting systems and vaccination coverage monitoring should be urgently implemented.","author":[{"dropping-particle":"","family":"Esposito","given":"S.","non-dropping-particle":"","parse-names":false,"suffix":""},{"dropping-particle":"","family":"Principi","given":"N.","non-dropping-particle":"","parse-names":false,"suffix":""}],"container-title":"Clinical Microbiology and Infection","id":"ITEM-1","issued":{"date-parts":[["2016"]]},"page":"S89-S95","publisher":"Elsevier Ltd","title":"Immunization against pertussis in adolescents and adults","type":"article-journal","volume":"22"},"uris":["http://www.mendeley.com/documents/?uuid=9efbff4d-d5e5-480a-b8a6-ffddfd3a6a9e","http://www.mendeley.com/documents/?uuid=f4202391-92d9-4b5d-910a-8cadf8ca5f98"]},{"id":"ITEM-2","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-2","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Centers for Disease Control and Prevention, 2015a; Esposito &amp; Principi, 2016)","plainTextFormattedCitation":"(Centers for Disease Control and Prevention, 2015a; Esposito &amp; Principi, 2016)","previouslyFormattedCitation":"(Centers for Disease Control and Prevention, 2015a; Esposito &amp; Principi,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(Centers for Disease Control and Prevention, 2015a; Esposito &amp; Principi,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00FF4BED" w:rsidRPr="003D2D46">
        <w:rPr>
          <w:rFonts w:ascii="Times New Roman" w:hAnsi="Times New Roman" w:cs="Times New Roman"/>
          <w:color w:val="000000" w:themeColor="text1"/>
        </w:rPr>
        <w:br w:type="page"/>
      </w:r>
    </w:p>
    <w:p w14:paraId="3636EBED" w14:textId="614233E8" w:rsidR="00EF2015" w:rsidRPr="003D2D46" w:rsidRDefault="00D50CE1"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shd w:val="clear" w:color="auto" w:fill="FFFFFF"/>
        </w:rPr>
        <w:lastRenderedPageBreak/>
        <w:t xml:space="preserve">Prior to the development of a vaccine, pertussis was a </w:t>
      </w:r>
      <w:r w:rsidR="00330B03" w:rsidRPr="003D2D46">
        <w:rPr>
          <w:rFonts w:ascii="Times New Roman" w:hAnsi="Times New Roman" w:cs="Times New Roman"/>
          <w:color w:val="000000" w:themeColor="text1"/>
          <w:shd w:val="clear" w:color="auto" w:fill="FFFFFF"/>
        </w:rPr>
        <w:t xml:space="preserve">common </w:t>
      </w:r>
      <w:r w:rsidRPr="003D2D46">
        <w:rPr>
          <w:rFonts w:ascii="Times New Roman" w:hAnsi="Times New Roman" w:cs="Times New Roman"/>
          <w:color w:val="000000" w:themeColor="text1"/>
          <w:shd w:val="clear" w:color="auto" w:fill="FFFFFF"/>
        </w:rPr>
        <w:t>disease of childhood and infancy. Immunization programs initiated in the 1950s dramatically reduced the incidence of the disease in the United States until the 1980s, when a re-emergence occurred</w:t>
      </w:r>
      <w:r w:rsidR="00EF2015" w:rsidRPr="003D2D46">
        <w:rPr>
          <w:rFonts w:ascii="Times New Roman" w:hAnsi="Times New Roman" w:cs="Times New Roman"/>
          <w:color w:val="000000" w:themeColor="text1"/>
        </w:rPr>
        <w:t xml:space="preserve">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{"citationItems":[{"id":"ITEM-1","itemData":{"DOI":"10.1186/1471-2334-13-151","ISSN":"14712334","abstract":"Background: Resurgence of pertussis in the post-vaccination era has been reported in Western countries. A shift of cases from school-age children to adolescents, adults and children under 1 year of age has been described in the last decade, and mortality rates in infants are still sustained. We aimed to review and discuss the possible vaccination strategies which can be adopted in order to improve the pertussis control, by searches of Pubmed, and websites of US and European Centers for Disease Control and Prevention, between 1st January 2002, and 1st March 2013.Discussion: The following vaccination strategies have been retrieved and analysed: the cocooning strategy, the immunization of pregnant women and newborns, vaccination programs for preschool children, adolescents, adults and health-care workers. Cost-effectiveness studies provide some contrasting data, mainly supporting both maternal vaccination and cocooning. Adolescent and/or adult vaccination seems to be cost-effective, however data from observational studies suggest that this vaccination strategy, used alone, leads to a reduced pertussis burden globally, but does not affect the disease incidence in infants. Moreover, substantial logistical and economic difficulties have to be overcome to vaccinate the largest number of individuals.Summary: The simultaneous use of more than one strategy, including cocooning strategy plus vaccination of adolescents and adults, seems to be the most reasonable preventive measure. The development of new highly immunogenic and efficacious pertussis vaccines continues to be a primary objective for the control of pertussis. © 2013 Chiappini et al.; licensee BioMed Central Ltd.","author":[{"dropping-particle":"","family":"Chiappini","given":"Elena","non-dropping-particle":"","parse-names":false,"suffix":""},{"dropping-particle":"","family":"Stival","given":"Alessia","non-dropping-particle":"","parse-names":false,"suffix":""},{"dropping-particle":"","family":"Galli","given":"Luisa","non-dropping-particle":"","parse-names":false,"suffix":""},{"dropping-particle":"","family":"Martino","given":"Maurizio","non-dropping-particle":"de","parse-names":false,"suffix":""}],"container-title":"BMC Infectious Diseases","id":"ITEM-1","issue":"1","issued":{"date-parts":[["2013"]]},"title":"Pertussis re-emergence in the post-vaccination era","type":"article-journal","volume":"13"},"uris":["http://www.mendeley.com/documents/?uuid=abfc1d74-7a72-497c-acde-d5dee3837cdf","http://www.mendeley.com/documents/?uuid=7f852b7b-0d62-49e8-8d53-361ab7defdea","http://www.mendeley.com/documents/?uuid=d2ed795f-0915-4d25-8d4d-df9709923a07"]}],"mendeley":{"formattedCitation":"(Chiappini et al., 2013)","plainTextFormattedCitation":"(Chiappini et al., 2013)","previouslyFormattedCitation":"(Chiappini et al., 2013)"},"properties":{"noteIndex":0},"schema":"https://github.com/citation-style-language/schema/raw/master/csl-citation.json"}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(Chiappini et al., 2013)</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While the cause(s) of the re-emergence are still unclear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again","type":"article-journal","volume":"209"},"uris":["http://www.mendeley.com/documents/?uuid=19ce94ac-c12c-4c5d-b888-a4f1335a5235","http://www.mendeley.com/documents/?uuid=75374772-7813-4264-9c83-9b95e29d5a39"]}],"mendeley":{"formattedCitation":"(Clark, 2014)","plainTextFormattedCitation":"(Clark, 2014)","previouslyFormattedCitation":"(Clark, 2014)"},"properties":{"noteIndex":0},"schema":"https://github.com/citation-style-language/schema/raw/master/csl-citation.json"}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(Clark, 2014)</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shd w:val="clear" w:color="auto" w:fill="FFFFFF"/>
        </w:rPr>
        <w:t xml:space="preserve">the severity of disease in infants makes ensuring high vaccination coverage in all age groups a public health necessity. The rise in cases of the disease among vaccinated adolescents and school-aged (5–9 years) children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again","type":"article-journal","volume":"209"},"uris":["http://www.mendeley.com/documents/?uuid=19ce94ac-c12c-4c5d-b888-a4f1335a5235","http://www.mendeley.com/documents/?uuid=75374772-7813-4264-9c83-9b95e29d5a39"]}],"mendeley":{"formattedCitation":"(Clark, 2014)","plainTextFormattedCitation":"(Clark, 2014)","previouslyFormattedCitation":"(Clark, 2014)"},"properties":{"noteIndex":0},"schema":"https://github.com/citation-style-language/schema/raw/master/csl-citation.json"}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(Clark, 2014)</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has resulted in concerns that the efficacy and length of the period of immunity provided by the vaccine may not be as long as initially thought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{"citationItems":[{"id":"ITEM-1","itemData":{"author":[{"dropping-particle":"","family":"Schwartz","given":"Kevin L","non-dropping-particle":"","parse-names":false,"suffix":""},{"dropping-particle":"","family":"Kwong","given":"Jeffrey C.","non-dropping-particle":"","parse-names":false,"suffix":""},{"dropping-particle":"","family":"Deeks","given":"Shelley L.","non-dropping-particle":"","parse-names":false,"suffix":""},{"dropping-particle":"","family":"Campitelli","given":"Michael A.","non-dropping-particle":"","parse-names":false,"suffix":""},{"dropping-particle":"","family":"Jamieson","given":"Frances B","non-dropping-particle":"","parse-names":false,"suffix":""},{"dropping-particle":"","family":"Marchand-Austin","given":"Alex","non-dropping-particle":"","parse-names":false,"suffix":""},{"dropping-particle":"","family":"Stukel","given":"Therese A.","non-dropping-particle":"","parse-names":false,"suffix":""},{"dropping-particle":"","family":"Rosella","given":"Laura C.","non-dropping-particle":"","parse-names":false,"suffix":""},{"dropping-particle":"","family":"Daneman","given":"Nick","non-dropping-particle":"","parse-names":false,"suffix":""},{"dropping-particle":"","family":"Bolotin","given":"Shelly","non-dropping-particle":"","parse-names":false,"suffix":""},{"dropping-particle":"","family":"Drews","given":"Steven J","non-dropping-particle":"","parse-names":false,"suffix":""},{"dropping-particle":"","family":"Rilkoff","given":"Heather","non-dropping-particle":"","parse-names":false,"suffix":""},{"dropping-particle":"","family":"Crowcroft","given":"Natasha S.","non-dropping-particle":"","parse-names":false,"suffix":""}],"container-title":"Canadian Medical Association Journal","id":"ITEM-1","issue":"16","issued":{"date-parts":[["2016"]]},"page":"E399-E406","title":"Effectiveness of pertussis vaccination and duration of immunity","type":"article-journal","volume":"188"},"uris":["http://www.mendeley.com/documents/?uuid=cf9c0aff-6732-427c-9aa3-f1d44906bd55","http://www.mendeley.com/documents/?uuid=92f63812-617c-4055-8d5e-79575b3079fa"]},{"id":"ITEM-2","itemData":{"DOI":"10.1017/S0950268812003093","ISSN":"14694409","abstract":"Recent much-publicized increases in pertussis case reports in some countries with high vaccine coverage have raised concerns about its current and future control. The ubiquity of this trend, however, remains unexamined. In an attempt to paint a global picture, we used case counts to determine which countries experienced statistically significant trends in incidence over the past two decades and to map changes in incidence during this period. These data reveal that pertussis resurgence is not a universal phenomenon. The heterogeneity in incidence trends, even in countries with superficially similar demography, socioeconomic conditions and vaccination programmes, is striking and requires explanation. In this opinion piece, we review and assess the multifaceted proposed explanations incorporating evolution, population dynamics, and the details of immunization programmes. While we do not solve the riddle that is pertussis epidemiology, we highlight critical aspects that are likely to hold the key to understanding its worldwide epidemiology. © 2013 Cambridge University Press.","author":[{"dropping-particle":"","family":"Jackson","given":"D. W.","non-dropping-particle":"","parse-names":false,"suffix":""},{"dropping-particle":"","family":"Rohani","given":"Pejman","non-dropping-particle":"","parse-names":false,"suffix":""}],"container-title":"Epidemiology and Infection","id":"ITEM-2","issue":"4","issued":{"date-parts":[["2014"]]},"page":"672-684","title":"Perplexities of pertussis: Recent global epidemiological trends and their potential causes","type":"article-journal","volume":"142"},"uris":["http://www.mendeley.com/documents/?uuid=721c5a4a-2a81-4823-ab44-d878ebc30af4","http://www.mendeley.com/documents/?uuid=b38a696c-141e-4d06-a8a6-f47727fd850f"]},{"id":"ITEM-3","itemData":{"DOI":"10.3389/fimmu.2019.01344","ISSN":"16643224","abstract":"Pertussis is an acute respiratory disease caused by Bordetella pertussis. Due to its frequency and severity, prevention of pertussis has been considered an important public health issue for many years. The development of the whole-cell pertussis vaccine (wPV) and its introduction into the pediatric immunization schedule was associated with a marked reduction in pertussis cases in the vaccinated cohort. However, due to the frequency of local and systemic adverse events after immunization with wPV, work on a less reactive vaccine was undertaken based on isolated B. pertussis components that induced protective immune responses with fewer local and systemic reactions. These component vaccines were termed acellular vaccines and contained one or more pertussis antigens, including pertussis toxin (PT), filamentous haemagglutinin (FHA), pertactin (PRN), and fimbrial proteins 2 (FIM2) and 3 (FIM3). Preparations containing up to five components were developed, and several efficacy trials clearly demonstrated that the aPVs were able to confer comparable short-term protection than the most effective wPVs with fewer local and systemic reactions. There has been a resurgence of pertussis observed in recent years. This paper reports the results of a Consensus Conference organized by the World Association for Infectious Disease and Immunological Disorders (WAidid) on June 22, 2018, in Perugia, Italy, with the goal of evaluating the most important reasons for the pertussis resurgence and the role of different aPVs in this resurgence.","author":[{"dropping-particle":"","family":"Esposito","given":"Susanna","non-dropping-particle":"","parse-names":false,"suffix":""},{"dropping-particle":"","family":"Stefanelli","given":"Paola","non-dropping-particle":"","parse-names":false,"suffix":""},{"dropping-particle":"","family":"Fry","given":"Norman K.","non-dropping-particle":"","parse-names":false,"suffix":""},{"dropping-particle":"","family":"Fedele","given":"Giorgio","non-dropping-particle":"","parse-names":false,"suffix":""},{"dropping-particle":"","family":"He","given":"Qiushui","non-dropping-particle":"","parse-names":false,"suffix":""},{"dropping-particle":"","family":"Paterson","given":"Pauline","non-dropping-particle":"","parse-names":false,"suffix":""},{"dropping-particle":"","family":"Tan","given":"Tina","non-dropping-particle":"","parse-names":false,"suffix":""},{"dropping-particle":"","family":"Knuf","given":"Markus","non-dropping-particle":"","parse-names":false,"suffix":""},{"dropping-particle":"","family":"Rodrigo","given":"Carlos","non-dropping-particle":"","parse-names":false,"suffix":""},{"dropping-particle":"","family":"Olivier","given":"Catherine Weil","non-dropping-particle":"","parse-names":false,"suffix":""},{"dropping-particle":"","family":"Flanagan","given":"Katie L.","non-dropping-particle":"","parse-names":false,"suffix":""},{"dropping-particle":"","family":"Hung","given":"Ivan","non-dropping-particle":"","parse-names":false,"suffix":""},{"dropping-particle":"","family":"Lutsar","given":"Iria","non-dropping-particle":"","parse-names":false,"suffix":""},{"dropping-particle":"","family":"Edwards","given":"Kathryn","non-dropping-particle":"","parse-names":false,"suffix":""},{"dropping-particle":"","family":"O'Ryan","given":"Miguel","non-dropping-particle":"","parse-names":false,"suffix":""},{"dropping-particle":"","family":"Principi","given":"Nicola","non-dropping-particle":"","parse-names":false,"suffix":""}],"container-title":"Frontiers in Immunology","id":"ITEM-3","issued":{"date-parts":[["2019"]]},"publisher":"Frontiers Media S.A.","title":"Pertussis prevention: Reasons for resurgence, and differences in the current acellular pertussis vaccines","type":"article-journal","volume":"10"},"uris":["http://www.mendeley.com/documents/?uuid=62f62735-e3c1-38a0-8a97-0e0c19f40487","http://www.mendeley.com/documents/?uuid=339ab4ae-6618-4990-8182-d0ecd13c3e93"]}],"mendeley":{"formattedCitation":"(Jackson &amp; Rohani, 2014; Schwartz et al., 2016; Esposito et al., 2019)","plainTextFormattedCitation":"(Jackson &amp; Rohani, 2014; Schwartz et al., 2016; Esposito et al., 2019)","previouslyFormattedCitation":"(Jackson &amp; Rohani, 2014; Schwartz et al., 2016; Esposito et al., 2019)"},"properties":{"noteIndex":0},"schema":"https://github.com/citation-style-language/schema/raw/master/csl-citation.json"}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(Jackson &amp; Rohani, 2014; Schwartz et al., 2016; Esposito et al., 2019)</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t>
      </w:r>
      <w:r w:rsidR="00EF2015" w:rsidRPr="003D2D46">
        <w:rPr>
          <w:rFonts w:ascii="Times New Roman" w:eastAsia="Calibri" w:hAnsi="Times New Roman" w:cs="Times New Roman"/>
          <w:color w:val="000000" w:themeColor="text1"/>
        </w:rPr>
        <w:t xml:space="preserve">Although vaccines have been well-established as one of the safest and most successful tools to control and prevent infectious diseases, doubt of vaccine efficacy as well as concerns over side effects by the general public has increased and has resulted in decreasing vaccination coverage </w:t>
      </w:r>
      <w:r w:rsidR="00EF2015" w:rsidRPr="003D2D46">
        <w:rPr>
          <w:rFonts w:ascii="Times New Roman" w:eastAsia="Calibri" w:hAnsi="Times New Roman" w:cs="Times New Roman"/>
          <w:color w:val="000000" w:themeColor="text1"/>
        </w:rPr>
        <w:fldChar w:fldCharType="begin" w:fldLock="1"/>
      </w:r>
      <w:r w:rsidR="00C90BEC" w:rsidRPr="003D2D46">
        <w:rPr>
          <w:rFonts w:ascii="Times New Roman" w:eastAsia="Calibri" w:hAnsi="Times New Roman" w:cs="Times New Roman"/>
          <w:color w:val="000000" w:themeColor="text1"/>
        </w:rPr>
        <w:instrText>ADDIN CSL_CITATION {"citationItems":[{"id":"ITEM-1","itemData":{"DOI":"10.1016/j.vaccine.2015.04.040","ISSN":"18732518","PMID":"25896383","abstract":"The SAGE Working Group on Vaccine Hesitancy concluded that vaccine hesitancy refers to delay in acceptance or refusal of vaccination despite availability of vaccination services. Vaccine hesitancy is complex and context specific, varying across time, place and vaccines. It is influenced by factors such as complacency, convenience and confidence. The Working Group retained the term 'vaccine' rather than 'vaccination' hesitancy, although the latter more correctly implies the broader range of immunization concerns, as vaccine hesitancy is the more commonly used term. While high levels of hesitancy lead to low vaccine demand, low levels of hesitancy do not necessarily mean high vaccine demand. The Vaccine Hesitancy Determinants Matrix displays the factors influencing the behavioral decision to accept, delay or reject some or all vaccines under three categories: contextual, individual and group, and vaccine/vaccination-specific influences.","author":[{"dropping-particle":"","family":"Hickler","given":"Benjamin","non-dropping-particle":"","parse-names":false,"suffix":""},{"dropping-particle":"","family":"Guirguis","given":"Sherine","non-dropping-particle":"","parse-names":false,"suffix":""},{"dropping-particle":"","family":"Obregon","given":"Rafael","non-dropping-particle":"","parse-names":false,"suffix":""},{"dropping-particle":"","family":"Nowak","given":"Glen J.","non-dropping-particle":"","parse-names":false,"suffix":""},{"dropping-particle":"","family":"Gellin","given":"Bruce G.","non-dropping-particle":"","parse-names":false,"suffix":""},{"dropping-particle":"","family":"MacDonald","given":"Noni E.","non-dropping-particle":"","parse-names":false,"suffix":""},{"dropping-particle":"","family":"Butler","given":"Robb","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dropping-particle":"","family":"Jarrett","given":"Caitlin","non-dropping-particle":"","parse-names":false,"suffix":""},{"dropping-particle":"","family":"Schulz","given":"William S.","non-dropping-particle":"","parse-names":false,"suffix":""},{"dropping-particle":"","family":"Chaudhuri","given":"Mohuya","non-dropping-particle":"","parse-names":false,"suffix":""},{"dropping-particle":"","family":"Zhou","given":"Yuqing","non-dropping-particle":"","parse-names":false,"suffix":""},{"dropping-particle":"","family":"Dube","given":"Evé Eve","non-dropping-particle":"","parse-names":false,"suffix":""},{"dropping-particle":"","family":"Schuster","given":"Melanie","non-dropping-particle":"","parse-names":false,"suffix":""},{"dropping-particle":"","family":"MacDonald","given":"Noni E.","non-dropping-particle":"","parse-names":false,"suffix":""},{"dropping-particle":"","family":"Wilson","given":"Rose","non-dropping-particle":"","parse-names":false,"suffix":""},{"dropping-particle":"","family":"Eskola","given":"Juhani","non-dropping-particle":"","parse-names":false,"suffix":""},{"dropping-particle":"","family":"Liang","given":"Xiaofeng","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dropping-particle":"","family":"MacDonald","given":"Noni E.","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Guirguis","given":"Sherine","non-dropping-particle":"","parse-names":false,"suffix":""},{"dropping-particle":"","family":"Hickler","given":"Benjamin","non-dropping-particle":"","parse-names":false,"suffix":""},{"dropping-particle":"","family":"Dubé","given":"Eve","non-dropping-particle":"","parse-names":false,"suffix":""},{"dropping-particle":"","family":"Gagnon","given":"Dominique","non-dropping-particle":"","parse-names":false,"suffix":""},{"dropping-particle":"","family":"MacDonald","given":"Noni 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dropping-particle":"","family":"Butler","given":"Robb","non-dropping-particle":"","parse-names":false,"suffix":""},{"dropping-particle":"","family":"MacDonald","given":"Noni 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dropping-particle":"","family":"Jarrett","given":"Caitlin","non-dropping-particle":"","parse-names":false,"suffix":""},{"dropping-particle":"","family":"Wilson","given":"Rose","non-dropping-particle":"","parse-names":false,"suffix":""},{"dropping-particle":"","family":"O'Leary","given":"Maureen","non-dropping-particle":"","parse-names":false,"suffix":""},{"dropping-particle":"","family":"Eckersberger","given":"Elisabeth","non-dropping-particle":"","parse-names":false,"suffix":""},{"dropping-particle":"","family":"Larson","given":"Heidi J.","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J.","non-dropping-particle":"","parse-names":false,"suffix":""},{"dropping-particle":"","family":"MacDonald","given":"Noni E.","non-dropping-particle":"","parse-names":false,"suffix":""},{"dropping-particle":"","family":"Manzo","given":"Mahamane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dropping-particle":"","family":"Eskola","given":"Juhani","non-dropping-particle":"","parse-names":false,"suffix":""},{"dropping-particle":"","family":"Duclos","given":"Philippe","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G.","non-dropping-particle":"","parse-names":false,"suffix":""},{"dropping-particle":"","family":"Goldstein","given":"Susan","non-dropping-particle":"","parse-names":false,"suffix":""},{"dropping-particle":"","family":"Larson","given":"Heidi J.","non-dropping-particle":"","parse-names":false,"suffix":""},{"dropping-particle":"","family":"MacDonald","given":"Noni E.","non-dropping-particle":"","parse-names":false,"suffix":""},{"dropping-particle":"","family":"Manzo","given":"Mahamane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Guirguis","given":"Sherine","non-dropping-particle":"","parse-names":false,"suffix":""},{"dropping-particle":"","family":"Hickler","given":"Benjamin","non-dropping-particle":"","parse-names":false,"suffix":""},{"dropping-particle":"","family":"Poland","given":"Ga","non-dropping-particle":"","parse-names":false,"suffix":""},{"dropping-particle":"","family":"Altmann","given":"D","non-dropping-particle":"","parse-names":false,"suffix":""},{"dropping-particle":"","family":"Middelberg","given":"A","non-dropping-particle":"","parse-names":false,"suffix":""},{"dropping-particle":"","family":"Mosmann","given":"Australia T","non-dropping-particle":"","parse-names":false,"suffix":""},{"dropping-particle":"","family":"Oberg","given":"Usa A","non-dropping-particle":"","parse-names":false,"suffix":""},{"dropping-particle":"","family":"Osterhaus","given":"Usa A","non-dropping-particle":"","parse-names":false,"suffix":""},{"dropping-particle":"","family":"Alving Silver Spring","given":"Carl","non-dropping-particle":"","parse-names":false,"suffix":""},{"dropping-particle":"","family":"Jon Andrus Washington","given":"Usa","non-dropping-particle":"","parse-names":false,"suffix":""},{"dropping-particle":"","family":"Bernard Arulanandam San Antonio","given":"Usa","non-dropping-particle":"","parse-names":false,"suffix":""},{"dropping-particle":"","family":"Subhash Arya Delhi","given":"Usa","non-dropping-particle":"","parse-names":false,"suffix":""},{"dropping-particle":"","family":"Robert Atmar Houston","given":"India","non-dropping-particle":"","parse-names":false,"suffix":""},{"dropping-particle":"","family":"Ian Barr Melbourne","given":"Usa","non-dropping-particle":"","parse-names":false,"suffix":""},{"dropping-particle":"","family":"Noel Barrett Orth","given":"Australia","non-dropping-particle":"","parse-names":false,"suffix":""},{"dropping-particle":"","family":"Kenneth Beagley Kelvin Grove","given":"Australia","non-dropping-particle":"","parse-names":false,"suffix":""},{"dropping-particle":"","family":"Martin Beer Greifswald-Insel Riems","given":"Australia","non-dropping-particle":"","parse-names":false,"suffix":""},{"dropping-particle":"","family":"Igor Belyakov Ann Arbor","given":"Germany","non-dropping-particle":"","parse-names":false,"suffix":""},{"dropping-particle":"","family":"Steve Black Cincinnati","given":"Usa","non-dropping-particle":"","parse-names":false,"suffix":""},{"dropping-particle":"","family":"Paolo Bonanni Florence","given":"Usa","non-dropping-particle":"","parse-names":false,"suffix":""},{"dropping-particle":"","family":"Xavier Bosch Barcelona","given":"Italy","non-dropping-particle":"","parse-names":false,"suffix":""},{"dropping-particle":"","family":"Prosper Boyaka Columbus","given":"Spain","non-dropping-particle":"","parse-names":false,"suffix":""},{"dropping-particle":"","family":"David Briles Birmingham","given":"Usa","non-dropping-particle":"","parse-names":false,"suffix":""},{"dropping-particle":"","family":"Alexander Bukreyev Galveston","given":"Usa A","non-dropping-particle":"","parse-names":false,"suffix":""},{"dropping-particle":"","family":"Antonella Caputo Padua","given":"Usa","non-dropping-particle":"","parse-names":false,"suffix":""},{"dropping-particle":"","family":"Antonio Cassone Perugia","given":"Italy","non-dropping-particle":"","parse-names":false,"suffix":""},{"dropping-particle":"","family":"Yung-Fu Chang Ithaca","given":"Italy NY","non-dropping-particle":"","parse-names":false,"suffix":""},{"dropping-particle":"","family":"Alan Cripps Southport","given":"Usa","non-dropping-particle":"","parse-names":false,"suffix":""},{"dropping-particle":"","family":"Roy Curtiss III Phoenix","given":"Australia AZ","non-dropping-particle":"","parse-names":false,"suffix":""},{"dropping-particle":"","family":"Ron Dagan Beer Sheva","given":"Usa","non-dropping-particle":"","parse-names":false,"suffix":""},{"dropping-particle":"","family":"Jose De la Fuente Stillwater","given":"Israel","non-dropping-particle":"","parse-names":false,"suffix":""},{"dropping-particle":"","family":"Amanda Dempsey Aurora","given":"Usa","non-dropping-particle":"","parse-names":false,"suffix":""},{"dropping-particle":"","family":"Rik de Swart Rotterdam","given":"Usa","non-dropping-particle":"","parse-names":false,"suffix":""},{"dropping-particle":"","family":"Betty Dodet Lyon","given":"Netherlands","non-dropping-particle":"","parse-names":false,"suffix":""},{"dropping-particle":"","family":"Philippe Duclos Geneva","given":"France","non-dropping-particle":"","parse-names":false,"suffix":""},{"dropping-particle":"","family":"Kathryn Edwards Nashville","given":"Switzerland","non-dropping-particle":"","parse-names":false,"suffix":""},{"dropping-particle":"","family":"Barbara Ensoli Rome","given":"Usa","non-dropping-particle":"","parse-names":false,"suffix":""},{"dropping-particle":"","family":"Ian Frazer Woolloongabba","given":"Italy","non-dropping-particle":"","parse-names":false,"suffix":""},{"dropping-particle":"","family":"Tong-ming Fu Westpoint","given":"Australia","non-dropping-particle":"","parse-names":false,"suffix":""},{"dropping-particle":"","family":"Kohtaro Fujihashi Birmingham","given":"Usa","non-dropping-particle":"","parse-names":false,"suffix":""},{"dropping-particle":"","family":"James Galen Baltimore","given":"Usa","non-dropping-particle":"","parse-names":false,"suffix":""},{"dropping-particle":"","family":"Adolfo Garcia-Sastre New York","given":"Usa","non-dropping-particle":"","parse-names":false,"suffix":""},{"dropping-particle":"","family":"John Glasser","given":"Usa","non-dropping-particle":"","parse-names":false,"suffix":""},{"dropping-particle":"","family":"Griffi Nashville","given":"Marie","non-dropping-particle":"","parse-names":false,"suffix":""},{"dropping-particle":"","family":"Carlos Guzman Braunschweig","given":"Usa","non-dropping-particle":"","parse-names":false,"suffix":""},{"dropping-particle":"","family":"Scott Halperin Halifax","given":"Germany","non-dropping-particle":"","parse-names":false,"suffix":""},{"dropping-particle":"","family":"Scotia","given":"Nova","non-dropping-particle":"","parse-names":false,"suffix":""},{"dropping-particle":"","family":"Ali Harandi Götenborg","given":"Canada","non-dropping-particle":"","parse-names":false,"suffix":""},{"dropping-particle":"","family":"Jorma Hinkula Linköping","given":"Sweden","non-dropping-particle":"","parse-names":false,"suffix":""},{"dropping-particle":"","family":"Sylvia van den Hurk Saskatoon","given":"Sweden","non-dropping-particle":"","parse-names":false,"suffix":""},{"dropping-particle":"","family":"Ken Ishii Osaka","given":"Canada","non-dropping-particle":"","parse-names":false,"suffix":""},{"dropping-particle":"","family":"Kiyoko Iwatsuki-Horimoto Tokyo","given":"Japan","non-dropping-particle":"","parse-names":false,"suffix":""},{"dropping-particle":"","family":"Lisa Jackson Seattle","given":"Japan","non-dropping-particle":"","parse-names":false,"suffix":""},{"dropping-particle":"","family":"Rodrigo Jimenez-Garcia Madrid","given":"Usa","non-dropping-particle":"","parse-names":false,"suffix":""},{"dropping-particle":"","family":"Mark Jit London","given":"Spain","non-dropping-particle":"","parse-names":false,"suffix":""},{"dropping-particle":"","family":"Yoshihiro Kawaoka Kawaguchi","given":"Uk","non-dropping-particle":"","parse-names":false,"suffix":""},{"dropping-particle":"","family":"Heath Kelly Carlton South","given":"Japan","non-dropping-particle":"","parse-names":false,"suffix":""},{"dropping-particle":"","family":"Stephen Kent Melbourne","given":"Australia","non-dropping-particle":"","parse-names":false,"suffix":""},{"dropping-particle":"","family":"Ki Hong Kim Busan","given":"Australia","non-dropping-particle":"","parse-names":false,"suffix":""},{"dropping-particle":"","family":"Korea Dennis Klinman Frederick","given":"S","non-dropping-particle":"","parse-names":false,"suffix":""},{"dropping-particle":"","family":"Keith Klugman Atlanta","given":"Usa P","non-dropping-particle":"","parse-names":false,"suffix":""},{"dropping-particle":"","family":"Eiji Konishi Bangkok","given":"Usa","non-dropping-particle":"","parse-names":false,"suffix":""},{"dropping-particle":"","family":"Thomas Lehner London","given":"Thailand","non-dropping-particle":"","parse-names":false,"suffix":""},{"dropping-particle":"","family":"Margaret Liu Stockholm","given":"Uk","non-dropping-particle":"","parse-names":false,"suffix":""},{"dropping-particle":"","family":"Piere Luigi Lopalco Stockholm","given":"Sweden","non-dropping-particle":"","parse-names":false,"suffix":""},{"dropping-particle":"","family":"Shan Lu Worcester","given":"Sweden","non-dropping-particle":"","parse-names":false,"suffix":""},{"dropping-particle":"","family":"Raina MacIntyre Sydney","given":"Usa","non-dropping-particle":"","parse-names":false,"suffix":""},{"dropping-particle":"","family":"Helen Maltezou Athens","given":"Australia C","non-dropping-particle":"","parse-names":false,"suffix":""},{"dropping-particle":"","family":"Peter McIntyre Westmead","given":"Greece","non-dropping-particle":"","parse-names":false,"suffix":""},{"dropping-particle":"","family":"Janet McElhaney Vancouver","given":"Australia","non-dropping-particle":"","parse-names":false,"suffix":""},{"dropping-particle":"","family":"Tetsuro Matano Tokyo","given":"Canada","non-dropping-particle":"","parse-names":false,"suffix":""},{"dropping-particle":"","family":"Dennis Metzger Albany","given":"Japan","non-dropping-particle":"","parse-names":false,"suffix":""},{"dropping-particle":"","family":"Mark Miller Bethesda","given":"Usa","non-dropping-particle":"","parse-names":false,"suffix":""},{"dropping-particle":"","family":"Newall Sydney","given":"Anthony","non-dropping-particle":"","parse-names":false,"suffix":""},{"dropping-particle":"","family":"Peter Newman Toronto","given":"Australia","non-dropping-particle":"","parse-names":false,"suffix":""},{"dropping-particle":"","family":"Saad Omer Atlanta","given":"Canada","non-dropping-particle":"","parse-names":false,"suffix":""},{"dropping-particle":"","family":"Walter Orenstein Atlanta","given":"Usa","non-dropping-particle":"","parse-names":false,"suffix":""},{"dropping-particle":"","family":"Pasetti Baltimore","given":"Marcela","non-dropping-particle":"","parse-names":false,"suffix":""},{"dropping-particle":"","family":"Steven Pelton","given":"Usa","non-dropping-particle":"","parse-names":false,"suffix":""},{"dropping-particle":"","family":"Pichichero Rochester","given":"Michael","non-dropping-particle":"","parse-names":false,"suffix":""},{"dropping-particle":"","family":"Stanley Plotkin Doylestown","given":"Usa","non-dropping-particle":"","parse-names":false,"suffix":""},{"dropping-particle":"","family":"Principi Milan","given":"Nicola","non-dropping-particle":"","parse-names":false,"suffix":""},{"dropping-particle":"","family":"Roman Prymula Hradec Kralove","given":"Italy","non-dropping-particle":"","parse-names":false,"suffix":""},{"dropping-particle":"","family":"Republic Conrad Quinn Atlanta","given":"Czech","non-dropping-particle":"","parse-names":false,"suffix":""},{"dropping-particle":"","family":"Rino Rappuoli Siena","given":"Usa","non-dropping-particle":"","parse-names":false,"suffix":""},{"dropping-particle":"","family":"Steven Reed Seattle","given":"Italy G","non-dropping-particle":"","parse-names":false,"suffix":""},{"dropping-particle":"","family":"Guus Rimmelzwaan Rotterdam","given":"Usa","non-dropping-particle":"","parse-names":false,"suffix":""},{"dropping-particle":"","family":"Lance Rodewald Atlanta","given":"Netherlands","non-dropping-particle":"","parse-names":false,"suffix":""},{"dropping-particle":"","family":"Ted Ross Pittsburgh","given":"Usa","non-dropping-particle":"","parse-names":false,"suffix":""},{"dropping-particle":"","family":"Scheifele Vancouver","given":"David","non-dropping-particle":"","parse-names":false,"suffix":""},{"dropping-particle":"","family":"Clare-Anne Siegrist Geneva","given":"Canada","non-dropping-particle":"","parse-names":false,"suffix":""},{"dropping-particle":"","family":"Mark Slifka Beaverton","given":"Switzerland","non-dropping-particle":"","parse-names":false,"suffix":""},{"dropping-particle":"","family":"Kanta Subbarao Bethesda","given":"Usa","non-dropping-particle":"","parse-names":false,"suffix":""},{"dropping-particle":"","family":"Andreas Suhrbier Brisbane","given":"Usa","non-dropping-particle":"","parse-names":false,"suffix":""},{"dropping-particle":"","family":"Helen Talbot Nashville","given":"Australia","non-dropping-particle":"","parse-names":false,"suffix":""},{"dropping-particle":"","family":"Geraldine Taylor Newbury","given":"Usa","non-dropping-particle":"","parse-names":false,"suffix":""},{"dropping-particle":"","family":"Richard Titball Exeter","given":"Uk","non-dropping-particle":"","parse-names":false,"suffix":""},{"dropping-particle":"","family":"Ralph Tripp Athens","given":"Uk","non-dropping-particle":"","parse-names":false,"suffix":""},{"dropping-particle":"","family":"Takafumi Tsuboi Ehime","given":"Usa","non-dropping-particle":"","parse-names":false,"suffix":""},{"dropping-particle":"","family":"Pierre van Damme Antwerp","given":"Japan","non-dropping-particle":"","parse-names":false,"suffix":""},{"dropping-particle":"","family":"Cynthia Whitney Atlanta","given":"Belgium G","non-dropping-particle":"","parse-names":false,"suffix":""},{"dropping-particle":"","family":"Sabine Wicker Frankfurt","given":"Usa","non-dropping-particle":"","parse-names":false,"suffix":""},{"dropping-particle":"","family":"Fred Zepp Mainz","given":"Germany","non-dropping-particle":"","parse-names":false,"suffix":""},{"dropping-particle":"","family":"Gregory Zimet Indianapolis","given":"Germany","non-dropping-particle":"","parse-names":false,"suffix":""},{"dropping-particle":"","family":"Qinjian Zhao Xiamen","given":"Usa","non-dropping-particle":"","parse-names":false,"suffix":""},{"dropping-particle":"","family":"Goldstein","given":"Susan","non-dropping-particle":"","parse-names":false,"suffix":""},{"dropping-particle":"","family":"MacDonald","given":"Noni E.","non-dropping-particle":"","parse-names":false,"suffix":""},{"dropping-particle":"","family":"Guirguis","given":"Sherine","non-dropping-particle":"","parse-names":false,"suffix":""},{"dropping-particle":"","family":"Eskola","given":"Juhani","non-dropping-particle":"","parse-names":false,"suffix":""},{"dropping-particle":"","family":"Liang","given":"Xiaofeng","non-dropping-particle":"","parse-names":false,"suffix":""},{"dropping-particle":"","family":"Chaudhuri","given":"Mohuya","non-dropping-particle":"","parse-names":false,"suffix":""},{"dropping-particle":"","family":"Dube","given":"Evé Eve","non-dropping-particle":"","parse-names":false,"suffix":""},{"dropping-particle":"","family":"Gellin","given":"Bruce G.","non-dropping-particle":"","parse-names":false,"suffix":""},{"dropping-particle":"","family":"Larson","given":"Heidi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Hickler","given":"Benjamin","non-dropping-particle":"","parse-names":false,"suffix":""},{"dropping-particle":"","family":"Schuster","given":"Melanie","non-dropping-particle":"","parse-names":false,"suffix":""},{"dropping-particle":"","family":"Goldstein","given":"Susan","non-dropping-particle":"","parse-names":false,"suffix":""},{"dropping-particle":"","family":"Larson","given":"Heidi J.","non-dropping-particle":"","parse-names":false,"suffix":""},{"dropping-particle":"","family":"Manzo","given":"Mahamane Laouali","non-dropping-particle":"","parse-names":false,"suffix":""},{"dropping-particle":"","family":"Reingold","given":"Arthur","non-dropping-particle":"","parse-names":false,"suffix":""},{"dropping-particle":"","family":"Tshering","given":"Kinzang","non-dropping-particle":"","parse-names":false,"suffix":""},{"dropping-particle":"","family":"Zhou","given":"Yuqing","non-dropping-particle":"","parse-names":false,"suffix":""},{"dropping-particle":"","family":"Duclos","given":"Philippe","non-dropping-particle":"","parse-names":false,"suffix":""},{"dropping-particle":"","family":"Guirguis","given":"Sherine","non-dropping-particle":"","parse-names":false,"suffix":""},{"dropping-particle":"","family":"Hickler","given":"Benjamin","non-dropping-particle":"","parse-names":false,"suffix":""},{"dropping-particle":"","family":"Schuster","given":"Melanie","non-dropping-particle":"","parse-names":false,"suffix":""}],"container-title":"Vaccine","id":"ITEM-1","issue":"34","issued":{"date-parts":[["2015"]]},"page":"4180-4190","publisher":"Elsevier Ltd","title":"Health communication and vaccine hesitancy","type":"article-journal","volume":"33"},"uris":["http://www.mendeley.com/documents/?uuid=c5e6bc2d-f8c9-4221-ade1-7be182fdf8e3","http://www.mendeley.com/documents/?uuid=68e58472-a6c0-4637-8681-c3d58a89a706"]}],"mendeley":{"formattedCitation":"(Hickler et al., 2015)","plainTextFormattedCitation":"(Hickler et al., 2015)","previouslyFormattedCitation":"(Hickler et al., 2015)"},"properties":{"noteIndex":0},"schema":"https://github.com/citation-style-language/schema/raw/master/csl-citation.json"}</w:instrText>
      </w:r>
      <w:r w:rsidR="00EF2015" w:rsidRPr="003D2D46">
        <w:rPr>
          <w:rFonts w:ascii="Times New Roman" w:eastAsia="Calibri" w:hAnsi="Times New Roman" w:cs="Times New Roman"/>
          <w:color w:val="000000" w:themeColor="text1"/>
        </w:rPr>
        <w:fldChar w:fldCharType="separate"/>
      </w:r>
      <w:r w:rsidR="00C90BEC" w:rsidRPr="003D2D46">
        <w:rPr>
          <w:rFonts w:ascii="Times New Roman" w:eastAsia="Calibri" w:hAnsi="Times New Roman" w:cs="Times New Roman"/>
          <w:noProof/>
          <w:color w:val="000000" w:themeColor="text1"/>
        </w:rPr>
        <w:t>(Hickler et al., 2015)</w:t>
      </w:r>
      <w:r w:rsidR="00EF2015" w:rsidRPr="003D2D46">
        <w:rPr>
          <w:rFonts w:ascii="Times New Roman" w:eastAsia="Calibri" w:hAnsi="Times New Roman" w:cs="Times New Roman"/>
          <w:color w:val="000000" w:themeColor="text1"/>
        </w:rPr>
        <w:fldChar w:fldCharType="end"/>
      </w:r>
      <w:r w:rsidR="00EF2015" w:rsidRPr="003D2D46">
        <w:rPr>
          <w:rFonts w:ascii="Times New Roman" w:eastAsia="Calibri" w:hAnsi="Times New Roman" w:cs="Times New Roman"/>
          <w:color w:val="000000" w:themeColor="text1"/>
        </w:rPr>
        <w:t xml:space="preserve">. </w:t>
      </w:r>
      <w:r w:rsidR="00EF2015" w:rsidRPr="003D2D46">
        <w:rPr>
          <w:rFonts w:ascii="Times New Roman" w:hAnsi="Times New Roman" w:cs="Times New Roman"/>
          <w:color w:val="000000" w:themeColor="text1"/>
        </w:rPr>
        <w:t xml:space="preserve">Research indicates that variations in vaccination coverage as well as socioeconomic and demographic factors has contributed to changes in pertussis epidemiology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{"citationItems":[{"id":"ITEM-1","itemData":{"DOI":"10.1093/aje/kwn263","ISSN":"00029262","abstract":"School immunization requirements are important in controlling vaccine-preventable diseases in the United States. Forty-eight states offer nonmedical exemptions to school immunization requirements. Children with exemptions are at increased risk of contracting and transmitting vaccine-preventable diseases. The clustering of nonmedical exemptions can affect community risk of vaccine-preventable diseases. The authors evaluated spatial clustering of nonmedical exemptions in Michigan and geographic overlap between exemptions clusters and clusters of reported pertussis cases. Kulldorf's scan statistic identified 23 statistically significant census tract clusters for exemption rates and 6 significant census tract clusters for reported pertussis cases between 1993 and 2004. The time frames for significant space-time pertussis clusters were August 1993-September 1993, August 1994-February 1995, May 1998-June 1998, April 2002, May 2003-July 2003, and June 2004-November 2004. Census tracts in exemptions clusters were more likely to be in pertussis clusters (odds ratio = 3.0, 95% confidence interval: 2.5, 3.6). The overlap of exemptions clusters and pertussis clusters remained significant after adjustment for population density, proportion of racial/ethnic minorities, proportion of children aged 5 years or younger, percentage of persons below the poverty level, and average family size (odds ratio = 2.7, 95% confidence interval: 2.2, 3.3). Geographic pockets of vaccine exemptors pose a risk to the whole community. In addition to monitoring state-level exemption rates, health authorities should be mindful of within-state heterogeneity. © The Author 2008. Published by the Johns Hopkins Bloomberg School of Public Health. All rights reserved.","author":[{"dropping-particle":"","family":"Omer","given":"Saad B.","non-dropping-particle":"","parse-names":false,"suffix":""},{"dropping-particle":"","family":"Enger","given":"Kyle S.","non-dropping-particle":"","parse-names":false,"suffix":""},{"dropping-particle":"","family":"Moulton","given":"Lawrence H.","non-dropping-particle":"","parse-names":false,"suffix":""},{"dropping-particle":"","family":"Halsey","given":"Neal A.","non-dropping-particle":"","parse-names":false,"suffix":""},{"dropping-particle":"","family":"Stokley","given":"Shannon","non-dropping-particle":"","parse-names":false,"suffix":""},{"dropping-particle":"","family":"Salmon","given":"Daniel A.","non-dropping-particle":"","parse-names":false,"suffix":""}],"container-title":"American Journal of Epidemiology","id":"ITEM-1","issue":"12","issued":{"date-parts":[["2008","12"]]},"page":"1389-1396","title":"Geographic clustering of nonmedical exemptions to school immunization requirements and associations with geographic clustering of pertussis","type":"article-journal","volume":"168"},"uris":["http://www.mendeley.com/documents/?uuid=5dd08608-3cc9-33b5-8bb0-a42cebbff36c","http://www.mendeley.com/documents/?uuid=c7078780-e5ce-465d-b6ba-b6813a598960"]},{"id":"ITEM-2","itemData":{"DOI":"10.1542/peds.2013-0878","ISSN":"00314005","abstract":"Background: In 2010, 9120 cases of pertussis were reported in California, more than any year since 1947. Although this resurgence has been widely attributed to waning immunity of the acellular vaccine, the role of vaccine refusal has not been explored in the published literature. Many factors likely contributed to the outbreak, includingthe cyclical nature of pertussis, improved diagnosis, and waning immunity; however, itis important to understand if clustering of unvaccinated individuals also played a role. Methods: We analyzed nonmedical exemptions (NMEs) for children entering kindergarten from 2005 through 2010 and pertussis cases with onset in 2010 in California to determine if NMEs increased in that period, if children obtaining NMEs clustered spatially, if pertussis cases clustered spatially and temporally, and if there was statistically significant overlap between clusters of NMEs and cases. Results: Kulldorff's scan statistics identified 39 statistically significant clusters of high NME rates and 2 statistically significant clusters of pertussis cases in this time period. Census tracts within an exemptions cluster were 2.5 times more likely to be in a pertussis cluster (odds ratio = 2.47, 95% confidence interval: 2.22-2.75). More cases occurred within as compared with outside exemptions clusters (incident rate ratios = 1.20, 95% confidence interval: 1.10-1.30). The association remained significant after adjustment for demographic factors. NMEs clustered spatially and were associated with clusters of pertussiscases. Conclusions: Our data suggest clustering of NMEs may have been 1 of several factors in the 2010 California pertussis resurgence. © 2013 by the American Academy of Pediatrics.","author":[{"dropping-particle":"","family":"Atwell","given":"Jessica E.","non-dropping-particle":"","parse-names":false,"suffix":""},{"dropping-particle":"","family":"Otterloo","given":"Josh","non-dropping-particle":"Van","parse-names":false,"suffix":""},{"dropping-particle":"","family":"Zipprich","given":"Jennifer","non-dropping-particle":"","parse-names":false,"suffix":""},{"dropping-particle":"","family":"Winter","given":"Kathleen","non-dropping-particle":"","parse-names":false,"suffix":""},{"dropping-particle":"","family":"Harriman","given":"Kathleen","non-dropping-particle":"","parse-names":false,"suffix":""},{"dropping-particle":"","family":"Salmon","given":"Daniel A.","non-dropping-particle":"","parse-names":false,"suffix":""},{"dropping-particle":"","family":"Halsey","given":"Neal A.","non-dropping-particle":"","parse-names":false,"suffix":""},{"dropping-particle":"","family":"Omer","given":"Saad B.","non-dropping-particle":"","parse-names":false,"suffix":""}],"container-title":"Pediatrics","id":"ITEM-2","issue":"4","issued":{"date-parts":[["2013"]]},"page":"624-630","title":"Nonmedical vaccine exemptions and pertussis in California, 2010","type":"article-journal","volume":"132"},"uris":["http://www.mendeley.com/documents/?uuid=7fa540bb-85a3-4a93-b9d9-e47fb26d40db","http://www.mendeley.com/documents/?uuid=0c05451c-1436-423b-9a47-6baa9d857108"]},{"id":"ITEM-3","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Diseases","id":"ITEM-3","issue":"7","issued":{"date-parts":[["2014"]]},"page":"978-981","title":"Changing pertussis epidemiology: Everything old is new again","type":"article-journal","volume":"209"},"uris":["http://www.mendeley.com/documents/?uuid=19ce94ac-c12c-4c5d-b888-a4f1335a5235","http://www.mendeley.com/documents/?uuid=75374772-7813-4264-9c83-9b95e29d5a39"]}],"mendeley":{"formattedCitation":"(Omer et al., 2008; Atwell et al., 2013; Clark, 2014)","plainTextFormattedCitation":"(Omer et al., 2008; Atwell et al., 2013; Clark, 2014)","previouslyFormattedCitation":"(Omer et al., 2008; Atwell et al., 2013; Clark, 2014)"},"properties":{"noteIndex":0},"schema":"https://github.com/citation-style-language/schema/raw/master/csl-citation.json"}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(Omer et al., 2008; Atwell et al., 2013; Clark, 2014)</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t>
      </w:r>
      <w:r w:rsidR="00EF2015" w:rsidRPr="003D2D46">
        <w:rPr>
          <w:rFonts w:ascii="Times New Roman" w:eastAsia="Calibri" w:hAnsi="Times New Roman" w:cs="Times New Roman"/>
          <w:color w:val="000000" w:themeColor="text1"/>
        </w:rPr>
        <w:t xml:space="preserve"> </w:t>
      </w:r>
      <w:r w:rsidR="00EF2015" w:rsidRPr="003D2D46">
        <w:rPr>
          <w:rFonts w:ascii="Times New Roman" w:hAnsi="Times New Roman" w:cs="Times New Roman"/>
          <w:color w:val="000000" w:themeColor="text1"/>
        </w:rPr>
        <w:t xml:space="preserve">Race and ethnic disparities in vaccination uptake have also been reported with minority populations usually having lower vaccination coverage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{"citationItems":[{"id":"ITEM-1","itemData":{"author":[{"dropping-particle":"","family":"Williams","given":"Walter W","non-dropping-particle":"","parse-names":false,"suffix":""},{"dropping-particle":"","family":"Lu","given":"Peng Jun","non-dropping-particle":"","parse-names":false,"suffix":""},{"dropping-particle":"","family":"O'Halloran","given":"Alissa","non-dropping-particle":"","parse-names":false,"suffix":""},{"dropping-particle":"","family":"Bridges","given":"Carolyn B","non-dropping-particle":"","parse-names":false,"suffix":""},{"dropping-particle":"","family":"Kim","given":"David K","non-dropping-particle":"","parse-names":false,"suffix":""},{"dropping-particle":"","family":"Pilishvili","given":"Tamara","non-dropping-particle":"","parse-names":false,"suffix":""},{"dropping-particle":"","family":"Hales","given":"Craig M","non-dropping-particle":"","parse-names":false,"suffix":""},{"dropping-particle":"","family":"Markowitz","given":"Lauri E","non-dropping-particle":"","parse-names":false,"suffix":""}],"container-title":"Morbidity and Mortality Weekly Report","id":"ITEM-1","issue":"4","issued":{"date-parts":[["2015"]]},"page":"95-102","title":"Vaccination Coverage Among Adults, Excluding Influenza Vaccination — United States, 2013","type":"article-journal","volume":"64"},"uris":["http://www.mendeley.com/documents/?uuid=d6dc1ded-57d4-48f2-86e3-8f98f6b85020","http://www.mendeley.com/documents/?uuid=f5dac4ff-8798-4144-90a7-e6e2e83fecce"]}],"mendeley":{"formattedCitation":"(Williams et al., 2015)","plainTextFormattedCitation":"(Williams et al., 2015)","previouslyFormattedCitation":"(Williams et al., 2015)"},"properties":{"noteIndex":0},"schema":"https://github.com/citation-style-language/schema/raw/master/csl-citation.json"}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(Williams et al., 2015)</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t>
      </w:r>
      <w:r w:rsidR="00EF2015" w:rsidRPr="003D2D46">
        <w:rPr>
          <w:rFonts w:ascii="Times New Roman" w:eastAsia="Calibri" w:hAnsi="Times New Roman" w:cs="Times New Roman"/>
          <w:color w:val="000000" w:themeColor="text1"/>
        </w:rPr>
        <w:t>Vaccine hesitancy has been shown to be influenced by demographic, socioeconomic, and attitudinal factors. For instance, s</w:t>
      </w:r>
      <w:r w:rsidR="00EF2015" w:rsidRPr="003D2D46">
        <w:rPr>
          <w:rFonts w:ascii="Times New Roman" w:hAnsi="Times New Roman" w:cs="Times New Roman"/>
          <w:color w:val="000000" w:themeColor="text1"/>
        </w:rPr>
        <w:t xml:space="preserve">ocioeconomic status and level of education have been identified as major predictors of vaccination acceptance </w:t>
      </w:r>
      <w:r w:rsidR="00EF2015"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{"citationItems":[{"id":"ITEM-1","itemData":{"DOI":"10.1177/216507990205000509","ISSN":"08910162","PMID":"12033090","abstract":"A self administered questionnaire with items derived from the Health Belief Model was mailed to a random sample of workers prior to a worksite influenza vaccine program in this descriptive study of 207 service and clerical workers. The researchers investigated the utility of the Health Belief Model in predicting influenza vaccine acceptance. A second postcard questionnaire was mailed after the program to verify the vaccination status. Workers who received the vaccine had higher scores for susceptibility, seriousness, benefits, cues to action, knowledge, and health motivation and lower scores for barriers than did workers who did not receive a vaccine. Logistic regression analysis revealed the importance of benefits, barriers, and cues to action in predicting influenza vaccine acceptance. Study results suggest education and program efforts directed toward increasing benefits, dispelling myths about influenza and the vaccine, reducing barriers, and developing a campaign to increase program awareness may increase workers' vaccine acceptance.","author":[{"dropping-particle":"","family":"Blue","given":"Carolyn L.","non-dropping-particle":"","parse-names":false,"suffix":""},{"dropping-particle":"","family":"Valley","given":"Juanita M.","non-dropping-particle":"","parse-names":false,"suffix":""}],"container-title":"AAOHN journal : official journal of the American Association of Occupational Health Nurses","id":"ITEM-1","issue":"5","issued":{"date-parts":[["2002"]]},"page":"227-233","title":"Predictors of influenza vaccine. Acceptance among healthy adult workers.","type":"article-journal","volume":"50"},"uris":["http://www.mendeley.com/documents/?uuid=c99de95e-13d5-49d2-811d-a4d673757b73","http://www.mendeley.com/documents/?uuid=e0a67fa7-b0a4-4899-b0c1-dcb498387828"]},{"id":"ITEM-2","itemData":{"DOI":"10.1016/j.vaccine.2014.01.081","ISSN":"18732518","abstract":"Vaccine \"hesitancy\" is an emerging term in the literature and discourse on vaccine decision-making and determinants of vaccine acceptance. It recognizes a continuum between the domains of vaccine acceptance and vaccine refusal and de-polarizes previous characterization of individuals and groups as either anti-vaccine or pro-vaccine.The primary aims of this systematic review are to: 1) identify research on vaccine hesitancy; 2) identify determinants of vaccine hesitancy in different settings including its context-specific causes, its expression and its impact; and 3) inform the development of a model for assessing determinants of vaccine hesitancy in different settings as proposed by the Strategic Advisory Group of Experts Working Group (SAGE WG) for dealing with vaccine hesitancy.A broad search strategy, built to capture multiple dimensions of public trust, confidence and hesitancy around vaccines, was applied across multiple databases. Peer-reviewed studies were selected for inclusion if they focused on childhood vaccines [≤7 years of age], used multivariate analyses, and were published between January 2007 and November 2012.Our results show a variety of factors as being associated with vaccine hesitancy but they do not allow for a complete classification and confirmation of their independent and relative strength of influence. Determinants of vaccine hesitancy are complex and context-specific-varying across time, place and vaccines. © 2014 Elsevier Ltd.","author":[{"dropping-particle":"","family":"Larson","given":"Heidi J.","non-dropping-particle":"","parse-names":false,"suffix":""},{"dropping-particle":"","family":"Jarrett","given":"Caitlin","non-dropping-particle":"","parse-names":false,"suffix":""},{"dropping-particle":"","family":"Eckersberger","given":"Elisabeth","non-dropping-particle":"","parse-names":false,"suffix":""},{"dropping-particle":"","family":"Smith","given":"David M.D.","non-dropping-particle":"","parse-names":false,"suffix":""},{"dropping-particle":"","family":"Paterson","given":"Pauline","non-dropping-particle":"","parse-names":false,"suffix":""}],"container-title":"Vaccine","id":"ITEM-2","issue":"19","issued":{"date-parts":[["2014"]]},"page":"2150-2159","publisher":"Elsevier Ltd","title":"Understanding vaccine hesitancy around vaccines and vaccination from a global perspective: A systematic review of published literature, 2007-2012","type":"article-journal","volume":"32"},"uris":["http://www.mendeley.com/documents/?uuid=29663e15-f841-491c-b1df-9ef9077fa04b","http://www.mendeley.com/documents/?uuid=f8a3b999-3e44-42e6-a199-2d28db7a1eee"]}],"mendeley":{"formattedCitation":"(Blue &amp; Valley, 2002; Larson et al., 2014)","plainTextFormattedCitation":"(Blue &amp; Valley, 2002; Larson et al., 2014)","previouslyFormattedCitation":"(Blue &amp; Valley, 2002; Larson et al., 2014)"},"properties":{"noteIndex":0},"schema":"https://github.com/citation-style-language/schema/raw/master/csl-citation.json"}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(Blue &amp; Valley, 2002; Larson et al., 2014)</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Since pertussis is a vaccine-preventable disease and demographic and socioeconomic factors influence acceptance and uptake of vaccines, it </w:t>
      </w:r>
      <w:r w:rsidR="00EF2015" w:rsidRPr="003D2D46">
        <w:rPr>
          <w:rFonts w:ascii="Times New Roman" w:hAnsi="Times New Roman" w:cs="Times New Roman"/>
          <w:color w:val="000000" w:themeColor="text1"/>
        </w:rPr>
        <w:lastRenderedPageBreak/>
        <w:t>is important to investigate and identify how these factors impact pertussis vaccination and disease epidemiology.</w:t>
      </w:r>
    </w:p>
    <w:p w14:paraId="7405B644" w14:textId="77777777" w:rsidR="00EF2015" w:rsidRPr="003D2D46" w:rsidRDefault="00EF2015" w:rsidP="00580A15">
      <w:pPr>
        <w:spacing w:after="200" w:line="480" w:lineRule="auto"/>
        <w:contextualSpacing/>
        <w:rPr>
          <w:rFonts w:ascii="Times New Roman" w:hAnsi="Times New Roman" w:cs="Times New Roman"/>
          <w:color w:val="000000" w:themeColor="text1"/>
        </w:rPr>
      </w:pPr>
    </w:p>
    <w:p w14:paraId="1A2E405F" w14:textId="14C3148D" w:rsidR="00EF2015" w:rsidRPr="003D2D46" w:rsidRDefault="00EF2015"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A number of studies have reported temporal trends in the occurrence of pertussis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Bouchez","given":"Valerie","non-dropping-particle":"","parse-names":false,"suffix":""},{"dropping-particle":"","family":"Guiso","given":"Nicole","non-dropping-particle":"","parse-names":false,"suffix":""}],"container-title":"Pathogens and Disease","id":"ITEM-1","issue":"7","issued":{"date-parts":[["2015"]]},"title":"Bordetella pertussis, B. parapertussis, vaccines and cycles of whooping cough","type":"article-journal","volume":"73"},"uris":["http://www.mendeley.com/documents/?uuid=22641bfe-7b77-4ee1-b83a-0814656ac4f7"]},{"id":"ITEM-2","itemData":{"DOI":"10.1098/rspb.2010.0994","ISSN":"14712970","abstract":"Bordetella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Sciences","id":"ITEM-2","issue":"1698","issued":{"date-parts":[["2010"]]},"page":"3239-3245","title":"Impact of vaccination and birth rate on the epidemiology of pertussis: A comparative study in 64 countries","type":"article-journal","volume":"277"},"uris":["http://www.mendeley.com/documents/?uuid=c37ba5ff-ffdd-426e-8528-d1a7b86d68ac","http://www.mendeley.com/documents/?uuid=29635471-f1f9-4ba4-b2d8-cead1f36f59a","http://www.mendeley.com/documents/?uuid=d8d23c2a-eb68-412e-bd40-423920a405b1"]},{"id":"ITEM-3","itemData":{"DOI":"10.1007/s40471-015-0041-9","ISSN":"2196-2995","abstract":"Pertussis and Bordetella pertussis infections since 1906 are reviewed with an attempt to address facts, myths, and misconceptions. Clinical pertussis is a noninflammatory illness which occurs without fever or productive cough, and its hallmark is the distinctive paroxysmal cough. Because of its significant mortality and morbidity, whole-cell vaccines were developed in the 1930s, and the universal use of these vaccines decreased the incidence of reported pertussis 157-fold by 1970. Because of real and perceived reactions to diphtheria and tetanus toxoids and whole cell pertussis vaccine (DTwP) vaccines, diphtheria and tetanus toxoids and acellular pertussis vaccine (DTaP) vaccines were developed and put into universal use in the USA in 1997. Pertussis has two epidemiologies; one is reported pertussis and the other is B. pertussis illness. The study of these two epidemiologies indicate that reported pertussis is just the tip of the iceberg and B. pertussis cough illnesses occur in all age groups and they are very common; also, asymptomatic infection is more common than symptomatic infection. DTaP vaccines are less reactogenic than DTwP vaccines, but their effectiveness is less. B. pertussis infection is caused by many protein antigens, but illness due to this organism is caused by just two factors, pertussis toxin (PT) and a ``cough toxin'' which, as yet, has not been discovered. The present ``resurgence of pertussis'' is mainly due to greater awareness and the use of PCR for diagnosis. There are also many other factors which have contributed to the ``resurgence.'' New vaccines are clearly needed; with our present vaccines (DTaP and adolescent and adult formulated tetanus and diphtheria toxoids and acellular pertussis vaccine (Tdap)), if used correctly, severe pertussis and deaths in infants can be prevented.","author":[{"dropping-particle":"","family":"Cherry","given":"James D.","non-dropping-particle":"","parse-names":false,"suffix":""}],"container-title":"Current Epidemiology Reports","id":"ITEM-3","issue":"2","issued":{"date-parts":[["2015"]]},"page":"120-130","title":"The History of Pertussis (Whooping Cough); 1906–2015: Facts, Myths, and Misconceptions","type":"article-journal","volume":"2"},"uris":["http://www.mendeley.com/documents/?uuid=f3e7457b-9b42-4e36-8cdc-a44430bdcc03","http://www.mendeley.com/documents/?uuid=4d8df587-060e-4282-81fd-ce8db4677750","http://www.mendeley.com/documents/?uuid=bb9c631a-6bfc-4818-a99e-c5ff20b06285"]}],"mendeley":{"formattedCitation":"(Broutin et al., 2010; Bouchez &amp; Guiso, 2015; Cherry, 2015)","plainTextFormattedCitation":"(Broutin et al., 2010; Bouchez &amp; Guiso, 2015; Cherry, 2015)","previouslyFormattedCitation":"(Broutin et al., 2010; Bouchez &amp; Guiso, 2015; Cherry,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(Broutin et al., 2010; Bouchez &amp; Guiso, 2015; Cherry,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Epidemics of the disease have been reported to occur approximately every 3-5 years across the globe </w:t>
      </w:r>
      <w:r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http://www.mendeley.com/documents/?uuid=75374772-7813-4264-9c83-9b95e29d5a39"]},{"id":"ITEM-2","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Sciences","id":"ITEM-2","issue":"1698","issued":{"date-parts":[["2010"]]},"page":"3239-3245","title":"Impact of vaccination and birth rate on the epidemiology of pertussis: A comparative study in 64 countries","type":"article-journal","volume":"277"},"uris":["http://www.mendeley.com/documents/?uuid=d8d23c2a-eb68-412e-bd40-423920a405b1","http://www.mendeley.com/documents/?uuid=29635471-f1f9-4ba4-b2d8-cead1f36f59a","http://www.mendeley.com/documents/?uuid=c37ba5ff-ffdd-426e-8528-d1a7b86d68ac"]},{"id":"ITEM-3","itemData":{"author":[{"dropping-particle":"","family":"Centers for Disease Control and Prevention","given":"","non-dropping-particle":"","parse-names":false,"suffix":""}],"edition":"13th","editor":[{"dropping-particle":"","family":"Hamborsky","given":"J","non-dropping-particle":"","parse-names":false,"suffix":""},{"dropping-particle":"","family":"Kroger","given":"A","non-dropping-particle":"","parse-names":false,"suffix":""},{"dropping-particle":"","family":"Wolfe","given":"S","non-dropping-particle":"","parse-names":false,"suffix":""}],"id":"ITEM-3","issued":{"date-parts":[["2015"]]},"publisher":"Public Health Foundation","publisher-place":"Washington, D.C.","title":"Epidemiology and Prevention of Vaccine-Preventable Diseases","type":"book"},"uris":["http://www.mendeley.com/documents/?uuid=74b048d6-e189-434d-93b1-7be4cf32fd30","http://www.mendeley.com/documents/?uuid=15796fb8-54d3-4522-90c6-03ca4f730f2a","http://www.mendeley.com/documents/?uuid=a98ef823-f9c0-4d0a-8705-73e22f1a924a"]}],"mendeley":{"formattedCitation":"(Broutin et al., 2010; Clark, 2014; Centers for Disease Control and Prevention, 2015a)","plainTextFormattedCitation":"(Broutin et al., 2010; Clark, 2014; Centers for Disease Control and Prevention, 2015a)","previouslyFormattedCitation":"(Broutin et al., 2010; Clark, 2014; Centers for Disease Control and Prevention, 2015a)"},"properties":{"noteIndex":0},"schema":"https://github.com/citation-style-language/schema/raw/master/csl-citation.json"}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5B14DA" w:rsidRPr="003D2D46">
        <w:rPr>
          <w:rFonts w:ascii="Times New Roman" w:hAnsi="Times New Roman" w:cs="Times New Roman"/>
          <w:noProof/>
          <w:color w:val="000000" w:themeColor="text1"/>
        </w:rPr>
        <w:t>(Broutin et al., 2010; Clark, 2014; Centers for Disease Control and Prevention, 2015a)</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cyclical pattern is seen in the United States as well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Sciences","id":"ITEM-1","issue":"1698","issued":{"date-parts":[["2010"]]},"page":"3239-3245","title":"Impact of vaccination and birth rate on the epidemiology of pertussis: A comparative study in 64 countries","type":"article-journal","volume":"277"},"uris":["http://www.mendeley.com/documents/?uuid=d8d23c2a-eb68-412e-bd40-423920a405b1","http://www.mendeley.com/documents/?uuid=29635471-f1f9-4ba4-b2d8-cead1f36f59a","http://www.mendeley.com/documents/?uuid=c37ba5ff-ffdd-426e-8528-d1a7b86d68ac"]},{"id":"ITEM-2","itemData":{"author":[{"dropping-particle":"","family":"Bouchez","given":"Valerie","non-dropping-particle":"","parse-names":false,"suffix":""},{"dropping-particle":"","family":"Guiso","given":"Nicole","non-dropping-particle":"","parse-names":false,"suffix":""}],"container-title":"Pathogens and Disease","id":"ITEM-2","issue":"7","issued":{"date-parts":[["2015"]]},"title":"Bordetella pertussis, B. parapertussis, vaccines and cycles of whooping cough","type":"article-journal","volume":"73"},"uris":["http://www.mendeley.com/documents/?uuid=22641bfe-7b77-4ee1-b83a-0814656ac4f7"]}],"mendeley":{"formattedCitation":"(Broutin et al., 2010; Bouchez &amp; Guiso, 2015)","plainTextFormattedCitation":"(Broutin et al., 2010; Bouchez &amp; Guiso, 2015)","previouslyFormattedCitation":"(Broutin et al., 2010; Bouchez &amp; Guiso,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(Broutin et al., 2010; Bouchez &amp; Guiso,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Bouchez and Guiso have suggested that these cycles result from an increase in susceptible hosts which is influenced by demographic differences and varying vaccine coverage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Bouchez","given":"Valerie","non-dropping-particle":"","parse-names":false,"suffix":""},{"dropping-particle":"","family":"Guiso","given":"Nicole","non-dropping-particle":"","parse-names":false,"suffix":""}],"container-title":"Pathogens and Disease","id":"ITEM-1","issue":"7","issued":{"date-parts":[["2015"]]},"title":"Bordetella pertussis, B. parapertussis, vaccines and cycles of whooping cough","type":"article-journal","volume":"73"},"uris":["http://www.mendeley.com/documents/?uuid=22641bfe-7b77-4ee1-b83a-0814656ac4f7"]}],"mendeley":{"formattedCitation":"(Bouchez &amp; Guiso, 2015)","plainTextFormattedCitation":"(Bouchez &amp; Guiso, 2015)","previouslyFormattedCitation":"(Bouchez &amp; Guiso,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(Bouchez &amp; Guiso,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They also suggest that temporal changes in disease surveillance may play an important role in the observed cyclical nature of pertussis epidemics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Bouchez","given":"Valerie","non-dropping-particle":"","parse-names":false,"suffix":""},{"dropping-particle":"","family":"Guiso","given":"Nicole","non-dropping-particle":"","parse-names":false,"suffix":""}],"container-title":"Pathogens and Disease","id":"ITEM-1","issue":"7","issued":{"date-parts":[["2015"]]},"title":"Bordetella pertussis, B. parapertussis, vaccines and cycles of whooping cough","type":"article-journal","volume":"73"},"uris":["http://www.mendeley.com/documents/?uuid=39bdf593-3191-4e67-966d-c227b43fa121","http://www.mendeley.com/documents/?uuid=22641bfe-7b77-4ee1-b83a-0814656ac4f7"]}],"mendeley":{"formattedCitation":"(Bouchez &amp; Guiso, 2015)","plainTextFormattedCitation":"(Bouchez &amp; Guiso, 2015)","previouslyFormattedCitation":"(Bouchez &amp; Guiso,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(Bouchez &amp; Guiso,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7B68451D" w14:textId="77777777" w:rsidR="00EF2015" w:rsidRPr="003D2D46" w:rsidRDefault="00EF2015" w:rsidP="00580A15">
      <w:pPr>
        <w:spacing w:after="200" w:line="480" w:lineRule="auto"/>
        <w:contextualSpacing/>
        <w:rPr>
          <w:rFonts w:ascii="Times New Roman" w:hAnsi="Times New Roman" w:cs="Times New Roman"/>
          <w:color w:val="000000" w:themeColor="text1"/>
        </w:rPr>
      </w:pPr>
    </w:p>
    <w:p w14:paraId="6A306A1C" w14:textId="6C904E7C" w:rsidR="00EF2015" w:rsidRPr="003D2D46" w:rsidRDefault="00EF2015"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Between 2000 and 2008, the average annual incidence of pertussis in the United States was 3.4 per 100,000 and between 2009 and 2016, the average incidence rose to 5.9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investigation of the geographic distribution of pertussis in the United States from 2000 to 2016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{"citationItems":[{"id":"ITEM-1","itemData":{"DOI":"10.1093/cid/ciy757","ISSN":"15376591","abstract":"Background. Despite successful vaccination programs, pertussis remains endemic in the United States, and increasing incidence has been reported. We used national surveillance data to describe pertussis epidemiology, including patient demographic characteristics, geographic distribution, and temporal trends. Methods. We included cases reported through the National Notifiable Diseases Surveillance System between 1 January 2000 and 31 December 2016. Differences in case characteristics were compared using Pearson χ2. Average annual incidence (cases per 100 000 population) was calculated overall and by age (&lt;1 year, 1-6 years, 7-10 years, 11-18 years, 19-39 years, 30-64 years, and ≥65 years) and geographic subgroup. Annual percent change was estimated using negative bionomial regression. Results. During 2000-2016, 339 420 pertussis cases were reported. The majority were in white (88.2%) and non-Hispanic (81.3%) persons, 9.9% were hospitalized, and 0.1% were fatal; however, differences existed by age. Infants had the highest incidence (75.3/100 000 population), accounting for 88.8% of deaths. Incidence increased significantly over time (P = .0019), increases were observed for all groups except persons aged &lt;1 year and 19-64 years. Elevated case counts among persons aged 7-10 and 11-18 years coincided with the aging of acellular-primed cohorts. Incidence varied by geographic region, with some similarities in disease cyclicity. Conclusions. Increasing baseline incidence and changing age distribution of pertussis suggest a central role of the transition to acellular vaccines in the US disease resurgence. Continued monitoring of national data is important to evaluate and optimize pertussis prevention and control strategies.","author":[{"dropping-particle":"","family":"Skoff","given":"Tami H.","non-dropping-particle":"","parse-names":false,"suffix":""},{"dropping-particle":"","family":"Hadler","given":"Stephen","non-dropping-particle":"","parse-names":false,"suffix":""},{"dropping-particle":"","family":"Hariri","given":"Susan","non-dropping-particle":"","parse-names":false,"suffix":""}],"container-title":"Clinical Infectious Diseases","id":"ITEM-1","issue":"10","issued":{"date-parts":[["2019"]]},"page":"1634-1640","title":"The epidemiology of nationally reported pertussis in the United States, 2000-2016","type":"article-journal","volume":"68"},"uris":["http://www.mendeley.com/documents/?uuid=f07eb85e-51db-4e95-9773-0165377901ad","http://www.mendeley.com/documents/?uuid=f47bbc48-7113-42d2-b1ef-23b9da5d860a"]}],"mendeley":{"formattedCitation":"(Skoff, Hadler &amp; Hariri, 2019)","plainTextFormattedCitation":"(Skoff, Hadler &amp; Hariri, 2019)","previouslyFormattedCitation":"(Skoff, Hadler &amp; Hariri,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(Skoff, Hadler &amp; Hariri,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showed that pertussis incidence was highest in the central mid-west (i.e. Kansas, Nebraska, South Dakota) [11.9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and Rocky Mountain (i.e. Colorado, Montana, Utah) [11.5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areas. Lowest annual average incidence was seen in the south Atlantic (i.e. Delaware, Georgia, North Carolina) [2.5 per 100,000</w:t>
      </w:r>
      <w:r w:rsidR="00A31B5D" w:rsidRPr="003D2D46">
        <w:rPr>
          <w:rFonts w:ascii="Times New Roman" w:hAnsi="Times New Roman" w:cs="Times New Roman"/>
          <w:color w:val="000000" w:themeColor="text1"/>
        </w:rPr>
        <w:t xml:space="preserve"> </w:t>
      </w:r>
      <w:r w:rsidR="00A31B5D" w:rsidRPr="003D2D46">
        <w:rPr>
          <w:rFonts w:ascii="Times New Roman" w:hAnsi="Times New Roman" w:cs="Times New Roman"/>
          <w:color w:val="000000" w:themeColor="text1"/>
        </w:rPr>
        <w:lastRenderedPageBreak/>
        <w:t>persons</w:t>
      </w:r>
      <w:r w:rsidRPr="003D2D46">
        <w:rPr>
          <w:rFonts w:ascii="Times New Roman" w:hAnsi="Times New Roman" w:cs="Times New Roman"/>
          <w:color w:val="000000" w:themeColor="text1"/>
        </w:rPr>
        <w:t>] and southeastern (i.e. Tennessee, Kentucky, Alabama) [3.1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xml:space="preserve">] areas. </w:t>
      </w:r>
    </w:p>
    <w:p w14:paraId="5E63A8AF" w14:textId="77777777" w:rsidR="00EF2015" w:rsidRPr="003D2D46" w:rsidRDefault="00EF2015" w:rsidP="00580A15">
      <w:pPr>
        <w:spacing w:after="200" w:line="480" w:lineRule="auto"/>
        <w:contextualSpacing/>
        <w:rPr>
          <w:rFonts w:ascii="Times New Roman" w:hAnsi="Times New Roman" w:cs="Times New Roman"/>
          <w:color w:val="000000" w:themeColor="text1"/>
        </w:rPr>
      </w:pPr>
    </w:p>
    <w:p w14:paraId="304B2CB9" w14:textId="45EB9370" w:rsidR="00EF2015" w:rsidRPr="003D2D46" w:rsidRDefault="00EF2015"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state of Florida has seen a rise in pertussis cases and, as of 2010, it was the only vaccine-preventable disease with consistent case increases in that state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state","type":"article-journal","volume":"125"},"uris":["http://www.mendeley.com/documents/?uuid=7a53eeb1-a7f9-479e-bc29-094d30262264","http://www.mendeley.com/documents/?uuid=5261fa91-b7e4-42b8-82c2-ed4be25227ab"]}],"mendeley":{"formattedCitation":"(Schulte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As of 2019, Florida had a pertussis incidence of 1.85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fldChar w:fldCharType="begin" w:fldLock="1"/>
      </w:r>
      <w:r w:rsidR="00A1003E" w:rsidRPr="003D2D46">
        <w:rPr>
          <w:rFonts w:ascii="Times New Roman" w:hAnsi="Times New Roman" w:cs="Times New Roman"/>
          <w:color w:val="000000" w:themeColor="text1"/>
        </w:rPr>
        <w:instrText>ADDIN CSL_CITATION {"citationItems":[{"id":"ITEM-1","itemData":{"author":[{"dropping-particle":"","family":"Centers for Disease Control and Prevention (CDC)","given":"","non-dropping-particle":"","parse-names":false,"suffix":""}],"id":"ITEM-1","issued":{"date-parts":[["2019"]]},"title":"2019 Provisional Pertussis Surveillance Report","type":"report"},"uris":["http://www.mendeley.com/documents/?uuid=847dba1d-6993-42de-8648-5b4d1ca8c4fd","http://www.mendeley.com/documents/?uuid=118c3cd2-ee63-4cf4-bca4-cc260ab126e8","http://www.mendeley.com/documents/?uuid=09806f39-cd60-4ced-8116-bd2ad515d402"]}],"mendeley":{"formattedCitation":"(Centers for Disease Control and Prevention (CDC), 2019c)","manualFormatting":"CDC, 2019)","plainTextFormattedCitation":"(Centers for Disease Control and Prevention (CDC), 2019c)","previouslyFormattedCitation":"(Centers for Disease Control and Prevention (CDC), 2019c)"},"properties":{"noteIndex":0},"schema":"https://github.com/citation-style-language/schema/raw/master/csl-citation.json"}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CDC,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Schulte et al. (2010) reported that the incidence increased from 0.44 to 1.7 per 100,000</w:t>
      </w:r>
      <w:r w:rsidR="00A31B5D" w:rsidRPr="003D2D46">
        <w:rPr>
          <w:rFonts w:ascii="Times New Roman" w:hAnsi="Times New Roman" w:cs="Times New Roman"/>
          <w:color w:val="000000" w:themeColor="text1"/>
        </w:rPr>
        <w:t xml:space="preserve"> persons</w:t>
      </w:r>
      <w:r w:rsidRPr="003D2D46">
        <w:rPr>
          <w:rFonts w:ascii="Times New Roman" w:hAnsi="Times New Roman" w:cs="Times New Roman"/>
          <w:color w:val="000000" w:themeColor="text1"/>
        </w:rPr>
        <w:t xml:space="preserve"> between 2000 and 2006.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increase in incidence over time mirrors trends reported across the United States. The authors also assessed geographic patterns and identified a cluster of ten counties that reported 66% of the cases seen in the state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{"citationItems":[{"id":"ITEM-1","itemData":{"DOI":"10.1177/003335491012500515","ISBN":"3014020443","ISSN":"14682877","abstract":"Objective. Florida, the fourth most populous state in the nation, has had historically low incidence rates of pertussis, the only vaccine-preventable disease with increasing numbers of reported cases. We compared the epidemiology and incidence rates of pertussis in Florida with other states and the United States. Methods. We used Florida and federal surveillance data from 2000 through 2006. Results. Reported incidence of pertussis in Florida, numbers of cases, and proportions of adolescents and adults all increased during the seven-year study period. Florida incidence rates increased from 0.44 to 1.28, but the state's incidence was always ranked 45th or lower among the states. Reported pertussis cases and those among adolescents and adults in Florida increased during the study period. Ten counties, containing 60% of Florida's population, reported two-thirds of the state's cases. Conclusions. Pertussis reported from Florida mirrored national trends with increasing incidence, numbers of cases, and proportions of adolescent and adult cases. Despite the increases, Florida maintained its historic pattern of pertussis incidence rates that are consistently lower than national figures. Limited laboratory diagnostics and a focus on the pediatric population likely contributed to the lower rates of pertussis in Florida. More emphasis on surveillance of adolescent and adult cases is needed.","author":[{"dropping-particle":"","family":"Schulte","given":"Joann M.","non-dropping-particle":"","parse-names":false,"suffix":""},{"dropping-particle":"","family":"Kay","given":"Robyn","non-dropping-particle":"","parse-names":false,"suffix":""},{"dropping-particle":"","family":"Hamilton","given":"Janet J.","non-dropping-particle":"","parse-names":false,"suffix":""},{"dropping-particle":"","family":"Mellinger","given":"Cathy","non-dropping-particle":"","parse-names":false,"suffix":""},{"dropping-particle":"","family":"Yambor","given":"Phyllis","non-dropping-particle":"","parse-names":false,"suffix":""},{"dropping-particle":"","family":"Luce","given":"Christie","non-dropping-particle":"","parse-names":false,"suffix":""},{"dropping-particle":"","family":"Ginzl","given":"Dawn","non-dropping-particle":"","parse-names":false,"suffix":""},{"dropping-particle":"","family":"Gill","given":"Julia","non-dropping-particle":"","parse-names":false,"suffix":""},{"dropping-particle":"","family":"Hopkins","given":"Richard S.","non-dropping-particle":"","parse-names":false,"suffix":""}],"container-title":"Public Health Reports","id":"ITEM-1","issue":"5","issued":{"date-parts":[["2010"]]},"page":"728-735","title":"Pertussis in Florida, 2000-2006: Trends in a historically low-incidence state","type":"article-journal","volume":"125"},"uris":["http://www.mendeley.com/documents/?uuid=5261fa91-b7e4-42b8-82c2-ed4be25227ab"]}],"mendeley":{"formattedCitation":"(Schulte et al., 2010)","plainTextFormattedCitation":"(Schulte et al., 2010)","previouslyFormattedCitation":"(Schulte et al., 2010)"},"properties":{"noteIndex":0},"schema":"https://github.com/citation-style-language/schema/raw/master/csl-citation.json"}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(Schulte et al., 2010)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4EFF854E" w14:textId="77777777" w:rsidR="00EF2015" w:rsidRPr="003D2D46" w:rsidRDefault="00EF2015" w:rsidP="00580A15">
      <w:pPr>
        <w:spacing w:after="200" w:line="480" w:lineRule="auto"/>
        <w:contextualSpacing/>
        <w:rPr>
          <w:rFonts w:ascii="Times New Roman" w:hAnsi="Times New Roman" w:cs="Times New Roman"/>
          <w:color w:val="000000" w:themeColor="text1"/>
        </w:rPr>
      </w:pPr>
    </w:p>
    <w:p w14:paraId="3BA9E1D8" w14:textId="48287BB5"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Geographic Information System (GIS)</w:t>
      </w:r>
      <w:r w:rsidR="00A31B5D" w:rsidRPr="003D2D46">
        <w:rPr>
          <w:rFonts w:ascii="Times New Roman" w:hAnsi="Times New Roman" w:cs="Times New Roman"/>
          <w:color w:val="000000" w:themeColor="text1"/>
        </w:rPr>
        <w:t xml:space="preserve"> technology</w:t>
      </w:r>
      <w:r w:rsidRPr="003D2D46">
        <w:rPr>
          <w:rFonts w:ascii="Times New Roman" w:hAnsi="Times New Roman" w:cs="Times New Roman"/>
          <w:color w:val="000000" w:themeColor="text1"/>
        </w:rPr>
        <w:t xml:space="preserve"> </w:t>
      </w:r>
      <w:r w:rsidR="00A31B5D" w:rsidRPr="003D2D46">
        <w:rPr>
          <w:rFonts w:ascii="Times New Roman" w:hAnsi="Times New Roman" w:cs="Times New Roman"/>
          <w:color w:val="000000" w:themeColor="text1"/>
        </w:rPr>
        <w:t xml:space="preserve">are </w:t>
      </w:r>
      <w:r w:rsidRPr="003D2D46">
        <w:rPr>
          <w:rFonts w:ascii="Times New Roman" w:hAnsi="Times New Roman" w:cs="Times New Roman"/>
          <w:color w:val="000000" w:themeColor="text1"/>
        </w:rPr>
        <w:t xml:space="preserve">increasingly </w:t>
      </w:r>
      <w:r w:rsidR="00A31B5D" w:rsidRPr="003D2D46">
        <w:rPr>
          <w:rFonts w:ascii="Times New Roman" w:hAnsi="Times New Roman" w:cs="Times New Roman"/>
          <w:color w:val="000000" w:themeColor="text1"/>
        </w:rPr>
        <w:t>being used</w:t>
      </w:r>
      <w:r w:rsidRPr="003D2D46">
        <w:rPr>
          <w:rFonts w:ascii="Times New Roman" w:hAnsi="Times New Roman" w:cs="Times New Roman"/>
          <w:color w:val="000000" w:themeColor="text1"/>
        </w:rPr>
        <w:t xml:space="preserve"> in the investigation and control of chronic and infectious diseases. Geographic and spatial epidemiologic methods, ranging from data visualization to sophisticated geographically weighted spatiotemporal models, can be used to understand the degree of geographic variation in the epidemiology of a disease as well as identify areas and populations at high risk of illness. The result of this approach can often lead to more targeted, cost-effective intervention and prevention efforts. Kauhl et al.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{"citationItems":[{"id":"ITEM-1","itemData":{"DOI":"10.1371/journal.pone.0172383","ISSN":"19326203","abstract":"Background: Despite high vaccination coverage, pertussis incidence in the Netherlands is amongst the highest in Europe with a shifting tendency towards adults and elderly. Early detection of outbreaks and preventive actions are necessary to prevent severe complications in infants. Efficient pertussis control requires additional background knowledge about the determinants of testing and possible determinants of the current pertussis incidence. Therefore, the aim of our study is to examine the possibility of locating possible pertussis outbreaks using spacetime cluster detection and to examine the determinants of pertussis testing and incidence using geographically weighted regression models. Methods: We analysed laboratory registry data including all geocoded pertussis tests in the southern area of the Netherlands between 2007 and 2013. Socio-demographic and infrastructurerelated population data were matched to the geo-coded laboratory data. The spatial scan statistic was applied to detect spatial and space-time clusters of testing, incidence and testpositivity. Geographically weighted Poisson regression (GWPR) models were then constructed to model the associations between the age-specific rates of testing and incidence and possible population-based determinants. Results: Space-time clusters for pertussis incidence overlapped with space-time clusters for testing, reflecting a strong relationship between testing and incidence, irrespective of the examined age group. Testing for pertussis itself was overall associated with lower socio-economic status, multi-person-households, proximity to primary school and availability of healthcare. The current incidence in contradiction is mainly determined by testing and is not associated with a lower socioeconomic status. Discussion: Testing for pertussis follows to an extent the general healthcare seeking behaviour for common respiratory infections, whereas the current pertussis incidence is largely the result of testing. More testing would thus not necessarily improve pertussis control. Detecting outbreaks using space-time cluster detection is feasible but needs to adjust for the strong impact of testing on the detection of pertussis cases.","author":[{"dropping-particle":"","family":"Kauhl","given":"Boris","non-dropping-particle":"","parse-names":false,"suffix":""},{"dropping-particle":"","family":"Heil","given":"Jeanne","non-dropping-particle":"","parse-names":false,"suffix":""},{"dropping-particle":"","family":"Hoebe","given":"Christian J.P.A.","non-dropping-particle":"","parse-names":false,"suffix":""},{"dropping-particle":"","family":"Schweikart","given":"Jürgen","non-dropping-particle":"","parse-names":false,"suffix":""},{"dropping-particle":"","family":"Krafft","given":"Thomas","non-dropping-particle":"","parse-names":false,"suffix":""},{"dropping-particle":"","family":"Dukers-Muijrers","given":"Nicole H.T.M.","non-dropping-particle":"","parse-names":false,"suffix":""}],"container-title":"PLoS ONE","id":"ITEM-1","issue":"3","issued":{"date-parts":[["2017"]]},"page":"1-21","title":"Is the current pertussis incidence only the results of testing? A spatial and space-time analysis of pertussis surveillance data using cluster detection methods and geographically weighted regression modelling","type":"article-journal","volume":"12"},"uris":["http://www.mendeley.com/documents/?uuid=8615db08-f127-403b-bbe2-024d20f74415"]}],"mendeley":{"formattedCitation":"(Kauhl et al., 2017)","manualFormatting":"(2017)","plainTextFormattedCitation":"(Kauhl et al., 2017)","previouslyFormattedCitation":"(Kauhl et al.,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 their analysis of pertussis testing and incidence in the Netherlands, have suggested that GIS methods and geographically weighted regression be considered for identifying pertussis outbreaks and to better direct disease control strategies. Other studies, such as Aloe et al.’s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10.1073/pnas.1700240114","author":[{"dropping-particle":"","family":"Aloe","given":"Carlin","non-dropping-particle":"","parse-names":false,"suffix":""},{"dropping-particle":"","family":"Kulldorff","given":"Martin","non-dropping-particle":"","parse-names":false,"suffix":""},{"dropping-particle":"","family":"Bloom","given":"Barry R","non-dropping-particle":"","parse-names":false,"suffix":""}],"container-title":"Proceedings of the National Academy of Sciences of the United States of America","id":"ITEM-1","issued":{"date-parts":[["2017"]]},"page":"1-5","title":"Geospatial analysis of nonmedical vaccine exemptions and pertussis outbreaks in the United States","type":"article-journal"},"uris":["http://www.mendeley.com/documents/?uuid=77e62cf2-5339-456c-8169-d003c8a5b60e"]}],"mendeley":{"formattedCitation":"(Aloe, Kulldorff &amp; Bloom, 2017)","plainTextFormattedCitation":"(Aloe, Kulldorff &amp; Bloom, 2017)","previouslyFormattedCitation":"(Aloe, Kulldorff &amp; Bloom, 2017)"},"properties":{"noteIndex":0},"schema":"https://github.com/citation-style-language/schema/raw/master/csl-citation.json"}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667C77" w:rsidRPr="003D2D46">
        <w:rPr>
          <w:rFonts w:ascii="Times New Roman" w:hAnsi="Times New Roman" w:cs="Times New Roman"/>
          <w:noProof/>
          <w:color w:val="000000" w:themeColor="text1"/>
        </w:rPr>
        <w:t xml:space="preserve">(Aloe, </w:t>
      </w:r>
      <w:r w:rsidR="00667C77" w:rsidRPr="003D2D46">
        <w:rPr>
          <w:rFonts w:ascii="Times New Roman" w:hAnsi="Times New Roman" w:cs="Times New Roman"/>
          <w:noProof/>
          <w:color w:val="000000" w:themeColor="text1"/>
        </w:rPr>
        <w:lastRenderedPageBreak/>
        <w:t>Kulldorff &amp; Bloom, 2017)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investigation of non</w:t>
      </w:r>
      <w:r w:rsidR="00A31B5D"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medical vaccination exemptions and pertussis outbreaks in the United States, demonstrate the utility of exploring sociopolitical predictors of disease risk, particularly vaccine-preventable disease, as high rates of exemptions can compromise herd immunity at a small geographic scale that may otherwise go undetected. </w:t>
      </w:r>
    </w:p>
    <w:p w14:paraId="7F49F382" w14:textId="77777777" w:rsidR="00EF2015" w:rsidRPr="003D2D46" w:rsidRDefault="00EF2015" w:rsidP="00580A15">
      <w:pPr>
        <w:spacing w:after="200" w:line="480" w:lineRule="auto"/>
        <w:contextualSpacing/>
        <w:rPr>
          <w:rFonts w:ascii="Times New Roman" w:hAnsi="Times New Roman" w:cs="Times New Roman"/>
          <w:color w:val="000000" w:themeColor="text1"/>
        </w:rPr>
      </w:pPr>
    </w:p>
    <w:p w14:paraId="530FAC79" w14:textId="77777777" w:rsidR="00EF2015" w:rsidRPr="003D2D46" w:rsidRDefault="00EF2015" w:rsidP="000F5D77">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Investigating the spatial epidemiology of pertussis is useful in identifying: (a) geographic disparities of the disease and (b) determinants of the identified disparities. Moreover, identification of the predictors of high pertussis risk is important in guiding resource allocation so as to target control programs to reduce disease risk and improve population health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Siegal","given":"C","non-dropping-particle":"","parse-names":false,"suffix":""},{"dropping-particle":"","family":"Davidson","given":"A","non-dropping-particle":"","parse-names":false,"suffix":""},{"dropping-particle":"","family":"Kafadar","given":"K","non-dropping-particle":"","parse-names":false,"suffix":""},{"dropping-particle":"","family":"Norris","given":"JM","non-dropping-particle":"","parse-names":false,"suffix":""},{"dropping-particle":"","family":"Todd","given":"J","non-dropping-particle":"","parse-names":false,"suffix":""},{"dropping-particle":"","family":"Steiner","given":"J","non-dropping-particle":"","parse-names":false,"suffix":""}],"container-title":"American Journal of Public Health","id":"ITEM-1","issued":{"date-parts":[["1997"]]},"page":"2022-2026","title":"Geographic analysis of pertussis infection in an urban area: a tool for health services planning.","type":"article-journal","volume":"87"},"uris":["http://www.mendeley.com/documents/?uuid=5e37c7cc-a724-4b26-90ab-0e05be396eb3","http://www.mendeley.com/documents/?uuid=986beb02-06e4-442a-876a-f446962520fb"]}],"mendeley":{"formattedCitation":"(Siegal et al., 1997)","plainTextFormattedCitation":"(Siegal et al., 1997)","previouslyFormattedCitation":"(Siegal et al., 1997)"},"properties":{"noteIndex":0},"schema":"https://github.com/citation-style-language/schema/raw/master/csl-citation.json"}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(Siegal et al., 1997)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Therefore, this study investigated geographic disparities and temporal changes in pertussis risk in Florida from 2010 to 2018. It also investigated and identified socioeconomic and demographic predictors of the identified geographic disparities in pertussis risk in Florida.</w:t>
      </w:r>
    </w:p>
    <w:p w14:paraId="1B588DAD" w14:textId="77777777" w:rsidR="00030DD4" w:rsidRPr="003D2D46" w:rsidRDefault="00030DD4" w:rsidP="000F5D77">
      <w:pPr>
        <w:spacing w:line="480" w:lineRule="auto"/>
        <w:rPr>
          <w:rFonts w:ascii="Times New Roman" w:hAnsi="Times New Roman" w:cs="Times New Roman"/>
          <w:color w:val="000000" w:themeColor="text1"/>
        </w:rPr>
      </w:pPr>
    </w:p>
    <w:p w14:paraId="2F3FF905" w14:textId="77777777" w:rsidR="00236E6D" w:rsidRPr="003D2D46" w:rsidRDefault="005529ED" w:rsidP="005043F7">
      <w:pPr>
        <w:pStyle w:val="Heading2"/>
        <w:spacing w:before="0" w:after="0" w:line="480" w:lineRule="auto"/>
        <w:rPr>
          <w:rFonts w:cs="Times New Roman"/>
          <w:color w:val="000000" w:themeColor="text1"/>
          <w:szCs w:val="24"/>
        </w:rPr>
      </w:pPr>
      <w:bookmarkStart w:id="211" w:name="_Toc82445575"/>
      <w:bookmarkStart w:id="212" w:name="_Toc87797140"/>
      <w:r w:rsidRPr="003D2D46">
        <w:rPr>
          <w:rFonts w:cs="Times New Roman"/>
          <w:color w:val="000000" w:themeColor="text1"/>
          <w:szCs w:val="24"/>
        </w:rPr>
        <w:t>5</w:t>
      </w:r>
      <w:r w:rsidR="00106487" w:rsidRPr="003D2D46">
        <w:rPr>
          <w:rFonts w:cs="Times New Roman"/>
          <w:color w:val="000000" w:themeColor="text1"/>
          <w:szCs w:val="24"/>
        </w:rPr>
        <w:t>.</w:t>
      </w:r>
      <w:r w:rsidR="00FF4BED" w:rsidRPr="003D2D46">
        <w:rPr>
          <w:rFonts w:cs="Times New Roman"/>
          <w:color w:val="000000" w:themeColor="text1"/>
          <w:szCs w:val="24"/>
        </w:rPr>
        <w:t>4</w:t>
      </w:r>
      <w:r w:rsidR="00106487" w:rsidRPr="003D2D46">
        <w:rPr>
          <w:rFonts w:cs="Times New Roman"/>
          <w:color w:val="000000" w:themeColor="text1"/>
          <w:szCs w:val="24"/>
        </w:rPr>
        <w:t xml:space="preserve"> </w:t>
      </w:r>
      <w:r w:rsidR="00EF2015" w:rsidRPr="003D2D46">
        <w:rPr>
          <w:rFonts w:cs="Times New Roman"/>
          <w:color w:val="000000" w:themeColor="text1"/>
          <w:szCs w:val="24"/>
        </w:rPr>
        <w:t>Methods</w:t>
      </w:r>
      <w:bookmarkEnd w:id="211"/>
      <w:bookmarkEnd w:id="212"/>
    </w:p>
    <w:p w14:paraId="4441001F" w14:textId="77777777" w:rsidR="00EF2015" w:rsidRPr="003D2D46" w:rsidRDefault="005529ED" w:rsidP="00AC2C5D">
      <w:pPr>
        <w:pStyle w:val="Heading41111"/>
        <w:spacing w:line="480" w:lineRule="auto"/>
        <w:rPr>
          <w:rFonts w:cs="Times New Roman"/>
          <w:color w:val="000000" w:themeColor="text1"/>
        </w:rPr>
      </w:pPr>
      <w:bookmarkStart w:id="213" w:name="_Toc82445576"/>
      <w:bookmarkStart w:id="214" w:name="_Toc87797141"/>
      <w:r w:rsidRPr="003D2D46">
        <w:rPr>
          <w:rFonts w:cs="Times New Roman"/>
          <w:color w:val="000000" w:themeColor="text1"/>
        </w:rPr>
        <w:t>5</w:t>
      </w:r>
      <w:r w:rsidR="00106487" w:rsidRPr="003D2D46">
        <w:rPr>
          <w:rFonts w:cs="Times New Roman"/>
          <w:color w:val="000000" w:themeColor="text1"/>
        </w:rPr>
        <w:t>.</w:t>
      </w:r>
      <w:r w:rsidR="00FF4BED" w:rsidRPr="003D2D46">
        <w:rPr>
          <w:rFonts w:cs="Times New Roman"/>
          <w:color w:val="000000" w:themeColor="text1"/>
        </w:rPr>
        <w:t>4</w:t>
      </w:r>
      <w:r w:rsidR="00106487" w:rsidRPr="003D2D46">
        <w:rPr>
          <w:rFonts w:cs="Times New Roman"/>
          <w:color w:val="000000" w:themeColor="text1"/>
        </w:rPr>
        <w:t xml:space="preserve">.1 </w:t>
      </w:r>
      <w:r w:rsidR="00EF2015" w:rsidRPr="003D2D46">
        <w:rPr>
          <w:rFonts w:cs="Times New Roman"/>
          <w:color w:val="000000" w:themeColor="text1"/>
        </w:rPr>
        <w:t>Study Area</w:t>
      </w:r>
      <w:bookmarkEnd w:id="213"/>
      <w:bookmarkEnd w:id="214"/>
    </w:p>
    <w:p w14:paraId="55E9481B" w14:textId="6F2451A8" w:rsidR="00CF2B3D"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retrospective study investigated pertussis risk in the state of Florida, which consists of 67 counties, both rural and urban (Figure </w:t>
      </w:r>
      <w:r w:rsidR="006C7F43" w:rsidRPr="003D2D46">
        <w:rPr>
          <w:rFonts w:ascii="Times New Roman" w:hAnsi="Times New Roman" w:cs="Times New Roman"/>
          <w:color w:val="000000" w:themeColor="text1"/>
        </w:rPr>
        <w:t>5.1</w:t>
      </w:r>
      <w:r w:rsidRPr="003D2D46">
        <w:rPr>
          <w:rFonts w:ascii="Times New Roman" w:hAnsi="Times New Roman" w:cs="Times New Roman"/>
          <w:color w:val="000000" w:themeColor="text1"/>
        </w:rPr>
        <w:t xml:space="preserve">). Miami-Dade County is the most urban and most populated with approximately 2.7 million residents, while Liberty County is the most rural and least populated county with approximately 8,300 residents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{"citationItems":[{"id":"ITEM-1","itemData":{"URL":"https://www.census.gov/programs-surveys/acs","accessed":{"date-parts":[["2020","1","30"]]},"author":[{"dropping-particle":"","family":"US Census Bureau","given":"","non-dropping-particle":"","parse-names":false,"suffix":""}],"id":"ITEM-1","issued":{"date-parts":[["2018"]]},"title":"ACS Demographic and Housing Estimates, 2018: 5-Year Estimates.","type":"webpage"},"uris":["http://www.mendeley.com/documents/?uuid=4d68b619-b226-43e4-af9a-e2b59fdbf971"]}],"mendeley":{"formattedCitation":"(US Census Bureau, 2018)","plainTextFormattedCitation":"(US Census Bureau, 2018)","previouslyFormattedCitation":"(US Census Bureau,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(US Census Bureau,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Florida is 75.4% White, 25% Hispanic, and 16.1% Black or African </w:t>
      </w:r>
      <w:r w:rsidRPr="003D2D46">
        <w:rPr>
          <w:rFonts w:ascii="Times New Roman" w:hAnsi="Times New Roman" w:cs="Times New Roman"/>
          <w:color w:val="000000" w:themeColor="text1"/>
        </w:rPr>
        <w:lastRenderedPageBreak/>
        <w:t xml:space="preserve">American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{"citationItems":[{"id":"ITEM-1","itemData":{"URL":"https://www.census.gov/programs-surveys/acs","accessed":{"date-parts":[["2020","1","30"]]},"author":[{"dropping-particle":"","family":"US Census Bureau","given":"","non-dropping-particle":"","parse-names":false,"suffix":""}],"id":"ITEM-1","issued":{"date-parts":[["2018"]]},"title":"ACS Demographic and Housing Estimates, 2018: 5-Year Estimates.","type":"webpage"},"uris":["http://www.mendeley.com/documents/?uuid=4d68b619-b226-43e4-af9a-e2b59fdbf971"]}],"mendeley":{"formattedCitation":"(US Census Bureau, 2018)","plainTextFormattedCitation":"(US Census Bureau, 2018)","previouslyFormattedCitation":"(US Census Bureau,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(US Census Bureau,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state is 51.1% female and 48.9% male and has the following age distribution: &lt;5 years (5.4%), 5-9 years (5.5%), 10-14 years (5.7%), 15-19 years (5.8%), 20-24 years (6.2%), 25-34 years (12.9%), 35-44 years (12.1%), 45-54 years (13.3%), 55-59 years (6.8%), 60-64 years (6.4%), 65-74 years (10.9%), 75-84 years (6.2%), and </w:t>
      </w:r>
      <w:r w:rsidRPr="003D2D46">
        <w:rPr>
          <w:rFonts w:ascii="Times New Roman" w:hAnsi="Times New Roman" w:cs="Times New Roman"/>
          <w:color w:val="000000" w:themeColor="text1"/>
          <w:shd w:val="clear" w:color="auto" w:fill="FFFFFF"/>
        </w:rPr>
        <w:t>≥</w:t>
      </w:r>
      <w:r w:rsidRPr="003D2D46">
        <w:rPr>
          <w:rFonts w:ascii="Times New Roman" w:hAnsi="Times New Roman" w:cs="Times New Roman"/>
          <w:color w:val="000000" w:themeColor="text1"/>
        </w:rPr>
        <w:t xml:space="preserve">85 years and older (2.6%)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{"citationItems":[{"id":"ITEM-1","itemData":{"URL":"https://www.census.gov/programs-surveys/acs","accessed":{"date-parts":[["2020","1","30"]]},"author":[{"dropping-particle":"","family":"US Census Bureau","given":"","non-dropping-particle":"","parse-names":false,"suffix":""}],"id":"ITEM-1","issued":{"date-parts":[["2018"]]},"title":"ACS Demographic and Housing Estimates, 2018: 5-Year Estimates.","type":"webpage"},"uris":["http://www.mendeley.com/documents/?uuid=4d68b619-b226-43e4-af9a-e2b59fdbf971"]}],"mendeley":{"formattedCitation":"(US Census Bureau, 2018)","plainTextFormattedCitation":"(US Census Bureau, 2018)","previouslyFormattedCitation":"(US Census Bureau,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(US Census Bureau, 2018)</w:t>
      </w:r>
      <w:r w:rsidRPr="003D2D46">
        <w:rPr>
          <w:rFonts w:ascii="Times New Roman" w:hAnsi="Times New Roman" w:cs="Times New Roman"/>
          <w:color w:val="000000" w:themeColor="text1"/>
        </w:rPr>
        <w:fldChar w:fldCharType="end"/>
      </w:r>
      <w:r w:rsidR="001579D0" w:rsidRPr="003D2D46">
        <w:rPr>
          <w:rFonts w:ascii="Times New Roman" w:hAnsi="Times New Roman" w:cs="Times New Roman"/>
          <w:color w:val="000000" w:themeColor="text1"/>
        </w:rPr>
        <w:t xml:space="preserve">. </w:t>
      </w:r>
    </w:p>
    <w:p w14:paraId="5649EFE0" w14:textId="77777777" w:rsidR="001579D0" w:rsidRPr="003D2D46" w:rsidRDefault="001579D0" w:rsidP="00580A15">
      <w:pPr>
        <w:spacing w:line="480" w:lineRule="auto"/>
        <w:rPr>
          <w:rFonts w:ascii="Times New Roman" w:hAnsi="Times New Roman" w:cs="Times New Roman"/>
          <w:color w:val="000000" w:themeColor="text1"/>
        </w:rPr>
      </w:pPr>
    </w:p>
    <w:p w14:paraId="6D845909" w14:textId="77777777" w:rsidR="001579D0" w:rsidRPr="003D2D46" w:rsidRDefault="001579D0" w:rsidP="001579D0">
      <w:pPr>
        <w:pStyle w:val="Heading41111"/>
        <w:spacing w:line="480" w:lineRule="auto"/>
        <w:rPr>
          <w:rFonts w:cs="Times New Roman"/>
          <w:color w:val="000000" w:themeColor="text1"/>
        </w:rPr>
      </w:pPr>
      <w:bookmarkStart w:id="215" w:name="_Toc87797142"/>
      <w:r w:rsidRPr="003D2D46">
        <w:rPr>
          <w:rFonts w:cs="Times New Roman"/>
          <w:color w:val="000000" w:themeColor="text1"/>
        </w:rPr>
        <w:t>5.4.2 Data Sources and Variable Selection</w:t>
      </w:r>
      <w:bookmarkEnd w:id="215"/>
    </w:p>
    <w:p w14:paraId="5F84E200" w14:textId="655FE3E7" w:rsidR="001579D0" w:rsidRPr="003D2D46" w:rsidRDefault="001579D0" w:rsidP="004F0890">
      <w:pPr>
        <w:spacing w:after="200" w:line="480" w:lineRule="auto"/>
        <w:contextualSpacing/>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shd w:val="clear" w:color="auto" w:fill="FFFFFF"/>
        </w:rPr>
        <w:t xml:space="preserve">Yearly number of cases of pertussis for each county for the time period 2010–2018 were obtained from the Florida Department of Health. Cases were aggregated into three time periods: 2010–2012, 2013–2015, and 2016–2018. The 3-year aggregation was necessary due to the very small numbers of yearly cases observed and the fact that pertussis occurrence has a 3–5 year periodicity </w:t>
      </w:r>
      <w:r w:rsidRPr="003D2D46">
        <w:rPr>
          <w:rFonts w:ascii="Times New Roman" w:hAnsi="Times New Roman" w:cs="Times New Roman"/>
          <w:color w:val="000000" w:themeColor="text1"/>
          <w:shd w:val="clear" w:color="auto" w:fill="FFFFFF"/>
        </w:rPr>
        <w:fldChar w:fldCharType="begin" w:fldLock="1"/>
      </w:r>
      <w:r w:rsidR="00476116" w:rsidRPr="003D2D46">
        <w:rPr>
          <w:rFonts w:ascii="Times New Roman" w:hAnsi="Times New Roman" w:cs="Times New Roman"/>
          <w:color w:val="000000" w:themeColor="text1"/>
          <w:shd w:val="clear" w:color="auto" w:fill="FFFFFF"/>
        </w:rPr>
        <w:instrText>ADDIN CSL_CITATION {"citationItems":[{"id":"ITEM-1","itemData":{"author":[{"dropping-particle":"","family":"Bouchez","given":"Valerie","non-dropping-particle":"","parse-names":false,"suffix":""},{"dropping-particle":"","family":"Guiso","given":"Nicole","non-dropping-particle":"","parse-names":false,"suffix":""}],"container-title":"Pathogens and Disease","id":"ITEM-1","issue":"7","issued":{"date-parts":[["2015"]]},"title":"Bordetella pertussis, B. parapertussis, vaccines and cycles of whooping cough","type":"article-journal","volume":"73"},"uris":["http://www.mendeley.com/documents/?uuid=22641bfe-7b77-4ee1-b83a-0814656ac4f7"]},{"id":"ITEM-2","itemData":{"DOI":"10.1098/rspb.2010.0994","ISSN":"14712970","abstract":"Bordetella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Sciences","id":"ITEM-2","issue":"1698","issued":{"date-parts":[["2010"]]},"page":"3239-3245","title":"Impact of vaccination and birth rate on the epidemiology of pertussis: A comparative study in 64 countries","type":"article-journal","volume":"277"},"uris":["http://www.mendeley.com/documents/?uuid=29635471-f1f9-4ba4-b2d8-cead1f36f59a"]},{"id":"ITEM-3","itemData":{"DOI":"10.1093/infdis/jiu001","ISSN":"15376613","abstract":"Before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Diseases","id":"ITEM-3","issue":"7","issued":{"date-parts":[["2014"]]},"page":"978-981","title":"Changing pertussis epidemiology: Everything old is new again","type":"article-journal","volume":"209"},"uris":["http://www.mendeley.com/documents/?uuid=19ce94ac-c12c-4c5d-b888-a4f1335a5235"]},{"id":"ITEM-4","itemData":{"author":[{"dropping-particle":"","family":"Centers for Disease Control and Prevention","given":"","non-dropping-particle":"","parse-names":false,"suffix":""}],"container-title":"Epidemiology and Prevention of Vaccine-Preventable Diseases","edition":"13","editor":[{"dropping-particle":"","family":"Hamborsky","given":"J","non-dropping-particle":"","parse-names":false,"suffix":""},{"dropping-particle":"","family":"Kroger","given":"A","non-dropping-particle":"","parse-names":false,"suffix":""},{"dropping-particle":"","family":"Wolfe","given":"S","non-dropping-particle":"","parse-names":false,"suffix":""}],"id":"ITEM-4","issued":{"date-parts":[["2015"]]},"publisher":"Public Health Foundation","publisher-place":"Washington, D.C.","title":"Epidemiology and Prevention of Vaccine-Preventable Diseases","type":"book"},"uris":["http://www.mendeley.com/documents/?uuid=84b3b1c7-4c11-44b8-9b4d-681b2b03a344","http://www.mendeley.com/documents/?uuid=de95c8d1-1ecc-4aef-aad5-b12d58ac9b81","http://www.mendeley.com/documents/?uuid=48c8246c-a82a-4636-a3ed-18874f033aaf","http://www.mendeley.com/documents/?uuid=03d14ab2-80c8-417a-ad29-022d9f979acf"]}],"mendeley":{"formattedCitation":"(Broutin et al., 2010; Clark, 2014; Bouchez &amp; Guiso, 2015; Centers for Disease Control and Prevention, 2015b)","plainTextFormattedCitation":"(Broutin et al., 2010; Clark, 2014; Bouchez &amp; Guiso, 2015; Centers for Disease Control and Prevention, 2015b)","previouslyFormattedCitation":"(Broutin et al., 2010; Clark, 2014; Bouchez &amp; Guiso, 2015; Centers for Disease Control and Prevention, 2015b)"},"properties":{"noteIndex":0},"schema":"https://github.com/citation-style-language/schema/raw/master/csl-citation.json"}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00C90BEC" w:rsidRPr="003D2D46">
        <w:rPr>
          <w:rFonts w:ascii="Times New Roman" w:hAnsi="Times New Roman" w:cs="Times New Roman"/>
          <w:noProof/>
          <w:color w:val="000000" w:themeColor="text1"/>
          <w:shd w:val="clear" w:color="auto" w:fill="FFFFFF"/>
        </w:rPr>
        <w:t>(Broutin et al., 2010; Clark, 2014; Bouchez &amp; Guiso, 2015; Centers for Disease Control and Prevention, 2015b)</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xml:space="preserve">. </w:t>
      </w:r>
      <w:r w:rsidRPr="003D2D46">
        <w:rPr>
          <w:rFonts w:ascii="Times New Roman" w:hAnsi="Times New Roman" w:cs="Times New Roman"/>
          <w:color w:val="000000" w:themeColor="text1"/>
        </w:rPr>
        <w:t xml:space="preserve">Population data were downloaded from Florida Health CHARTS, a community health assessment tool created by the Florida Department of Health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{"citationItems":[{"id":"ITEM-1","itemData":{"URL":"http://www.flhealthcharts.com/charts/default.aspx","accessed":{"date-parts":[["2020","1","30"]]},"author":[{"dropping-particle":"","family":"Florida Department of Health","given":"","non-dropping-particle":"","parse-names":false,"suffix":""}],"id":"ITEM-1","issued":{"date-parts":[["2020"]]},"title":"FLHealthCHARTS","type":"webpage"},"uris":["http://www.mendeley.com/documents/?uuid=5ddb5c2e-89a3-4582-846d-e7572f839678"]}],"mendeley":{"formattedCitation":"(Florida Department of Health, 2020)","plainTextFormattedCitation":"(Florida Department of Health, 2020)","previouslyFormattedCitation":"(Florida Department of Health,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(Florida Department of Health,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Vaccination exemption data were also obtained from the Florida Department of Health. </w:t>
      </w:r>
      <w:r w:rsidRPr="003D2D46">
        <w:rPr>
          <w:rFonts w:ascii="Times New Roman" w:hAnsi="Times New Roman" w:cs="Times New Roman"/>
          <w:color w:val="000000" w:themeColor="text1"/>
          <w:shd w:val="clear" w:color="auto" w:fill="FFFFFF"/>
        </w:rPr>
        <w:t xml:space="preserve">All cartographic boundary files used for creating maps were downloaded from the United States Census Bureau’s TIGER files and the </w:t>
      </w:r>
      <w:r w:rsidRPr="003D2D46">
        <w:rPr>
          <w:rFonts w:ascii="Times New Roman" w:hAnsi="Times New Roman" w:cs="Times New Roman"/>
          <w:color w:val="000000" w:themeColor="text1"/>
        </w:rPr>
        <w:t xml:space="preserve">State of Florida Geographic Data Portal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{"citationItems":[{"id":"ITEM-1","itemData":{"URL":"https://www.swfwmd.state.fl.us/resources/data-maps","accessed":{"date-parts":[["2020","5","25"]]},"author":[{"dropping-particle":"","family":"Southwest Florida Water Management District","given":"","non-dropping-particle":"","parse-names":false,"suffix":""}],"id":"ITEM-1","issued":{"date-parts":[["2019"]]},"title":"Florida Counties","type":"webpage"},"uris":["http://www.mendeley.com/documents/?uuid=36d317b2-71e2-41ec-a306-aacff9f0a4b7"]}],"mendeley":{"formattedCitation":"(Southwest Florida Water Management District, 2019)","plainTextFormattedCitation":"(Southwest Florida Water Management District, 2019)","previouslyFormattedCitation":"(Southwest Florida Water Management District,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(Southwest Florida Water Management District,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r w:rsidR="009815AC"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 xml:space="preserve">County level age-adjusted pertussis risks were computed and presented as number of cases per 100,000 </w:t>
      </w:r>
      <w:r w:rsidR="005214A4"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shd w:val="clear" w:color="auto" w:fill="FFFFFF"/>
        </w:rPr>
        <w:t xml:space="preserve">A total of 20 potential predictors of pertussis risk were identified and considered for investigation at the county level: education, sex, </w:t>
      </w:r>
    </w:p>
    <w:p w14:paraId="0CAE6DCC" w14:textId="5BE75F90" w:rsidR="001579D0" w:rsidRPr="003D2D46" w:rsidRDefault="001579D0" w:rsidP="00580A15">
      <w:pPr>
        <w:spacing w:line="480" w:lineRule="auto"/>
        <w:rPr>
          <w:rFonts w:ascii="Times New Roman" w:hAnsi="Times New Roman" w:cs="Times New Roman"/>
          <w:color w:val="000000" w:themeColor="text1"/>
        </w:rPr>
        <w:sectPr w:rsidR="001579D0" w:rsidRPr="003D2D46" w:rsidSect="00B93CBD">
          <w:pgSz w:w="12240" w:h="15840" w:code="1"/>
          <w:pgMar w:top="1440" w:right="1800" w:bottom="1872" w:left="1800" w:header="720" w:footer="1440" w:gutter="0"/>
          <w:cols w:space="720"/>
          <w:noEndnote/>
          <w:docGrid w:linePitch="360"/>
        </w:sectPr>
      </w:pPr>
    </w:p>
    <w:p w14:paraId="1AB6D7FE" w14:textId="77777777" w:rsidR="00034E09" w:rsidRPr="003D2D46" w:rsidRDefault="005F71CB" w:rsidP="00EF6B30">
      <w:pPr>
        <w:jc w:val="both"/>
        <w:rPr>
          <w:rFonts w:ascii="Times New Roman" w:hAnsi="Times New Roman" w:cs="Times New Roman"/>
          <w:i/>
          <w:iCs/>
          <w:color w:val="000000" w:themeColor="text1"/>
        </w:rPr>
      </w:pPr>
      <w:r w:rsidRPr="003D2D46">
        <w:rPr>
          <w:rFonts w:ascii="Times New Roman" w:hAnsi="Times New Roman" w:cs="Times New Roman"/>
          <w:i/>
          <w:iCs/>
          <w:noProof/>
          <w:color w:val="000000" w:themeColor="text1"/>
        </w:rPr>
        <w:lastRenderedPageBreak/>
        <w:drawing>
          <wp:inline distT="0" distB="0" distL="0" distR="0" wp14:anchorId="2539AF2F" wp14:editId="310271FF">
            <wp:extent cx="7724775" cy="5070096"/>
            <wp:effectExtent l="0" t="0" r="0" b="0"/>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rotWithShape="1">
                    <a:blip r:embed="rId14">
                      <a:extLst>
                        <a:ext uri="{28A0092B-C50C-407E-A947-70E740481C1C}">
                          <a14:useLocalDpi xmlns:a14="http://schemas.microsoft.com/office/drawing/2010/main" val="0"/>
                        </a:ext>
                      </a:extLst>
                    </a:blip>
                    <a:srcRect l="7663" t="2540" r="11159" b="3234"/>
                    <a:stretch/>
                  </pic:blipFill>
                  <pic:spPr bwMode="auto">
                    <a:xfrm>
                      <a:off x="0" y="0"/>
                      <a:ext cx="7764008" cy="5095846"/>
                    </a:xfrm>
                    <a:prstGeom prst="rect">
                      <a:avLst/>
                    </a:prstGeom>
                    <a:ln>
                      <a:noFill/>
                    </a:ln>
                    <a:extLst>
                      <a:ext uri="{53640926-AAD7-44D8-BBD7-CCE9431645EC}">
                        <a14:shadowObscured xmlns:a14="http://schemas.microsoft.com/office/drawing/2010/main"/>
                      </a:ext>
                    </a:extLst>
                  </pic:spPr>
                </pic:pic>
              </a:graphicData>
            </a:graphic>
          </wp:inline>
        </w:drawing>
      </w:r>
    </w:p>
    <w:p w14:paraId="7388FD8B" w14:textId="3BF57EF1" w:rsidR="00CF2B3D" w:rsidRPr="003D2D46" w:rsidRDefault="005F71CB" w:rsidP="00EE2A89">
      <w:pPr>
        <w:pStyle w:val="Caption"/>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r w:rsidRPr="003D2D46">
        <w:rPr>
          <w:rFonts w:ascii="Times New Roman" w:hAnsi="Times New Roman" w:cs="Times New Roman"/>
          <w:color w:val="000000" w:themeColor="text1"/>
        </w:rPr>
        <w:t xml:space="preserve"> </w:t>
      </w:r>
      <w:bookmarkStart w:id="216" w:name="_Toc83975897"/>
      <w:r w:rsidR="00CF2B3D" w:rsidRPr="003D2D46">
        <w:rPr>
          <w:rFonts w:ascii="Times New Roman" w:hAnsi="Times New Roman" w:cs="Times New Roman"/>
          <w:color w:val="000000" w:themeColor="text1"/>
        </w:rPr>
        <w:t>Figure 5.</w:t>
      </w:r>
      <w:r w:rsidR="00CF2B3D" w:rsidRPr="003D2D46">
        <w:rPr>
          <w:rFonts w:ascii="Times New Roman" w:hAnsi="Times New Roman" w:cs="Times New Roman"/>
          <w:color w:val="000000" w:themeColor="text1"/>
        </w:rPr>
        <w:fldChar w:fldCharType="begin"/>
      </w:r>
      <w:r w:rsidR="00CF2B3D" w:rsidRPr="003D2D46">
        <w:rPr>
          <w:rFonts w:ascii="Times New Roman" w:hAnsi="Times New Roman" w:cs="Times New Roman"/>
          <w:color w:val="000000" w:themeColor="text1"/>
        </w:rPr>
        <w:instrText xml:space="preserve"> SEQ Figure \* ARABIC \s 1 </w:instrText>
      </w:r>
      <w:r w:rsidR="00CF2B3D"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1</w:t>
      </w:r>
      <w:r w:rsidR="00CF2B3D" w:rsidRPr="003D2D46">
        <w:rPr>
          <w:rFonts w:ascii="Times New Roman" w:hAnsi="Times New Roman" w:cs="Times New Roman"/>
          <w:color w:val="000000" w:themeColor="text1"/>
        </w:rPr>
        <w:fldChar w:fldCharType="end"/>
      </w:r>
      <w:r w:rsidR="00CF2B3D" w:rsidRPr="003D2D46">
        <w:rPr>
          <w:rFonts w:ascii="Times New Roman" w:hAnsi="Times New Roman" w:cs="Times New Roman"/>
          <w:color w:val="000000" w:themeColor="text1"/>
        </w:rPr>
        <w:t xml:space="preserve"> Geographic distribution of counties and major cities in Florida</w:t>
      </w:r>
      <w:bookmarkEnd w:id="216"/>
    </w:p>
    <w:p w14:paraId="3EE9A9AC" w14:textId="784ADF4F" w:rsidR="00F97EBE" w:rsidRPr="003D2D46" w:rsidRDefault="001579D0" w:rsidP="00952872">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shd w:val="clear" w:color="auto" w:fill="FFFFFF"/>
        </w:rPr>
        <w:lastRenderedPageBreak/>
        <w:t>race/ethnicity, income level, employment, health insurance, number of primary care physicians, percentage of population living in rural areas, vaccination coverage, and vaccination exemptions (Table 5.1).</w:t>
      </w:r>
      <w:r w:rsidR="009815AC" w:rsidRPr="003D2D46">
        <w:rPr>
          <w:rFonts w:ascii="Times New Roman" w:hAnsi="Times New Roman" w:cs="Times New Roman"/>
          <w:color w:val="000000" w:themeColor="text1"/>
          <w:shd w:val="clear" w:color="auto" w:fill="FFFFFF"/>
        </w:rPr>
        <w:t xml:space="preserve"> Variables were </w:t>
      </w:r>
      <w:r w:rsidR="00C74473" w:rsidRPr="003D2D46">
        <w:rPr>
          <w:rFonts w:ascii="Times New Roman" w:hAnsi="Times New Roman" w:cs="Times New Roman"/>
          <w:color w:val="000000" w:themeColor="text1"/>
          <w:shd w:val="clear" w:color="auto" w:fill="FFFFFF"/>
        </w:rPr>
        <w:t xml:space="preserve">initially </w:t>
      </w:r>
      <w:r w:rsidR="009815AC" w:rsidRPr="003D2D46">
        <w:rPr>
          <w:rFonts w:ascii="Times New Roman" w:hAnsi="Times New Roman" w:cs="Times New Roman"/>
          <w:color w:val="000000" w:themeColor="text1"/>
          <w:shd w:val="clear" w:color="auto" w:fill="FFFFFF"/>
        </w:rPr>
        <w:t xml:space="preserve">identified </w:t>
      </w:r>
      <w:r w:rsidR="00C74473" w:rsidRPr="003D2D46">
        <w:rPr>
          <w:rFonts w:ascii="Times New Roman" w:hAnsi="Times New Roman" w:cs="Times New Roman"/>
          <w:color w:val="000000" w:themeColor="text1"/>
          <w:shd w:val="clear" w:color="auto" w:fill="FFFFFF"/>
        </w:rPr>
        <w:t>based on literature as well as biological plausibility of relationship</w:t>
      </w:r>
      <w:r w:rsidR="005214A4" w:rsidRPr="003D2D46">
        <w:rPr>
          <w:rFonts w:ascii="Times New Roman" w:hAnsi="Times New Roman" w:cs="Times New Roman"/>
          <w:color w:val="000000" w:themeColor="text1"/>
          <w:shd w:val="clear" w:color="auto" w:fill="FFFFFF"/>
        </w:rPr>
        <w:t>s with</w:t>
      </w:r>
      <w:r w:rsidR="00C74473" w:rsidRPr="003D2D46">
        <w:rPr>
          <w:rFonts w:ascii="Times New Roman" w:hAnsi="Times New Roman" w:cs="Times New Roman"/>
          <w:color w:val="000000" w:themeColor="text1"/>
          <w:shd w:val="clear" w:color="auto" w:fill="FFFFFF"/>
        </w:rPr>
        <w:t xml:space="preserve"> the outcome. </w:t>
      </w:r>
    </w:p>
    <w:p w14:paraId="4F3197FF" w14:textId="2DEE58BA" w:rsidR="00EF2015" w:rsidRPr="003D2D46" w:rsidRDefault="00EF2015" w:rsidP="004F0890">
      <w:pPr>
        <w:spacing w:line="480" w:lineRule="auto"/>
        <w:rPr>
          <w:rFonts w:ascii="Times New Roman" w:hAnsi="Times New Roman" w:cs="Times New Roman"/>
          <w:color w:val="000000" w:themeColor="text1"/>
        </w:rPr>
      </w:pPr>
    </w:p>
    <w:p w14:paraId="33F75521" w14:textId="77777777" w:rsidR="001579D0" w:rsidRPr="003D2D46" w:rsidRDefault="001579D0" w:rsidP="001579D0">
      <w:pPr>
        <w:pStyle w:val="Heading41111"/>
        <w:spacing w:line="480" w:lineRule="auto"/>
        <w:rPr>
          <w:rFonts w:cs="Times New Roman"/>
          <w:color w:val="000000" w:themeColor="text1"/>
        </w:rPr>
      </w:pPr>
      <w:bookmarkStart w:id="217" w:name="_Toc87797143"/>
      <w:r w:rsidRPr="003D2D46">
        <w:rPr>
          <w:rFonts w:cs="Times New Roman"/>
          <w:color w:val="000000" w:themeColor="text1"/>
        </w:rPr>
        <w:t>5.4.3 Investigation of High-Risk Clusters of Pertussis</w:t>
      </w:r>
      <w:bookmarkEnd w:id="217"/>
    </w:p>
    <w:p w14:paraId="32899081" w14:textId="6C9B51E1" w:rsidR="001579D0" w:rsidRPr="003D2D46" w:rsidRDefault="001579D0" w:rsidP="001579D0">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rPr>
        <w:t xml:space="preserve">Tango’s flexible spatial scan statistic (FSSS) was used to identify the geographic locations of high-risk clusters of pertussis using FleXScan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Tango","given":"Toshiro","non-dropping-particle":"","parse-names":false,"suffix":""},{"dropping-particle":"","family":"Takahashi","given":"Kunihiko","non-dropping-particle":"","parse-names":false,"suffix":""}],"id":"ITEM-1","issued":{"date-parts":[["2013"]]},"number":"3.12","title":"FlexScan: Software for the Flexible Scan Statistics","type":"article"},"uris":["http://www.mendeley.com/documents/?uuid=21690c29-b7c1-4744-aeaa-3f588205590e"]}],"mendeley":{"formattedCitation":"(Tango &amp; Takahashi, 2013)","plainTextFormattedCitation":"(Tango &amp; Takahashi, 2013)","previouslyFormattedCitation":"(Tango &amp; Takahashi, 2013)"},"properties":{"noteIndex":0},"schema":"https://github.com/citation-style-language/schema/raw/master/csl-citation.json"}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(Tango &amp; Takahashi, 2013)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shd w:val="clear" w:color="auto" w:fill="FFFFFF"/>
        </w:rPr>
        <w:t xml:space="preserve">Since the flexible spatial scanning window detects both circular and irregularly shaped clusters </w:t>
      </w:r>
      <w:r w:rsidRPr="003D2D46">
        <w:rPr>
          <w:rFonts w:ascii="Times New Roman" w:hAnsi="Times New Roman" w:cs="Times New Roman"/>
          <w:color w:val="000000" w:themeColor="text1"/>
          <w:shd w:val="clear" w:color="auto" w:fill="FFFFFF"/>
        </w:rPr>
        <w:fldChar w:fldCharType="begin" w:fldLock="1"/>
      </w:r>
      <w:r w:rsidR="00C90BEC" w:rsidRPr="003D2D46">
        <w:rPr>
          <w:rFonts w:ascii="Times New Roman" w:hAnsi="Times New Roman" w:cs="Times New Roman"/>
          <w:color w:val="000000" w:themeColor="text1"/>
          <w:shd w:val="clear" w:color="auto" w:fill="FFFFFF"/>
        </w:rPr>
        <w:instrText>ADDIN CSL_CITATION {"citationItems":[{"id":"ITEM-1","itemData":{"DOI":"10.1016/j.sste.2009.08.002","ISSN":"18775845","PMID":"20234799","abstract":"Most disease clustering methods assume specific shapes and do not evaluate statistical power using the applicable geography, at-risk population, and covariates. Cluster morphology analysis (CMA) conducts power analyses of alternative techniques assuming clusters of different relative risks and shapes. Results are ranked by statistical power and false positives, under the rationale that surveillance should (1) find true clusters while (2) avoiding false clusters. CMA then synthesizes results of the most powerful methods. CMA was evaluated in simulation studies and applied to pancreatic cancer mortality in Michigan, and finds clusters of flexible shape while routinely evaluating statistical power. © 2009 Elsevier Inc. All rights reserved.","author":[{"dropping-particle":"","family":"Jacquez","given":"Geoffrey M.","non-dropping-particle":"","parse-names":false,"suffix":""}],"container-title":"Spatial and Spatio-temporal Epidemiology","id":"ITEM-1","issue":"1","issued":{"date-parts":[["2009"]]},"page":"19-29","title":"Cluster morphology analysis","type":"article-journal","volume":"1"},"uris":["http://www.mendeley.com/documents/?uuid=57827be9-946b-4314-b720-a12ce432a248"]},{"id":"ITEM-2","itemData":{"DOI":"10.1186/s12889-019-6850-x","ISBN":"1288901968","ISSN":"14712458","PMID":"31053068","abstract":"Background: Identifying disparities in myocardial infarction (MI) burden and assessing its temporal changes are critical for guiding resource allocation and policies geared towards reducing/eliminating health disparities. Our objectives were to: (a) investigate the spatial distribution and clusters of MI mortality risk in Florida; and (b) assess temporal changes in geographic disparities in MI mortality risks in Florida from 2000 to 2014. Methods: This is a retrospective ecologic study with county as the spatial unit of analysis. We obtained data for MI deaths occurring among Florida residents between 2000 and 2014 from the Florida Department of Health, and calculated county-level age-adjusted MI mortality risks and Spatial Empirical Bayesian smoothed MI mortality risks. We used Kulldorff's circular spatial scan statistics and Tango's flexible spatial scan statistics to identify spatial clusters. Results: There was an overall decline of 48% in MI mortality risks between 2000 and 2014. However, we found substantial, persistent disparities in MI mortality risks, with high-risk clusters occurring primarily in rural northern counties and low-risk clusters occurring exclusively in urban southern counties. MI mortality risks declined in both low- and high-risk clusters, but the latter showed more dramatic decreases during the first nine years of the study period. Consequently, the risk difference between the high- and low-risk clusters was smaller at the end than at the beginning of the study period. However, the rates of decline levelled off during the last six years of the study, and there are signs that the risks may be on an upward trend in parts of North Florida. Moreover, MI mortality risks for high-risk clusters at the end of the study period were on par with or above those for low-risk clusters at the beginning of the study period. Thus, high-risk clusters lagged behind low-risk clusters by at least 1.5 decades. Conclusion: Myocardial infarction mortality risks have decreased substantially during the last 15 years, but persistent disparities in MI mortality burden still exist across Florida. Efforts to reduce these disparities will need to target prevention programs to counties in the high-risk clusters.","author":[{"dropping-particle":"","family":"Odoi","given":"Evah W.","non-dropping-particle":"","parse-names":false,"suffix":""},{"dropping-particle":"","family":"Nagle","given":"Nicholas","non-dropping-particle":"","parse-names":false,"suffix":""},{"dropping-particle":"","family":"Roberson","given":"Shamarial","non-dropping-particle":"","parse-names":false,"suffix":""},{"dropping-particle":"","family":"Kintziger","given":"Kristina W.","non-dropping-particle":"","parse-names":false,"suffix":""}],"container-title":"BMC Public Health","id":"ITEM-2","issue":"1","issued":{"date-parts":[["2019"]]},"page":"1-13","publisher":"BMC Public Health","title":"Geographic disparities and temporal changes in risk of death from myocardial infarction in Florida, 2000-2014","type":"article-journal","volume":"19"},"uris":["http://www.mendeley.com/documents/?uuid=75856be0-dd4b-4823-8295-fdfe13346d57"]},{"id":"ITEM-3","itemData":{"DOI":"10.7717/peerj.10443","ISSN":"2167-8359","abstract":"Background. Left unchecked, pre-diabetes progresses to diabetes and its complications that are important health burdens in the United States. There is evidence ofgeographic disparities in the condition with some areas having a significantly high risks of the condition and its risk factors. Identifying these disparities, their determinants, and changes in burden are useful for guiding control programs and stopping the progression of pre-diabetes to diabetes. Therefore, the objectives of this study were to investigate geographic disparities of pre-diabetes prevalence in Florida, identify predictors of the observed spatial patterns, as well as changes in disease burden between 2013 and 2016. Methods. The 2013 and 2016 Behavioral Risk Factor Surveillance System data were obtained from the Florida Department of Health. Counties with significant changes in the prevalence of the condition between 2013 and 2016 were identified using tests for equality of proportions adjusted for multiple comparisons using the Simes method. Flexible scan statistics were used to identify significant high prevalence geographic clusters. Multivariable regression models were used to identify determinants ofcounty- level pre-diabetes prevalence. Results. The state-wide age-adjusted prevalence of pre-diabetes increased significantly (p ≤ 0.05) from 8.0% in 2013 to 10.5% in 2016 with 72% (48/67) of the counties reporting statistically significant increases. Significant local geographic hotspots were identified. High prevalence of pre-diabetes tended to occur in counties with high proportions of non-Hispanic black population, low median household income, and low proportion of the population without health insurance coverage. Conclusions. Geographic disparities of pre-diabetes continues to exist in Florida with most counties reporting significant increases in prevalence between 2013 and 2016. These findings are critical for guiding health planning, resource allocation and intervention programs.","author":[{"dropping-particle":"","family":"Lord","given":"Jennifer","non-dropping-particle":"","parse-names":false,"suffix":""},{"dropping-particle":"","family":"Roberson","given":"Shamarial","non-dropping-particle":"","parse-names":false,"suffix":""},{"dropping-particle":"","family":"Odoi","given":"Agricola","non-dropping-particle":"","parse-names":false,"suffix":""}],"container-title":"PeerJ","id":"ITEM-3","issued":{"date-parts":[["2021","1","13"]]},"page":"e10443","title":"Geographic disparities, determinants, and temporal changes in the prevalence of pre-diabetes in Florida","type":"article-journal","volume":"9"},"uris":["http://www.mendeley.com/documents/?uuid=a405a456-73a0-3ba4-8e30-fe1afad3b6a9"]}],"mendeley":{"formattedCitation":"(Jacquez, 2009; Odoi et al., 2019; Lord, Roberson &amp; Odoi, 2021)","plainTextFormattedCitation":"(Jacquez, 2009; Odoi et al., 2019; Lord, Roberson &amp; Odoi, 2021)","previouslyFormattedCitation":"(Jacquez, 2009; Odoi et al., 2019; Lord, Roberson &amp; Odoi, 2021)"},"properties":{"noteIndex":0},"schema":"https://github.com/citation-style-language/schema/raw/master/csl-citation.json"}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Pr="003D2D46">
        <w:rPr>
          <w:rFonts w:ascii="Times New Roman" w:hAnsi="Times New Roman" w:cs="Times New Roman"/>
          <w:noProof/>
          <w:color w:val="000000" w:themeColor="text1"/>
          <w:shd w:val="clear" w:color="auto" w:fill="FFFFFF"/>
        </w:rPr>
        <w:t>(Jacquez, 2009; Odoi et al., 2019; Lord, Roberson &amp; Odoi, 2021)</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xml:space="preserve"> it is ideal for situations like this one involving investigation of clusters whose shapes are unknown at the outset </w:t>
      </w:r>
      <w:r w:rsidRPr="003D2D46">
        <w:rPr>
          <w:rFonts w:ascii="Times New Roman" w:hAnsi="Times New Roman" w:cs="Times New Roman"/>
          <w:color w:val="000000" w:themeColor="text1"/>
          <w:shd w:val="clear" w:color="auto" w:fill="FFFFFF"/>
        </w:rPr>
        <w:fldChar w:fldCharType="begin" w:fldLock="1"/>
      </w:r>
      <w:r w:rsidR="00C90BEC" w:rsidRPr="003D2D46">
        <w:rPr>
          <w:rFonts w:ascii="Times New Roman" w:hAnsi="Times New Roman" w:cs="Times New Roman"/>
          <w:color w:val="000000" w:themeColor="text1"/>
          <w:shd w:val="clear" w:color="auto" w:fill="FFFFFF"/>
        </w:rPr>
        <w:instrText>ADDIN CSL_CITATION {"citationItems":[{"id":"ITEM-1","itemData":{"DOI":"10.1371/journal.pone.0218708","ISSN":"1932-6203","author":[{"dropping-particle":"","family":"Roberson","given":"Shamarial","non-dropping-particle":"","parse-names":false,"suffix":""},{"dropping-particle":"","family":"Dawit","given":"Rahel","non-dropping-particle":"","parse-names":false,"suffix":""},{"dropping-particle":"","family":"Moore","given":"Jaleesa","non-dropping-particle":"","parse-names":false,"suffix":""},{"dropping-particle":"","family":"Odoi","given":"Agricola","non-dropping-particle":"","parse-names":false,"suffix":""}],"container-title":"PLOS ONE","editor":[{"dropping-particle":"","family":"Gruebner","given":"Oliver","non-dropping-particle":"","parse-names":false,"suffix":""}],"id":"ITEM-1","issue":"8","issued":{"date-parts":[["2019","8","30"]]},"page":"e0218708","title":"An exploratory investigation of geographic disparities of stroke prevalence in Florida using circular and flexible spatial scan statistics","type":"article-journal","volume":"14"},"uris":["http://www.mendeley.com/documents/?uuid=58affd1a-cf67-3599-a98d-465be331ab71"]}],"mendeley":{"formattedCitation":"(Roberson et al., 2019)","plainTextFormattedCitation":"(Roberson et al., 2019)","previouslyFormattedCitation":"(Roberson et al., 2019)"},"properties":{"noteIndex":0},"schema":"https://github.com/citation-style-language/schema/raw/master/csl-citation.json"}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Pr="003D2D46">
        <w:rPr>
          <w:rFonts w:ascii="Times New Roman" w:hAnsi="Times New Roman" w:cs="Times New Roman"/>
          <w:noProof/>
          <w:color w:val="000000" w:themeColor="text1"/>
          <w:shd w:val="clear" w:color="auto" w:fill="FFFFFF"/>
        </w:rPr>
        <w:t>(Roberson et al., 2019)</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xml:space="preserve">. It has been shown that Tango’s flexible scan statistics has good power as well as the ability to detect irregularly shaped clusters more accurately than Kulldorff’s spatial scan statistics </w:t>
      </w:r>
      <w:r w:rsidRPr="003D2D46">
        <w:rPr>
          <w:rFonts w:ascii="Times New Roman" w:hAnsi="Times New Roman" w:cs="Times New Roman"/>
          <w:color w:val="000000" w:themeColor="text1"/>
          <w:shd w:val="clear" w:color="auto" w:fill="FFFFFF"/>
        </w:rPr>
        <w:fldChar w:fldCharType="begin" w:fldLock="1"/>
      </w:r>
      <w:r w:rsidR="00C90BEC" w:rsidRPr="003D2D46">
        <w:rPr>
          <w:rFonts w:ascii="Times New Roman" w:hAnsi="Times New Roman" w:cs="Times New Roman"/>
          <w:color w:val="000000" w:themeColor="text1"/>
          <w:shd w:val="clear" w:color="auto" w:fill="FFFFFF"/>
        </w:rPr>
        <w:instrText>ADDIN CSL_CITATION {"citationItems":[{"id":"ITEM-1","itemData":{"DOI":"10.1186/1476-072X-4-11","ISSN":"1476-072X","abstract":"The spatial scan statistic proposed by Kulldorff has been applied to a wide variety of epidemiological studies for cluster detection. This scan statistic, however, uses a circular window to define the potential cluster areas and thus has difficulty in correctly detecting actual noncircular clusters. A recent proposal by Duczmal and Assunção for detecting noncircular clusters is shown to detect a cluster of very irregular shape that is much larger than the true cluster in our experiences.","author":[{"dropping-particle":"","family":"Tango","given":"Toshiro","non-dropping-particle":"","parse-names":false,"suffix":""},{"dropping-particle":"","family":"Takahashi","given":"Kunihiko","non-dropping-particle":"","parse-names":false,"suffix":""}],"container-title":"International Journal of Health Geographics","id":"ITEM-1","issue":"1","issued":{"date-parts":[["2005"]]},"page":"11","title":"A flexibly shaped spatial scan statistic for detecting clusters","type":"article-journal","volume":"4"},"uris":["http://www.mendeley.com/documents/?uuid=d2308bc5-d891-4242-8a20-c77429602f00"]}],"mendeley":{"formattedCitation":"(Tango &amp; Takahashi, 2005)","plainTextFormattedCitation":"(Tango &amp; Takahashi, 2005)","previouslyFormattedCitation":"(Tango &amp; Takahashi, 2005)"},"properties":{"noteIndex":0},"schema":"https://github.com/citation-style-language/schema/raw/master/csl-citation.json"}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Pr="003D2D46">
        <w:rPr>
          <w:rFonts w:ascii="Times New Roman" w:hAnsi="Times New Roman" w:cs="Times New Roman"/>
          <w:noProof/>
          <w:color w:val="000000" w:themeColor="text1"/>
          <w:shd w:val="clear" w:color="auto" w:fill="FFFFFF"/>
        </w:rPr>
        <w:t>(Tango &amp; Takahashi, 2005)</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Poisson probability model was used specifying maximum spatial scanning window size of 15 counties. Clusters were identified based on likelihood ratio tests. For statistical inference, 999 Monte Carlo replications were used, and the null hypothesis of total spatial randomness was rejected if the p-value was ≤0.05.</w:t>
      </w:r>
    </w:p>
    <w:p w14:paraId="4FF80DC9" w14:textId="7A35B7D9" w:rsidR="00040588" w:rsidRPr="003D2D46" w:rsidRDefault="00040588" w:rsidP="001579D0">
      <w:pPr>
        <w:spacing w:line="480" w:lineRule="auto"/>
        <w:rPr>
          <w:rFonts w:ascii="Times New Roman" w:hAnsi="Times New Roman" w:cs="Times New Roman"/>
          <w:color w:val="000000" w:themeColor="text1"/>
          <w:shd w:val="clear" w:color="auto" w:fill="FFFFFF"/>
        </w:rPr>
      </w:pPr>
    </w:p>
    <w:p w14:paraId="6371B602" w14:textId="77777777" w:rsidR="00040588" w:rsidRPr="003D2D46" w:rsidRDefault="00040588" w:rsidP="00040588">
      <w:pPr>
        <w:pStyle w:val="Heading41111"/>
        <w:spacing w:line="480" w:lineRule="auto"/>
        <w:rPr>
          <w:rFonts w:cs="Times New Roman"/>
          <w:color w:val="000000" w:themeColor="text1"/>
        </w:rPr>
      </w:pPr>
      <w:bookmarkStart w:id="218" w:name="_Toc87797144"/>
      <w:r w:rsidRPr="003D2D46">
        <w:rPr>
          <w:rFonts w:cs="Times New Roman"/>
          <w:color w:val="000000" w:themeColor="text1"/>
        </w:rPr>
        <w:t>5.4.4 Investigation of Predictors of County-Level Pertussis Risk</w:t>
      </w:r>
      <w:bookmarkEnd w:id="218"/>
    </w:p>
    <w:p w14:paraId="79DB0C3F" w14:textId="1C6064F0" w:rsidR="00040588" w:rsidRPr="003D2D46" w:rsidRDefault="00040588" w:rsidP="00040588">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rPr>
        <w:t>Predictors of county-level pertussis risk were investigated using an ordinary least squares regression model.</w:t>
      </w:r>
    </w:p>
    <w:p w14:paraId="7B789574" w14:textId="39564EF9" w:rsidR="00CF2B3D" w:rsidRPr="003D2D46" w:rsidRDefault="008D1743" w:rsidP="00EE2A89">
      <w:pPr>
        <w:pStyle w:val="Caption"/>
        <w:rPr>
          <w:rFonts w:ascii="Times New Roman" w:hAnsi="Times New Roman" w:cs="Times New Roman"/>
          <w:color w:val="000000" w:themeColor="text1"/>
        </w:rPr>
      </w:pPr>
      <w:r w:rsidRPr="003D2D46">
        <w:rPr>
          <w:rFonts w:ascii="Times New Roman" w:hAnsi="Times New Roman" w:cs="Times New Roman"/>
          <w:color w:val="000000" w:themeColor="text1"/>
        </w:rPr>
        <w:br w:type="page"/>
      </w:r>
      <w:bookmarkStart w:id="219" w:name="_Toc83975887"/>
      <w:r w:rsidR="00CF2B3D" w:rsidRPr="003D2D46">
        <w:rPr>
          <w:rFonts w:ascii="Times New Roman" w:hAnsi="Times New Roman" w:cs="Times New Roman"/>
          <w:color w:val="000000" w:themeColor="text1"/>
        </w:rPr>
        <w:lastRenderedPageBreak/>
        <w:t>Table 5.</w:t>
      </w:r>
      <w:r w:rsidR="00CF2B3D" w:rsidRPr="003D2D46">
        <w:rPr>
          <w:rFonts w:ascii="Times New Roman" w:hAnsi="Times New Roman" w:cs="Times New Roman"/>
          <w:color w:val="000000" w:themeColor="text1"/>
        </w:rPr>
        <w:fldChar w:fldCharType="begin"/>
      </w:r>
      <w:r w:rsidR="00CF2B3D" w:rsidRPr="003D2D46">
        <w:rPr>
          <w:rFonts w:ascii="Times New Roman" w:hAnsi="Times New Roman" w:cs="Times New Roman"/>
          <w:color w:val="000000" w:themeColor="text1"/>
        </w:rPr>
        <w:instrText xml:space="preserve"> SEQ Table \* ARABIC \s 1 </w:instrText>
      </w:r>
      <w:r w:rsidR="00CF2B3D"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1</w:t>
      </w:r>
      <w:r w:rsidR="00CF2B3D" w:rsidRPr="003D2D46">
        <w:rPr>
          <w:rFonts w:ascii="Times New Roman" w:hAnsi="Times New Roman" w:cs="Times New Roman"/>
          <w:color w:val="000000" w:themeColor="text1"/>
        </w:rPr>
        <w:fldChar w:fldCharType="end"/>
      </w:r>
      <w:r w:rsidR="00CF2B3D" w:rsidRPr="003D2D46">
        <w:rPr>
          <w:rFonts w:ascii="Times New Roman" w:hAnsi="Times New Roman" w:cs="Times New Roman"/>
          <w:color w:val="000000" w:themeColor="text1"/>
        </w:rPr>
        <w:t xml:space="preserve"> Variables Considered as potential predictors of county-level pertussis risk in Florida</w:t>
      </w:r>
      <w:bookmarkEnd w:id="219"/>
    </w:p>
    <w:tbl>
      <w:tblPr>
        <w:tblStyle w:val="TableGrid"/>
        <w:tblW w:w="0" w:type="auto"/>
        <w:tblBorders>
          <w:insideV w:val="none" w:sz="0" w:space="0" w:color="auto"/>
        </w:tblBorders>
        <w:tblLook w:val="04A0" w:firstRow="1" w:lastRow="0" w:firstColumn="1" w:lastColumn="0" w:noHBand="0" w:noVBand="1"/>
      </w:tblPr>
      <w:tblGrid>
        <w:gridCol w:w="4316"/>
        <w:gridCol w:w="4324"/>
      </w:tblGrid>
      <w:tr w:rsidR="003B4553" w:rsidRPr="003D2D46" w14:paraId="350692C8" w14:textId="77777777" w:rsidTr="004F0890">
        <w:trPr>
          <w:trHeight w:val="173"/>
        </w:trPr>
        <w:tc>
          <w:tcPr>
            <w:tcW w:w="4675" w:type="dxa"/>
            <w:tcBorders>
              <w:top w:val="single" w:sz="12" w:space="0" w:color="auto"/>
              <w:left w:val="nil"/>
              <w:bottom w:val="single" w:sz="12" w:space="0" w:color="auto"/>
            </w:tcBorders>
          </w:tcPr>
          <w:p w14:paraId="5C0A8A3C" w14:textId="77777777" w:rsidR="00034E09" w:rsidRPr="003D2D46" w:rsidRDefault="00034E09" w:rsidP="00EE2A89">
            <w:pPr>
              <w:spacing w:after="200"/>
              <w:contextualSpacing/>
              <w:jc w:val="center"/>
              <w:rPr>
                <w:rFonts w:ascii="Times New Roman" w:hAnsi="Times New Roman" w:cs="Times New Roman"/>
                <w:b/>
                <w:color w:val="000000" w:themeColor="text1"/>
              </w:rPr>
            </w:pPr>
            <w:r w:rsidRPr="003D2D46">
              <w:rPr>
                <w:rFonts w:ascii="Times New Roman" w:hAnsi="Times New Roman" w:cs="Times New Roman"/>
                <w:b/>
                <w:color w:val="000000" w:themeColor="text1"/>
              </w:rPr>
              <w:t>Variable Theme</w:t>
            </w:r>
          </w:p>
        </w:tc>
        <w:tc>
          <w:tcPr>
            <w:tcW w:w="4675" w:type="dxa"/>
            <w:tcBorders>
              <w:top w:val="single" w:sz="12" w:space="0" w:color="auto"/>
              <w:bottom w:val="single" w:sz="12" w:space="0" w:color="auto"/>
              <w:right w:val="nil"/>
            </w:tcBorders>
          </w:tcPr>
          <w:p w14:paraId="1B660CD2" w14:textId="77777777" w:rsidR="00034E09" w:rsidRPr="003D2D46" w:rsidRDefault="00034E09" w:rsidP="00EE2A89">
            <w:pPr>
              <w:spacing w:after="200"/>
              <w:contextualSpacing/>
              <w:jc w:val="center"/>
              <w:rPr>
                <w:rFonts w:ascii="Times New Roman" w:hAnsi="Times New Roman" w:cs="Times New Roman"/>
                <w:b/>
                <w:color w:val="000000" w:themeColor="text1"/>
              </w:rPr>
            </w:pPr>
            <w:r w:rsidRPr="003D2D46">
              <w:rPr>
                <w:rFonts w:ascii="Times New Roman" w:hAnsi="Times New Roman" w:cs="Times New Roman"/>
                <w:b/>
                <w:color w:val="000000" w:themeColor="text1"/>
              </w:rPr>
              <w:t>Specific Variable</w:t>
            </w:r>
          </w:p>
        </w:tc>
      </w:tr>
      <w:tr w:rsidR="003B4553" w:rsidRPr="003D2D46" w14:paraId="74BD103B" w14:textId="77777777" w:rsidTr="004F0890">
        <w:trPr>
          <w:trHeight w:val="173"/>
        </w:trPr>
        <w:tc>
          <w:tcPr>
            <w:tcW w:w="4675" w:type="dxa"/>
            <w:vMerge w:val="restart"/>
            <w:tcBorders>
              <w:top w:val="single" w:sz="12" w:space="0" w:color="auto"/>
              <w:left w:val="nil"/>
            </w:tcBorders>
            <w:vAlign w:val="center"/>
          </w:tcPr>
          <w:p w14:paraId="5839C8DD"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Education</w:t>
            </w:r>
          </w:p>
        </w:tc>
        <w:tc>
          <w:tcPr>
            <w:tcW w:w="4675" w:type="dxa"/>
            <w:tcBorders>
              <w:top w:val="single" w:sz="12" w:space="0" w:color="auto"/>
              <w:bottom w:val="nil"/>
              <w:right w:val="nil"/>
            </w:tcBorders>
          </w:tcPr>
          <w:p w14:paraId="3BDBA7B1"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Less than High School</w:t>
            </w:r>
          </w:p>
        </w:tc>
      </w:tr>
      <w:tr w:rsidR="003B4553" w:rsidRPr="003D2D46" w14:paraId="0D89A0D6" w14:textId="77777777" w:rsidTr="004F0890">
        <w:trPr>
          <w:trHeight w:val="172"/>
        </w:trPr>
        <w:tc>
          <w:tcPr>
            <w:tcW w:w="4675" w:type="dxa"/>
            <w:vMerge/>
            <w:tcBorders>
              <w:left w:val="nil"/>
            </w:tcBorders>
            <w:vAlign w:val="center"/>
          </w:tcPr>
          <w:p w14:paraId="1424ACF5"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nil"/>
              <w:right w:val="nil"/>
            </w:tcBorders>
          </w:tcPr>
          <w:p w14:paraId="5E0C00D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Completed High School</w:t>
            </w:r>
          </w:p>
        </w:tc>
      </w:tr>
      <w:tr w:rsidR="003B4553" w:rsidRPr="003D2D46" w14:paraId="63CF1800" w14:textId="77777777" w:rsidTr="004F0890">
        <w:trPr>
          <w:trHeight w:val="172"/>
        </w:trPr>
        <w:tc>
          <w:tcPr>
            <w:tcW w:w="4675" w:type="dxa"/>
            <w:vMerge/>
            <w:tcBorders>
              <w:left w:val="nil"/>
            </w:tcBorders>
            <w:vAlign w:val="center"/>
          </w:tcPr>
          <w:p w14:paraId="73EBEBF5"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4" w:space="0" w:color="auto"/>
              <w:right w:val="nil"/>
            </w:tcBorders>
          </w:tcPr>
          <w:p w14:paraId="3CC81B60"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Completed Bachelor’s Degree</w:t>
            </w:r>
          </w:p>
        </w:tc>
      </w:tr>
      <w:tr w:rsidR="003B4553" w:rsidRPr="003D2D46" w14:paraId="6317CF6D" w14:textId="77777777" w:rsidTr="004F0890">
        <w:trPr>
          <w:trHeight w:val="173"/>
        </w:trPr>
        <w:tc>
          <w:tcPr>
            <w:tcW w:w="4675" w:type="dxa"/>
            <w:vMerge w:val="restart"/>
            <w:tcBorders>
              <w:left w:val="nil"/>
            </w:tcBorders>
            <w:vAlign w:val="center"/>
          </w:tcPr>
          <w:p w14:paraId="1AD8A7F2"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Race and Ethnicity</w:t>
            </w:r>
          </w:p>
        </w:tc>
        <w:tc>
          <w:tcPr>
            <w:tcW w:w="4675" w:type="dxa"/>
            <w:tcBorders>
              <w:bottom w:val="nil"/>
              <w:right w:val="nil"/>
            </w:tcBorders>
          </w:tcPr>
          <w:p w14:paraId="04AFB0A1" w14:textId="77777777" w:rsidR="00034E09" w:rsidRPr="003D2D46" w:rsidRDefault="00034E09" w:rsidP="00EE2A89">
            <w:pPr>
              <w:spacing w:after="200"/>
              <w:contextualSpacing/>
              <w:rPr>
                <w:rFonts w:ascii="Times New Roman" w:hAnsi="Times New Roman" w:cs="Times New Roman"/>
                <w:color w:val="000000" w:themeColor="text1"/>
                <w:vertAlign w:val="superscript"/>
              </w:rPr>
            </w:pPr>
            <w:r w:rsidRPr="003D2D46">
              <w:rPr>
                <w:rFonts w:ascii="Times New Roman" w:hAnsi="Times New Roman" w:cs="Times New Roman"/>
                <w:color w:val="000000" w:themeColor="text1"/>
              </w:rPr>
              <w:t>% White, Non-Hispanic</w:t>
            </w:r>
          </w:p>
        </w:tc>
      </w:tr>
      <w:tr w:rsidR="003B4553" w:rsidRPr="003D2D46" w14:paraId="67EDF672" w14:textId="77777777" w:rsidTr="004F0890">
        <w:trPr>
          <w:trHeight w:val="172"/>
        </w:trPr>
        <w:tc>
          <w:tcPr>
            <w:tcW w:w="4675" w:type="dxa"/>
            <w:vMerge/>
            <w:tcBorders>
              <w:left w:val="nil"/>
            </w:tcBorders>
            <w:vAlign w:val="center"/>
          </w:tcPr>
          <w:p w14:paraId="237D789E"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nil"/>
              <w:right w:val="nil"/>
            </w:tcBorders>
          </w:tcPr>
          <w:p w14:paraId="1F890E15"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Black, Non-Hispanic</w:t>
            </w:r>
          </w:p>
        </w:tc>
      </w:tr>
      <w:tr w:rsidR="003B4553" w:rsidRPr="003D2D46" w14:paraId="5B17B2FF" w14:textId="77777777" w:rsidTr="004F0890">
        <w:trPr>
          <w:trHeight w:val="172"/>
        </w:trPr>
        <w:tc>
          <w:tcPr>
            <w:tcW w:w="4675" w:type="dxa"/>
            <w:vMerge/>
            <w:tcBorders>
              <w:left w:val="nil"/>
            </w:tcBorders>
            <w:vAlign w:val="center"/>
          </w:tcPr>
          <w:p w14:paraId="2F1463CF"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4" w:space="0" w:color="auto"/>
              <w:right w:val="nil"/>
            </w:tcBorders>
          </w:tcPr>
          <w:p w14:paraId="3C45C15C"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Hispanic</w:t>
            </w:r>
          </w:p>
        </w:tc>
      </w:tr>
      <w:tr w:rsidR="003B4553" w:rsidRPr="003D2D46" w14:paraId="7F4DE104" w14:textId="77777777" w:rsidTr="004F0890">
        <w:trPr>
          <w:trHeight w:val="259"/>
        </w:trPr>
        <w:tc>
          <w:tcPr>
            <w:tcW w:w="4675" w:type="dxa"/>
            <w:vMerge w:val="restart"/>
            <w:tcBorders>
              <w:left w:val="nil"/>
            </w:tcBorders>
            <w:vAlign w:val="center"/>
          </w:tcPr>
          <w:p w14:paraId="373AD2E7"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Sex</w:t>
            </w:r>
          </w:p>
        </w:tc>
        <w:tc>
          <w:tcPr>
            <w:tcW w:w="4675" w:type="dxa"/>
            <w:tcBorders>
              <w:bottom w:val="nil"/>
              <w:right w:val="nil"/>
            </w:tcBorders>
          </w:tcPr>
          <w:p w14:paraId="66B9C1D4"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Male</w:t>
            </w:r>
          </w:p>
        </w:tc>
      </w:tr>
      <w:tr w:rsidR="003B4553" w:rsidRPr="003D2D46" w14:paraId="0AD72332" w14:textId="77777777" w:rsidTr="004F0890">
        <w:trPr>
          <w:trHeight w:val="258"/>
        </w:trPr>
        <w:tc>
          <w:tcPr>
            <w:tcW w:w="4675" w:type="dxa"/>
            <w:vMerge/>
            <w:tcBorders>
              <w:left w:val="nil"/>
            </w:tcBorders>
            <w:vAlign w:val="center"/>
          </w:tcPr>
          <w:p w14:paraId="69BE5215"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4" w:space="0" w:color="auto"/>
              <w:right w:val="nil"/>
            </w:tcBorders>
          </w:tcPr>
          <w:p w14:paraId="455FE4BE"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Female</w:t>
            </w:r>
          </w:p>
        </w:tc>
      </w:tr>
      <w:tr w:rsidR="003B4553" w:rsidRPr="003D2D46" w14:paraId="65494BFB" w14:textId="77777777" w:rsidTr="004F0890">
        <w:trPr>
          <w:trHeight w:val="173"/>
        </w:trPr>
        <w:tc>
          <w:tcPr>
            <w:tcW w:w="4675" w:type="dxa"/>
            <w:vMerge w:val="restart"/>
            <w:tcBorders>
              <w:left w:val="nil"/>
            </w:tcBorders>
            <w:vAlign w:val="center"/>
          </w:tcPr>
          <w:p w14:paraId="7A6DE44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Economic</w:t>
            </w:r>
          </w:p>
        </w:tc>
        <w:tc>
          <w:tcPr>
            <w:tcW w:w="4675" w:type="dxa"/>
            <w:tcBorders>
              <w:bottom w:val="nil"/>
              <w:right w:val="nil"/>
            </w:tcBorders>
          </w:tcPr>
          <w:p w14:paraId="64DBF4C0" w14:textId="77777777" w:rsidR="00034E09" w:rsidRPr="003D2D46" w:rsidRDefault="00034E09" w:rsidP="00EE2A89">
            <w:pPr>
              <w:spacing w:after="200"/>
              <w:contextualSpacing/>
              <w:rPr>
                <w:rFonts w:ascii="Times New Roman" w:hAnsi="Times New Roman" w:cs="Times New Roman"/>
                <w:color w:val="000000" w:themeColor="text1"/>
                <w:vertAlign w:val="superscript"/>
              </w:rPr>
            </w:pPr>
            <w:r w:rsidRPr="003D2D46">
              <w:rPr>
                <w:rFonts w:ascii="Times New Roman" w:hAnsi="Times New Roman" w:cs="Times New Roman"/>
                <w:color w:val="000000" w:themeColor="text1"/>
              </w:rPr>
              <w:t>% Unemployed</w:t>
            </w:r>
          </w:p>
        </w:tc>
      </w:tr>
      <w:tr w:rsidR="003B4553" w:rsidRPr="003D2D46" w14:paraId="48419C42" w14:textId="77777777" w:rsidTr="004F0890">
        <w:trPr>
          <w:trHeight w:val="172"/>
        </w:trPr>
        <w:tc>
          <w:tcPr>
            <w:tcW w:w="4675" w:type="dxa"/>
            <w:vMerge/>
            <w:tcBorders>
              <w:left w:val="nil"/>
            </w:tcBorders>
            <w:vAlign w:val="center"/>
          </w:tcPr>
          <w:p w14:paraId="47F4BB0B"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nil"/>
              <w:right w:val="nil"/>
            </w:tcBorders>
          </w:tcPr>
          <w:p w14:paraId="12B86D31"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Family Living Below Poverty</w:t>
            </w:r>
          </w:p>
        </w:tc>
      </w:tr>
      <w:tr w:rsidR="003B4553" w:rsidRPr="003D2D46" w14:paraId="1629F92F" w14:textId="77777777" w:rsidTr="004F0890">
        <w:trPr>
          <w:trHeight w:val="172"/>
        </w:trPr>
        <w:tc>
          <w:tcPr>
            <w:tcW w:w="4675" w:type="dxa"/>
            <w:vMerge/>
            <w:tcBorders>
              <w:left w:val="nil"/>
            </w:tcBorders>
            <w:vAlign w:val="center"/>
          </w:tcPr>
          <w:p w14:paraId="1814774E"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4" w:space="0" w:color="auto"/>
              <w:right w:val="nil"/>
            </w:tcBorders>
          </w:tcPr>
          <w:p w14:paraId="6431B151"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Individual Living Below Poverty</w:t>
            </w:r>
          </w:p>
          <w:p w14:paraId="616C634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Median Income</w:t>
            </w:r>
          </w:p>
        </w:tc>
      </w:tr>
      <w:tr w:rsidR="003B4553" w:rsidRPr="003D2D46" w14:paraId="2BF74976" w14:textId="77777777" w:rsidTr="004F0890">
        <w:trPr>
          <w:trHeight w:val="259"/>
        </w:trPr>
        <w:tc>
          <w:tcPr>
            <w:tcW w:w="4675" w:type="dxa"/>
            <w:vMerge w:val="restart"/>
            <w:tcBorders>
              <w:left w:val="nil"/>
            </w:tcBorders>
            <w:vAlign w:val="center"/>
          </w:tcPr>
          <w:p w14:paraId="634937BE"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Vaccination</w:t>
            </w:r>
          </w:p>
        </w:tc>
        <w:tc>
          <w:tcPr>
            <w:tcW w:w="4675" w:type="dxa"/>
            <w:tcBorders>
              <w:bottom w:val="nil"/>
              <w:right w:val="nil"/>
            </w:tcBorders>
          </w:tcPr>
          <w:p w14:paraId="0AEC72A8"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Vaccinated in K-12 Population</w:t>
            </w:r>
          </w:p>
        </w:tc>
      </w:tr>
      <w:tr w:rsidR="003B4553" w:rsidRPr="003D2D46" w14:paraId="75EA6CC7" w14:textId="77777777" w:rsidTr="004F0890">
        <w:trPr>
          <w:trHeight w:val="1205"/>
        </w:trPr>
        <w:tc>
          <w:tcPr>
            <w:tcW w:w="4675" w:type="dxa"/>
            <w:vMerge/>
            <w:tcBorders>
              <w:left w:val="nil"/>
            </w:tcBorders>
            <w:vAlign w:val="center"/>
          </w:tcPr>
          <w:p w14:paraId="48C9F0B5"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right w:val="nil"/>
            </w:tcBorders>
          </w:tcPr>
          <w:p w14:paraId="06243C7B"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Total Exemptions</w:t>
            </w:r>
          </w:p>
          <w:p w14:paraId="3730DD4D"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Temporary Medical Exemptions</w:t>
            </w:r>
          </w:p>
          <w:p w14:paraId="68A6A9A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Permanent Medical Exemptions</w:t>
            </w:r>
          </w:p>
          <w:p w14:paraId="5CC7BEA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Religious Exemptions</w:t>
            </w:r>
          </w:p>
        </w:tc>
      </w:tr>
      <w:tr w:rsidR="003B4553" w:rsidRPr="003D2D46" w14:paraId="0B31773E" w14:textId="77777777" w:rsidTr="004F0890">
        <w:trPr>
          <w:trHeight w:val="259"/>
        </w:trPr>
        <w:tc>
          <w:tcPr>
            <w:tcW w:w="4675" w:type="dxa"/>
            <w:vMerge w:val="restart"/>
            <w:tcBorders>
              <w:left w:val="nil"/>
            </w:tcBorders>
            <w:vAlign w:val="center"/>
          </w:tcPr>
          <w:p w14:paraId="3D5BF326"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Healthcare</w:t>
            </w:r>
          </w:p>
        </w:tc>
        <w:tc>
          <w:tcPr>
            <w:tcW w:w="4675" w:type="dxa"/>
            <w:tcBorders>
              <w:bottom w:val="nil"/>
              <w:right w:val="nil"/>
            </w:tcBorders>
          </w:tcPr>
          <w:p w14:paraId="0B8BBF2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Uninsured</w:t>
            </w:r>
          </w:p>
        </w:tc>
      </w:tr>
      <w:tr w:rsidR="003B4553" w:rsidRPr="003D2D46" w14:paraId="3300EE78" w14:textId="77777777" w:rsidTr="004F0890">
        <w:trPr>
          <w:trHeight w:val="258"/>
        </w:trPr>
        <w:tc>
          <w:tcPr>
            <w:tcW w:w="4675" w:type="dxa"/>
            <w:vMerge/>
            <w:tcBorders>
              <w:left w:val="nil"/>
              <w:bottom w:val="single" w:sz="4" w:space="0" w:color="auto"/>
            </w:tcBorders>
            <w:vAlign w:val="center"/>
          </w:tcPr>
          <w:p w14:paraId="03B835DB"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4" w:space="0" w:color="auto"/>
              <w:right w:val="nil"/>
            </w:tcBorders>
          </w:tcPr>
          <w:p w14:paraId="4CF6CC1A"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Primary Care Physicians per 100,000 population</w:t>
            </w:r>
          </w:p>
        </w:tc>
      </w:tr>
      <w:tr w:rsidR="003B4553" w:rsidRPr="003D2D46" w14:paraId="75FDBFEE" w14:textId="77777777" w:rsidTr="004F0890">
        <w:trPr>
          <w:trHeight w:val="259"/>
        </w:trPr>
        <w:tc>
          <w:tcPr>
            <w:tcW w:w="4675" w:type="dxa"/>
            <w:vMerge w:val="restart"/>
            <w:tcBorders>
              <w:left w:val="nil"/>
            </w:tcBorders>
            <w:vAlign w:val="center"/>
          </w:tcPr>
          <w:p w14:paraId="45C93015"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Geography</w:t>
            </w:r>
          </w:p>
        </w:tc>
        <w:tc>
          <w:tcPr>
            <w:tcW w:w="4675" w:type="dxa"/>
            <w:tcBorders>
              <w:bottom w:val="nil"/>
              <w:right w:val="nil"/>
            </w:tcBorders>
          </w:tcPr>
          <w:p w14:paraId="52468233"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Rural County (Yes or No)</w:t>
            </w:r>
          </w:p>
        </w:tc>
      </w:tr>
      <w:tr w:rsidR="003B4553" w:rsidRPr="003D2D46" w14:paraId="06C3C9CA" w14:textId="77777777" w:rsidTr="00C870CD">
        <w:trPr>
          <w:trHeight w:val="258"/>
        </w:trPr>
        <w:tc>
          <w:tcPr>
            <w:tcW w:w="4675" w:type="dxa"/>
            <w:vMerge/>
            <w:tcBorders>
              <w:left w:val="nil"/>
            </w:tcBorders>
          </w:tcPr>
          <w:p w14:paraId="22B912C3"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nil"/>
              <w:right w:val="nil"/>
            </w:tcBorders>
          </w:tcPr>
          <w:p w14:paraId="31117BB6" w14:textId="77777777" w:rsidR="00034E09" w:rsidRPr="003D2D46" w:rsidRDefault="00034E09" w:rsidP="00EE2A89">
            <w:pPr>
              <w:spacing w:after="200"/>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Population Living in a Rural Area</w:t>
            </w:r>
          </w:p>
        </w:tc>
      </w:tr>
      <w:tr w:rsidR="00034E09" w:rsidRPr="003D2D46" w14:paraId="1E0D1066" w14:textId="77777777" w:rsidTr="004F0890">
        <w:tc>
          <w:tcPr>
            <w:tcW w:w="4675" w:type="dxa"/>
            <w:vMerge/>
            <w:tcBorders>
              <w:left w:val="nil"/>
              <w:bottom w:val="single" w:sz="12" w:space="0" w:color="auto"/>
            </w:tcBorders>
          </w:tcPr>
          <w:p w14:paraId="2021079A" w14:textId="77777777" w:rsidR="00034E09" w:rsidRPr="003D2D46" w:rsidRDefault="00034E09" w:rsidP="00EE2A89">
            <w:pPr>
              <w:spacing w:after="200"/>
              <w:contextualSpacing/>
              <w:rPr>
                <w:rFonts w:ascii="Times New Roman" w:hAnsi="Times New Roman" w:cs="Times New Roman"/>
                <w:color w:val="000000" w:themeColor="text1"/>
              </w:rPr>
            </w:pPr>
          </w:p>
        </w:tc>
        <w:tc>
          <w:tcPr>
            <w:tcW w:w="4675" w:type="dxa"/>
            <w:tcBorders>
              <w:top w:val="nil"/>
              <w:bottom w:val="single" w:sz="12" w:space="0" w:color="auto"/>
              <w:right w:val="nil"/>
            </w:tcBorders>
          </w:tcPr>
          <w:p w14:paraId="2E2D61C8" w14:textId="77777777" w:rsidR="00034E09" w:rsidRPr="003D2D46" w:rsidRDefault="00034E09" w:rsidP="00EE2A89">
            <w:pPr>
              <w:spacing w:after="200"/>
              <w:contextualSpacing/>
              <w:rPr>
                <w:rFonts w:ascii="Times New Roman" w:hAnsi="Times New Roman" w:cs="Times New Roman"/>
                <w:color w:val="000000" w:themeColor="text1"/>
              </w:rPr>
            </w:pPr>
          </w:p>
        </w:tc>
      </w:tr>
    </w:tbl>
    <w:p w14:paraId="763ACB41" w14:textId="77777777" w:rsidR="00711230" w:rsidRPr="003D2D46" w:rsidRDefault="00711230" w:rsidP="00EE2A89">
      <w:pPr>
        <w:spacing w:after="200"/>
        <w:contextualSpacing/>
        <w:rPr>
          <w:rFonts w:ascii="Times New Roman" w:hAnsi="Times New Roman" w:cs="Times New Roman"/>
          <w:color w:val="000000" w:themeColor="text1"/>
        </w:rPr>
      </w:pPr>
    </w:p>
    <w:p w14:paraId="48947147" w14:textId="77777777" w:rsidR="00EF2015" w:rsidRPr="003D2D46" w:rsidRDefault="00711230"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48ADB036" w14:textId="469EFF36" w:rsidR="00EF2015" w:rsidRPr="003D2D46" w:rsidRDefault="00952872" w:rsidP="00580A15">
      <w:pPr>
        <w:spacing w:line="480" w:lineRule="auto"/>
        <w:rPr>
          <w:rFonts w:ascii="Times New Roman" w:hAnsi="Times New Roman" w:cs="Times New Roman"/>
          <w:i/>
          <w:iCs/>
          <w:color w:val="000000" w:themeColor="text1"/>
        </w:rPr>
      </w:pPr>
      <w:r w:rsidRPr="003D2D46">
        <w:rPr>
          <w:rFonts w:ascii="Times New Roman" w:hAnsi="Times New Roman" w:cs="Times New Roman"/>
          <w:color w:val="000000" w:themeColor="text1"/>
        </w:rPr>
        <w:lastRenderedPageBreak/>
        <w:t>The first step in building the model involved fitting univariable models between each of the potential predictors and the outcome variable (log-transformed age-</w:t>
      </w:r>
      <w:r w:rsidR="001579D0" w:rsidRPr="003D2D46">
        <w:rPr>
          <w:rFonts w:ascii="Times New Roman" w:hAnsi="Times New Roman" w:cs="Times New Roman"/>
          <w:color w:val="000000" w:themeColor="text1"/>
        </w:rPr>
        <w:t xml:space="preserve">adjusted pertussis risk). Univariable associations were assessed at a liberal p-value of 0.2 and variables with a p&lt;0.2 were considered for further investigation in step two. Two-way correlations were run for variables considered for step 2. </w:t>
      </w:r>
      <w:r w:rsidR="00EF2015" w:rsidRPr="003D2D46">
        <w:rPr>
          <w:rFonts w:ascii="Times New Roman" w:hAnsi="Times New Roman" w:cs="Times New Roman"/>
          <w:color w:val="000000" w:themeColor="text1"/>
        </w:rPr>
        <w:t>Only one of a pair of highly correlated variables (absolute value of r&gt;0.7) were assessed in step two. The decision regarding which of a pair of highly correlated variables to include in step two was based on biological and statistical considerations. The second step involved fitting multivariable ordinary least squares model using</w:t>
      </w:r>
      <w:r w:rsidR="00EF2015" w:rsidRPr="003D2D46">
        <w:rPr>
          <w:rFonts w:ascii="Times New Roman" w:hAnsi="Times New Roman" w:cs="Times New Roman"/>
          <w:strike/>
          <w:color w:val="000000" w:themeColor="text1"/>
        </w:rPr>
        <w:t xml:space="preserve"> </w:t>
      </w:r>
      <w:r w:rsidR="00EF2015" w:rsidRPr="003D2D46">
        <w:rPr>
          <w:rFonts w:ascii="Times New Roman" w:hAnsi="Times New Roman" w:cs="Times New Roman"/>
          <w:color w:val="000000" w:themeColor="text1"/>
        </w:rPr>
        <w:t xml:space="preserve">manual backwards elimination with the predictor variables identified for inclusion in step one. During this step statistical significance </w:t>
      </w:r>
      <w:r w:rsidR="005214A4" w:rsidRPr="003D2D46">
        <w:rPr>
          <w:rFonts w:ascii="Times New Roman" w:hAnsi="Times New Roman" w:cs="Times New Roman"/>
          <w:color w:val="000000" w:themeColor="text1"/>
        </w:rPr>
        <w:t xml:space="preserve">was </w:t>
      </w:r>
      <w:r w:rsidR="00EF2015" w:rsidRPr="003D2D46">
        <w:rPr>
          <w:rFonts w:ascii="Times New Roman" w:hAnsi="Times New Roman" w:cs="Times New Roman"/>
          <w:color w:val="000000" w:themeColor="text1"/>
        </w:rPr>
        <w:t xml:space="preserve">assessed using p≤0.05. Confounding was investigated by assessing whether the removal of a variable resulted in a &gt;20% change in the coefficients of any other variables in the model </w:t>
      </w:r>
      <w:r w:rsidR="00EF2015"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Dohoo","given":"IR","non-dropping-particle":"","parse-names":false,"suffix":""},{"dropping-particle":"","family":"Martin","given":"SW","non-dropping-particle":"","parse-names":false,"suffix":""},{"dropping-particle":"","family":"Stryhn","given":"H","non-dropping-particle":"","parse-names":false,"suffix":""}],"id":"ITEM-1","issued":{"date-parts":[["2012"]]},"publisher":"VER, Inc.","publisher-place":"Charlottetown, PEI","title":"Methods in epidemiologic research","type":"book"},"uris":["http://www.mendeley.com/documents/?uuid=105702bf-12df-418b-82a1-c7f98eacdea0"]}],"mendeley":{"formattedCitation":"(Dohoo, Martin &amp; Stryhn, 2012)","plainTextFormattedCitation":"(Dohoo, Martin &amp; Stryhn, 2012)","previouslyFormattedCitation":"(Dohoo, Martin &amp; Stryhn, 2012)"},"properties":{"noteIndex":0},"schema":"https://github.com/citation-style-language/schema/raw/master/csl-citation.json"}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(Dohoo, Martin &amp; Stryhn, 2012)</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If a confounder was identified, it was forced into the model regardless of its statistical relationship with the outcome variable. Robust Lagrange Multiplier (RLM) tests, implemented in GeoDa, were used to assess for spatial autocorrelation in the residuals using queen spatial weight </w:t>
      </w:r>
      <w:r w:rsidR="00EF2015"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{"citationItems":[{"id":"ITEM-1","itemData":{"author":[{"dropping-particle":"","family":"Anselin","given":"Luc","non-dropping-particle":"","parse-names":false,"suffix":""}],"id":"ITEM-1","issued":{"date-parts":[["2019"]]},"number":"1.14","publisher":"University of Illinois","publisher-place":"Urbana-Champaign, IL","title":"GeoDa version 1.14. Chicago, IL. University of Chicago.","type":"article"},"uris":["http://www.mendeley.com/documents/?uuid=08f2f39b-27d9-4790-8f79-65e142bc5da3","http://www.mendeley.com/documents/?uuid=b640be04-8d73-44c1-9b23-f6c006ed36a8","http://www.mendeley.com/documents/?uuid=e477c43b-0b3d-4ac7-a469-67adcb2e5ed2"]}],"mendeley":{"formattedCitation":"(Anselin, 2019)","plainTextFormattedCitation":"(Anselin, 2019)","previouslyFormattedCitation":"(Anselin, 2019)"},"properties":{"noteIndex":0},"schema":"https://github.com/citation-style-language/schema/raw/master/csl-citation.json"}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(Anselin, 2019)</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Multicollinearity was assessed using both Variance Inflation Factor (VIF) in SPSS </w:t>
      </w:r>
      <w:r w:rsidR="00EF2015" w:rsidRPr="003D2D46">
        <w:rPr>
          <w:rFonts w:ascii="Times New Roman" w:hAnsi="Times New Roman" w:cs="Times New Roman"/>
          <w:color w:val="000000" w:themeColor="text1"/>
        </w:rPr>
        <w:fldChar w:fldCharType="begin" w:fldLock="1"/>
      </w:r>
      <w:r w:rsidR="00476116" w:rsidRPr="003D2D46">
        <w:rPr>
          <w:rFonts w:ascii="Times New Roman" w:hAnsi="Times New Roman" w:cs="Times New Roman"/>
          <w:color w:val="000000" w:themeColor="text1"/>
        </w:rPr>
        <w:instrText>ADDIN CSL_CITATION {"citationItems":[{"id":"ITEM-1","itemData":{"author":[{"dropping-particle":"","family":"IBM","given":"","non-dropping-particle":"","parse-names":false,"suffix":""}],"id":"ITEM-1","issued":{"date-parts":[["2017"]]},"number":"25.0","publisher":"IBM Corp.","publisher-place":"Armonk, NY","title":"IBM SPSS Statistics for Windows version 25. Armonk, NY. IBM.","type":"article"},"uris":["http://www.mendeley.com/documents/?uuid=451a585f-118d-42ac-9360-18cbea601fc3","http://www.mendeley.com/documents/?uuid=b55de2bb-146c-4b57-a668-3a89e236d078","http://www.mendeley.com/documents/?uuid=745ebcb1-fe1c-4ea3-9827-663d8110099a"]}],"mendeley":{"formattedCitation":"(IBM, 2017)","plainTextFormattedCitation":"(IBM, 2017)","previouslyFormattedCitation":"(IBM, 2017)"},"properties":{"noteIndex":0},"schema":"https://github.com/citation-style-language/schema/raw/master/csl-citation.json"}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(IBM, 2017)</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and the Multicollinearity Condition Number in GeoDa </w:t>
      </w:r>
      <w:r w:rsidR="00EF2015"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10.1111/j.0016-7363.2005.00671.x","ISSN":"0016-7363","author":[{"dropping-particle":"","family":"Anselin","given":"Luc","non-dropping-particle":"","parse-names":false,"suffix":""},{"dropping-particle":"","family":"Syabri","given":"Ibnu","non-dropping-particle":"","parse-names":false,"suffix":""},{"dropping-particle":"","family":"Kho","given":"Youngihn","non-dropping-particle":"","parse-names":false,"suffix":""}],"container-title":"Geographical Analysis","id":"ITEM-1","issue":"1","issued":{"date-parts":[["2006","1","1"]]},"page":"5-22","publisher":"John Wiley &amp; Sons, Ltd (10.1111)","title":"GeoDa: An Introduction to Spatial Data Analysis","type":"article-journal","volume":"38"},"uris":["http://www.mendeley.com/documents/?uuid=aa9eefe9-c444-3b1b-be6f-f18abb904a74"]}],"mendeley":{"formattedCitation":"(Anselin, Syabri &amp; Kho, 2006)","plainTextFormattedCitation":"(Anselin, Syabri &amp; Kho, 2006)","previouslyFormattedCitation":"(Anselin, Syabri &amp; Kho, 2006)"},"properties":{"noteIndex":0},"schema":"https://github.com/citation-style-language/schema/raw/master/csl-citation.json"}</w:instrText>
      </w:r>
      <w:r w:rsidR="00EF2015"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(Anselin, Syabri &amp; Kho, 2006)</w:t>
      </w:r>
      <w:r w:rsidR="00EF2015" w:rsidRPr="003D2D46">
        <w:rPr>
          <w:rFonts w:ascii="Times New Roman" w:hAnsi="Times New Roman" w:cs="Times New Roman"/>
          <w:color w:val="000000" w:themeColor="text1"/>
        </w:rPr>
        <w:fldChar w:fldCharType="end"/>
      </w:r>
      <w:r w:rsidR="00EF2015" w:rsidRPr="003D2D46">
        <w:rPr>
          <w:rFonts w:ascii="Times New Roman" w:hAnsi="Times New Roman" w:cs="Times New Roman"/>
          <w:color w:val="000000" w:themeColor="text1"/>
        </w:rPr>
        <w:t xml:space="preserve">. </w:t>
      </w:r>
    </w:p>
    <w:p w14:paraId="53A9C5BD" w14:textId="77777777" w:rsidR="00040588" w:rsidRPr="003D2D46" w:rsidRDefault="00040588" w:rsidP="00580A15">
      <w:pPr>
        <w:spacing w:line="480" w:lineRule="auto"/>
        <w:rPr>
          <w:rFonts w:ascii="Times New Roman" w:hAnsi="Times New Roman" w:cs="Times New Roman"/>
          <w:i/>
          <w:iCs/>
          <w:color w:val="000000" w:themeColor="text1"/>
        </w:rPr>
      </w:pPr>
    </w:p>
    <w:p w14:paraId="4A4DD1DF" w14:textId="77777777" w:rsidR="00EF2015" w:rsidRPr="003D2D46" w:rsidRDefault="005529ED" w:rsidP="00AC2C5D">
      <w:pPr>
        <w:pStyle w:val="Heading41111"/>
        <w:spacing w:line="480" w:lineRule="auto"/>
        <w:rPr>
          <w:rFonts w:cs="Times New Roman"/>
          <w:color w:val="000000" w:themeColor="text1"/>
        </w:rPr>
      </w:pPr>
      <w:bookmarkStart w:id="220" w:name="_Toc82445580"/>
      <w:bookmarkStart w:id="221" w:name="_Toc87797145"/>
      <w:r w:rsidRPr="003D2D46">
        <w:rPr>
          <w:rFonts w:cs="Times New Roman"/>
          <w:color w:val="000000" w:themeColor="text1"/>
        </w:rPr>
        <w:lastRenderedPageBreak/>
        <w:t>5</w:t>
      </w:r>
      <w:r w:rsidR="00106487" w:rsidRPr="003D2D46">
        <w:rPr>
          <w:rFonts w:cs="Times New Roman"/>
          <w:color w:val="000000" w:themeColor="text1"/>
        </w:rPr>
        <w:t>.</w:t>
      </w:r>
      <w:r w:rsidR="00FF4BED" w:rsidRPr="003D2D46">
        <w:rPr>
          <w:rFonts w:cs="Times New Roman"/>
          <w:color w:val="000000" w:themeColor="text1"/>
        </w:rPr>
        <w:t>4</w:t>
      </w:r>
      <w:r w:rsidR="00106487" w:rsidRPr="003D2D46">
        <w:rPr>
          <w:rFonts w:cs="Times New Roman"/>
          <w:color w:val="000000" w:themeColor="text1"/>
        </w:rPr>
        <w:t xml:space="preserve">.5 </w:t>
      </w:r>
      <w:r w:rsidR="00EF2015" w:rsidRPr="003D2D46">
        <w:rPr>
          <w:rFonts w:cs="Times New Roman"/>
          <w:color w:val="000000" w:themeColor="text1"/>
        </w:rPr>
        <w:t>Cartographic Displays</w:t>
      </w:r>
      <w:bookmarkEnd w:id="220"/>
      <w:bookmarkEnd w:id="221"/>
    </w:p>
    <w:p w14:paraId="26793214" w14:textId="5CB18DC9" w:rsidR="00EF2015" w:rsidRPr="003D2D46" w:rsidRDefault="00EF2015"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shd w:val="clear" w:color="auto" w:fill="FFFFFF"/>
        </w:rPr>
        <w:t xml:space="preserve">All geographic information system (GIS) manipulations and cartographic displays were performed in ArcGIS </w:t>
      </w:r>
      <w:r w:rsidRPr="003D2D46">
        <w:rPr>
          <w:rFonts w:ascii="Times New Roman" w:hAnsi="Times New Roman" w:cs="Times New Roman"/>
          <w:color w:val="000000" w:themeColor="text1"/>
          <w:shd w:val="clear" w:color="auto" w:fill="FFFFFF"/>
        </w:rPr>
        <w:fldChar w:fldCharType="begin" w:fldLock="1"/>
      </w:r>
      <w:r w:rsidR="00476116" w:rsidRPr="003D2D46">
        <w:rPr>
          <w:rFonts w:ascii="Times New Roman" w:hAnsi="Times New Roman" w:cs="Times New Roman"/>
          <w:color w:val="000000" w:themeColor="text1"/>
          <w:shd w:val="clear" w:color="auto" w:fill="FFFFFF"/>
        </w:rPr>
        <w:instrText>ADDIN CSL_CITATION {"citationItems":[{"id":"ITEM-1","itemData":{"author":[{"dropping-particle":"","family":"Environmental Systems Research Intitute","given":"","non-dropping-particle":"","parse-names":false,"suffix":""}],"id":"ITEM-1","issued":{"date-parts":[["2019"]]},"number":"10.7","publisher":"Environmental Systems Research Institute, Inc.","publisher-place":"Redlands, CA","title":"ArcGIS Desktop version 10.7, Redlands, CA. ESRI.","type":"article"},"uris":["http://www.mendeley.com/documents/?uuid=eddc543e-0921-4cd7-b1f1-90b8730fc30f","http://www.mendeley.com/documents/?uuid=67c8e74d-3c02-4e71-bc59-31e8f86a09ca","http://www.mendeley.com/documents/?uuid=f07c6a95-4eeb-464f-92c5-8a7c0dc0378c"]}],"mendeley":{"formattedCitation":"(Environmental Systems Research Intitute, 2019)","plainTextFormattedCitation":"(Environmental Systems Research Intitute, 2019)","previouslyFormattedCitation":"(Environmental Systems Research Intitute, 2019)"},"properties":{"noteIndex":0},"schema":"https://github.com/citation-style-language/schema/raw/master/csl-citation.json"}</w:instrText>
      </w:r>
      <w:r w:rsidRPr="003D2D46">
        <w:rPr>
          <w:rFonts w:ascii="Times New Roman" w:hAnsi="Times New Roman" w:cs="Times New Roman"/>
          <w:color w:val="000000" w:themeColor="text1"/>
          <w:shd w:val="clear" w:color="auto" w:fill="FFFFFF"/>
        </w:rPr>
        <w:fldChar w:fldCharType="separate"/>
      </w:r>
      <w:r w:rsidR="001636D5" w:rsidRPr="003D2D46">
        <w:rPr>
          <w:rFonts w:ascii="Times New Roman" w:hAnsi="Times New Roman" w:cs="Times New Roman"/>
          <w:noProof/>
          <w:color w:val="000000" w:themeColor="text1"/>
          <w:shd w:val="clear" w:color="auto" w:fill="FFFFFF"/>
        </w:rPr>
        <w:t>(Environmental Systems Research Intitute, 2019)</w:t>
      </w:r>
      <w:r w:rsidRPr="003D2D46">
        <w:rPr>
          <w:rFonts w:ascii="Times New Roman" w:hAnsi="Times New Roman" w:cs="Times New Roman"/>
          <w:color w:val="000000" w:themeColor="text1"/>
          <w:shd w:val="clear" w:color="auto" w:fill="FFFFFF"/>
        </w:rPr>
        <w:fldChar w:fldCharType="end"/>
      </w:r>
      <w:r w:rsidRPr="003D2D46">
        <w:rPr>
          <w:rFonts w:ascii="Times New Roman" w:hAnsi="Times New Roman" w:cs="Times New Roman"/>
          <w:color w:val="000000" w:themeColor="text1"/>
          <w:shd w:val="clear" w:color="auto" w:fill="FFFFFF"/>
        </w:rPr>
        <w:t xml:space="preserve">. Statistically significant county-level predictors of pertussis risks, age-adjusted pertussis risks, and significant clusters of pertussis risk were displayed in maps. The choropleth maps of pertussis risk and of high-risk clusters were generated for the full study period and three-year time periods: </w:t>
      </w:r>
      <w:r w:rsidRPr="003D2D46">
        <w:rPr>
          <w:rFonts w:ascii="Times New Roman" w:hAnsi="Times New Roman" w:cs="Times New Roman"/>
          <w:color w:val="000000" w:themeColor="text1"/>
        </w:rPr>
        <w:t xml:space="preserve">2010-2012, 2013-2015, and 2016-2018. </w:t>
      </w:r>
      <w:r w:rsidRPr="003D2D46">
        <w:rPr>
          <w:rFonts w:ascii="Times New Roman" w:hAnsi="Times New Roman" w:cs="Times New Roman"/>
          <w:color w:val="000000" w:themeColor="text1"/>
          <w:shd w:val="clear" w:color="auto" w:fill="FFFFFF"/>
        </w:rPr>
        <w:t>Critical intervals in maps of the determinants of pertussis risk as well as maps of pertussis risk were determined using Jenk’s optimization classification scheme for the full study period (2010-2018) and were applied to pertussis risk maps of other time periods for consistency.</w:t>
      </w:r>
    </w:p>
    <w:p w14:paraId="1282E97B" w14:textId="77777777" w:rsidR="00E547A1" w:rsidRPr="003D2D46" w:rsidRDefault="00E547A1" w:rsidP="00580A15">
      <w:pPr>
        <w:spacing w:line="480" w:lineRule="auto"/>
        <w:rPr>
          <w:rFonts w:ascii="Times New Roman" w:hAnsi="Times New Roman" w:cs="Times New Roman"/>
          <w:color w:val="000000" w:themeColor="text1"/>
          <w:shd w:val="clear" w:color="auto" w:fill="FFFFFF"/>
        </w:rPr>
      </w:pPr>
    </w:p>
    <w:p w14:paraId="4343E0B6" w14:textId="77777777" w:rsidR="00EF2015" w:rsidRPr="003D2D46" w:rsidRDefault="00FF4BED" w:rsidP="00AC2C5D">
      <w:pPr>
        <w:pStyle w:val="Heading41111"/>
        <w:spacing w:line="480" w:lineRule="auto"/>
        <w:rPr>
          <w:rFonts w:cs="Times New Roman"/>
          <w:color w:val="000000" w:themeColor="text1"/>
        </w:rPr>
      </w:pPr>
      <w:bookmarkStart w:id="222" w:name="_Toc82445581"/>
      <w:bookmarkStart w:id="223" w:name="_Toc87797146"/>
      <w:r w:rsidRPr="003D2D46">
        <w:rPr>
          <w:rFonts w:cs="Times New Roman"/>
          <w:color w:val="000000" w:themeColor="text1"/>
        </w:rPr>
        <w:t>5.4.</w:t>
      </w:r>
      <w:r w:rsidR="00E547A1" w:rsidRPr="003D2D46">
        <w:rPr>
          <w:rFonts w:cs="Times New Roman"/>
          <w:color w:val="000000" w:themeColor="text1"/>
        </w:rPr>
        <w:t>6</w:t>
      </w:r>
      <w:r w:rsidRPr="003D2D46">
        <w:rPr>
          <w:rFonts w:cs="Times New Roman"/>
          <w:color w:val="000000" w:themeColor="text1"/>
        </w:rPr>
        <w:t xml:space="preserve"> </w:t>
      </w:r>
      <w:r w:rsidR="00EF2015" w:rsidRPr="003D2D46">
        <w:rPr>
          <w:rFonts w:cs="Times New Roman"/>
          <w:color w:val="000000" w:themeColor="text1"/>
        </w:rPr>
        <w:t>Ethical Statement</w:t>
      </w:r>
      <w:bookmarkEnd w:id="222"/>
      <w:bookmarkEnd w:id="223"/>
    </w:p>
    <w:p w14:paraId="1E107578" w14:textId="77777777" w:rsidR="00030DD4" w:rsidRPr="003D2D46" w:rsidRDefault="00CF7693" w:rsidP="00580A15">
      <w:pPr>
        <w:spacing w:line="480" w:lineRule="auto"/>
        <w:rPr>
          <w:rFonts w:ascii="Times New Roman" w:hAnsi="Times New Roman" w:cs="Times New Roman"/>
          <w:color w:val="000000" w:themeColor="text1"/>
          <w:shd w:val="clear" w:color="auto" w:fill="FFFFFF"/>
        </w:rPr>
      </w:pPr>
      <w:r w:rsidRPr="003D2D46">
        <w:rPr>
          <w:rFonts w:ascii="Times New Roman" w:hAnsi="Times New Roman" w:cs="Times New Roman"/>
          <w:color w:val="000000" w:themeColor="text1"/>
          <w:shd w:val="clear" w:color="auto" w:fill="FFFFFF"/>
        </w:rPr>
        <w:t>This study was assessed by the University of Tennessee Institutional Review Board (IRB Number: UTK IRB-20-05957) which determined that it did not involve human subjects as defined in 45 CFR 46.102 (e) (1), since it did not involve use of identifiable private information. Thus, the IRB determined that neither IRB review, nor certification of exemption from review, was required.</w:t>
      </w:r>
    </w:p>
    <w:p w14:paraId="78773DC7" w14:textId="77777777" w:rsidR="00ED6ADB" w:rsidRPr="003D2D46" w:rsidRDefault="00ED6ADB" w:rsidP="00580A15">
      <w:pPr>
        <w:spacing w:line="480" w:lineRule="auto"/>
        <w:rPr>
          <w:rFonts w:ascii="Times New Roman" w:hAnsi="Times New Roman" w:cs="Times New Roman"/>
          <w:color w:val="000000" w:themeColor="text1"/>
        </w:rPr>
      </w:pPr>
    </w:p>
    <w:p w14:paraId="1189FC8C" w14:textId="77777777" w:rsidR="00EF2015" w:rsidRPr="003D2D46" w:rsidRDefault="005529ED" w:rsidP="005F71CB">
      <w:pPr>
        <w:pStyle w:val="Heading2"/>
        <w:spacing w:line="480" w:lineRule="auto"/>
        <w:rPr>
          <w:rFonts w:cs="Times New Roman"/>
          <w:color w:val="000000" w:themeColor="text1"/>
          <w:szCs w:val="24"/>
        </w:rPr>
      </w:pPr>
      <w:bookmarkStart w:id="224" w:name="_Toc82445582"/>
      <w:bookmarkStart w:id="225" w:name="_Toc87797147"/>
      <w:r w:rsidRPr="003D2D46">
        <w:rPr>
          <w:rFonts w:cs="Times New Roman"/>
          <w:color w:val="000000" w:themeColor="text1"/>
          <w:szCs w:val="24"/>
        </w:rPr>
        <w:t>5</w:t>
      </w:r>
      <w:r w:rsidR="00106487" w:rsidRPr="003D2D46">
        <w:rPr>
          <w:rFonts w:cs="Times New Roman"/>
          <w:color w:val="000000" w:themeColor="text1"/>
          <w:szCs w:val="24"/>
        </w:rPr>
        <w:t>.</w:t>
      </w:r>
      <w:r w:rsidR="00FF4BED" w:rsidRPr="003D2D46">
        <w:rPr>
          <w:rFonts w:cs="Times New Roman"/>
          <w:color w:val="000000" w:themeColor="text1"/>
          <w:szCs w:val="24"/>
        </w:rPr>
        <w:t>5</w:t>
      </w:r>
      <w:r w:rsidR="00106487" w:rsidRPr="003D2D46">
        <w:rPr>
          <w:rFonts w:cs="Times New Roman"/>
          <w:color w:val="000000" w:themeColor="text1"/>
          <w:szCs w:val="24"/>
        </w:rPr>
        <w:t xml:space="preserve"> </w:t>
      </w:r>
      <w:r w:rsidR="00EF2015" w:rsidRPr="003D2D46">
        <w:rPr>
          <w:rFonts w:cs="Times New Roman"/>
          <w:color w:val="000000" w:themeColor="text1"/>
          <w:szCs w:val="24"/>
        </w:rPr>
        <w:t>Results</w:t>
      </w:r>
      <w:bookmarkEnd w:id="224"/>
      <w:bookmarkEnd w:id="225"/>
    </w:p>
    <w:p w14:paraId="75AA4712" w14:textId="77777777" w:rsidR="00EF2015" w:rsidRPr="003D2D46" w:rsidRDefault="005529ED" w:rsidP="00AC2C5D">
      <w:pPr>
        <w:pStyle w:val="Heading41111"/>
        <w:spacing w:line="480" w:lineRule="auto"/>
        <w:rPr>
          <w:rFonts w:cs="Times New Roman"/>
          <w:color w:val="000000" w:themeColor="text1"/>
        </w:rPr>
      </w:pPr>
      <w:bookmarkStart w:id="226" w:name="_Toc82445583"/>
      <w:bookmarkStart w:id="227" w:name="_Toc87797148"/>
      <w:r w:rsidRPr="003D2D46">
        <w:rPr>
          <w:rFonts w:cs="Times New Roman"/>
          <w:color w:val="000000" w:themeColor="text1"/>
        </w:rPr>
        <w:t>5</w:t>
      </w:r>
      <w:r w:rsidR="00106487" w:rsidRPr="003D2D46">
        <w:rPr>
          <w:rFonts w:cs="Times New Roman"/>
          <w:color w:val="000000" w:themeColor="text1"/>
        </w:rPr>
        <w:t>.</w:t>
      </w:r>
      <w:r w:rsidR="00FF4BED" w:rsidRPr="003D2D46">
        <w:rPr>
          <w:rFonts w:cs="Times New Roman"/>
          <w:color w:val="000000" w:themeColor="text1"/>
        </w:rPr>
        <w:t>5</w:t>
      </w:r>
      <w:r w:rsidR="00106487" w:rsidRPr="003D2D46">
        <w:rPr>
          <w:rFonts w:cs="Times New Roman"/>
          <w:color w:val="000000" w:themeColor="text1"/>
        </w:rPr>
        <w:t xml:space="preserve">.1 </w:t>
      </w:r>
      <w:r w:rsidR="00EF2015" w:rsidRPr="003D2D46">
        <w:rPr>
          <w:rFonts w:cs="Times New Roman"/>
          <w:color w:val="000000" w:themeColor="text1"/>
        </w:rPr>
        <w:t>Geographic and Temporal Distribution of Pertussis Risk</w:t>
      </w:r>
      <w:bookmarkEnd w:id="226"/>
      <w:bookmarkEnd w:id="227"/>
    </w:p>
    <w:p w14:paraId="24FA0481" w14:textId="229949B0" w:rsidR="001579D0" w:rsidRPr="003D2D46" w:rsidRDefault="00EF2015"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County-level pertussis risk varied from 0 to 116.31 cases per 100,000 </w:t>
      </w:r>
      <w:r w:rsidR="00335565"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during the study period (2010-2018) (Figure </w:t>
      </w:r>
      <w:r w:rsidR="006C7F43" w:rsidRPr="003D2D46">
        <w:rPr>
          <w:rFonts w:ascii="Times New Roman" w:hAnsi="Times New Roman" w:cs="Times New Roman"/>
          <w:color w:val="000000" w:themeColor="text1"/>
        </w:rPr>
        <w:t>5.2A</w:t>
      </w:r>
      <w:r w:rsidRPr="003D2D46">
        <w:rPr>
          <w:rFonts w:ascii="Times New Roman" w:hAnsi="Times New Roman" w:cs="Times New Roman"/>
          <w:color w:val="000000" w:themeColor="text1"/>
        </w:rPr>
        <w:t xml:space="preserve">). Four regions with high risks of pertussis were </w:t>
      </w:r>
      <w:r w:rsidRPr="003D2D46">
        <w:rPr>
          <w:rFonts w:ascii="Times New Roman" w:hAnsi="Times New Roman" w:cs="Times New Roman"/>
          <w:color w:val="000000" w:themeColor="text1"/>
        </w:rPr>
        <w:lastRenderedPageBreak/>
        <w:t xml:space="preserve">evident: </w:t>
      </w:r>
      <w:bookmarkStart w:id="228" w:name="OLE_LINK1"/>
      <w:bookmarkStart w:id="229" w:name="OLE_LINK2"/>
      <w:r w:rsidRPr="003D2D46">
        <w:rPr>
          <w:rFonts w:ascii="Times New Roman" w:hAnsi="Times New Roman" w:cs="Times New Roman"/>
          <w:color w:val="000000" w:themeColor="text1"/>
        </w:rPr>
        <w:t xml:space="preserve">the Pensacola metropolitan area in the western panhandle (Escambia, Santa Rosa, and Washington counties), the Tampa Bay area (Hillsborough, Pasco, and Polk counties), Jacksonville metropolitan area (Nassau, Duval, Flagler, Putnam, and St. Johns counties), and the Cape Coral-Fort Meyers-Naples Area (Collier, Hendry, and Lee counties) </w:t>
      </w:r>
      <w:bookmarkEnd w:id="228"/>
      <w:bookmarkEnd w:id="229"/>
      <w:r w:rsidRPr="003D2D46">
        <w:rPr>
          <w:rFonts w:ascii="Times New Roman" w:hAnsi="Times New Roman" w:cs="Times New Roman"/>
          <w:color w:val="000000" w:themeColor="text1"/>
        </w:rPr>
        <w:t xml:space="preserve">(Figures </w:t>
      </w:r>
      <w:r w:rsidR="006C7F43" w:rsidRPr="003D2D46">
        <w:rPr>
          <w:rFonts w:ascii="Times New Roman" w:hAnsi="Times New Roman" w:cs="Times New Roman"/>
          <w:color w:val="000000" w:themeColor="text1"/>
        </w:rPr>
        <w:t>5.1</w:t>
      </w:r>
      <w:r w:rsidRPr="003D2D46">
        <w:rPr>
          <w:rFonts w:ascii="Times New Roman" w:hAnsi="Times New Roman" w:cs="Times New Roman"/>
          <w:color w:val="000000" w:themeColor="text1"/>
        </w:rPr>
        <w:t xml:space="preserve"> and </w:t>
      </w:r>
      <w:r w:rsidR="006C7F43" w:rsidRPr="003D2D46">
        <w:rPr>
          <w:rFonts w:ascii="Times New Roman" w:hAnsi="Times New Roman" w:cs="Times New Roman"/>
          <w:color w:val="000000" w:themeColor="text1"/>
        </w:rPr>
        <w:t>5.2</w:t>
      </w:r>
      <w:r w:rsidRPr="003D2D46">
        <w:rPr>
          <w:rFonts w:ascii="Times New Roman" w:hAnsi="Times New Roman" w:cs="Times New Roman"/>
          <w:color w:val="000000" w:themeColor="text1"/>
        </w:rPr>
        <w:t xml:space="preserve">A). High risks were also observed in Columbia and Suwannee counties. Areas of low risk, on the other hand, were evident around Glades, Union, Liberty, and Calhoun Counties (Figures </w:t>
      </w:r>
      <w:r w:rsidR="006C7F43" w:rsidRPr="003D2D46">
        <w:rPr>
          <w:rFonts w:ascii="Times New Roman" w:hAnsi="Times New Roman" w:cs="Times New Roman"/>
          <w:color w:val="000000" w:themeColor="text1"/>
        </w:rPr>
        <w:t>5.1</w:t>
      </w:r>
      <w:r w:rsidRPr="003D2D46">
        <w:rPr>
          <w:rFonts w:ascii="Times New Roman" w:hAnsi="Times New Roman" w:cs="Times New Roman"/>
          <w:color w:val="000000" w:themeColor="text1"/>
        </w:rPr>
        <w:t xml:space="preserve"> and </w:t>
      </w:r>
      <w:r w:rsidR="006C7F43" w:rsidRPr="003D2D46">
        <w:rPr>
          <w:rFonts w:ascii="Times New Roman" w:hAnsi="Times New Roman" w:cs="Times New Roman"/>
          <w:color w:val="000000" w:themeColor="text1"/>
        </w:rPr>
        <w:t>5.</w:t>
      </w:r>
      <w:r w:rsidRPr="003D2D46">
        <w:rPr>
          <w:rFonts w:ascii="Times New Roman" w:hAnsi="Times New Roman" w:cs="Times New Roman"/>
          <w:color w:val="000000" w:themeColor="text1"/>
        </w:rPr>
        <w:t>2A).</w:t>
      </w:r>
    </w:p>
    <w:p w14:paraId="2418C962" w14:textId="77777777" w:rsidR="001579D0" w:rsidRPr="003D2D46" w:rsidRDefault="001579D0" w:rsidP="00580A15">
      <w:pPr>
        <w:spacing w:after="200" w:line="480" w:lineRule="auto"/>
        <w:contextualSpacing/>
        <w:rPr>
          <w:rFonts w:ascii="Times New Roman" w:hAnsi="Times New Roman" w:cs="Times New Roman"/>
          <w:color w:val="000000" w:themeColor="text1"/>
        </w:rPr>
      </w:pPr>
    </w:p>
    <w:p w14:paraId="4406AA5C" w14:textId="333EB574" w:rsidR="00AB7776" w:rsidRPr="003D2D46" w:rsidRDefault="001579D0"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pattern of geographic distribution of pertussis risk was slightly different for the time period 2010-2012, compared to the whole time period (2010-2018), with high risks being observed in Santa Rosa county in the western Panhandle, around the northern gulf coast in Taylor, Lafayette, and Levy counties, in the northwestern region around Jacksonville in Nassau, Baker, Duval, and Putnam counties, and around the Tampa Bay area in Pasco, Hillsborough, and Polk counties (Figures 5.1 and 5.2B). Though the general spatial patterns of pertussis risk for the time period 2013-2015 were similar to those of 2010-2012, a number of counties (such as Columbia, Suwannee, Washington, etc.) had higher overall risks in 2013-2015 than 2010-2012 (Figures 5.1 and 5.2B-C).  In addition, high risks were identified in Gilchrist County, around the Tampa Bay area in Pasco, Hillsborough, Polk, Highlands, DeSoto, Manatee, and Sarasota counties, and around the Cape Coral area in Lee and Collier counties. Although county level pertussis risks generally increased from 2010-2012 to 2013-2015, risk tended to be lower during the </w:t>
      </w:r>
      <w:r w:rsidRPr="003D2D46">
        <w:rPr>
          <w:rFonts w:ascii="Times New Roman" w:hAnsi="Times New Roman" w:cs="Times New Roman"/>
          <w:color w:val="000000" w:themeColor="text1"/>
        </w:rPr>
        <w:lastRenderedPageBreak/>
        <w:t>2016-2018 time period compared to the 2013-2015 period (Figures 5.2C-D). Highest risks were observed in Nassau County followed by Hillsborough and Hendry counties.</w:t>
      </w:r>
    </w:p>
    <w:p w14:paraId="2B957771" w14:textId="3B50BB2F" w:rsidR="00952872" w:rsidRPr="003D2D46" w:rsidRDefault="00952872" w:rsidP="00580A15">
      <w:pPr>
        <w:spacing w:after="200" w:line="480" w:lineRule="auto"/>
        <w:contextualSpacing/>
        <w:rPr>
          <w:rFonts w:ascii="Times New Roman" w:hAnsi="Times New Roman" w:cs="Times New Roman"/>
          <w:color w:val="000000" w:themeColor="text1"/>
        </w:rPr>
      </w:pPr>
    </w:p>
    <w:p w14:paraId="2013FC8D" w14:textId="77777777" w:rsidR="00952872" w:rsidRPr="003D2D46" w:rsidRDefault="00952872" w:rsidP="00952872">
      <w:pPr>
        <w:pStyle w:val="Heading41111"/>
        <w:spacing w:before="0" w:line="480" w:lineRule="auto"/>
        <w:rPr>
          <w:rFonts w:cs="Times New Roman"/>
          <w:color w:val="000000" w:themeColor="text1"/>
        </w:rPr>
      </w:pPr>
      <w:bookmarkStart w:id="230" w:name="_Toc87797149"/>
      <w:r w:rsidRPr="003D2D46">
        <w:rPr>
          <w:rFonts w:cs="Times New Roman"/>
          <w:color w:val="000000" w:themeColor="text1"/>
        </w:rPr>
        <w:t>5.5.2 Clusters of High Pertussis Risk</w:t>
      </w:r>
      <w:bookmarkEnd w:id="230"/>
      <w:r w:rsidRPr="003D2D46">
        <w:rPr>
          <w:rFonts w:cs="Times New Roman"/>
          <w:color w:val="000000" w:themeColor="text1"/>
        </w:rPr>
        <w:t xml:space="preserve"> </w:t>
      </w:r>
    </w:p>
    <w:p w14:paraId="11074049" w14:textId="23AAA80D" w:rsidR="00AB7776" w:rsidRPr="003D2D46" w:rsidRDefault="00952872" w:rsidP="00952872">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A total of 11 clusters were identified for the analysis that included data for the whole study period (2010-2018) (Table 5.2 and Figure 5.3A). The primary cluster during this time period included one county (Hillsborough) and had a risk ratio (RR) of 2.1. The risk of pertussis in this cluster was 43.1 cases per 100,000 and it had a total of 556 observed cases of pertussis when only 264 cases were expected. Based on geographic size, the largest cluster was Cluster 3 which included two counties (Polk and Pasco). The risk of pertussis in this cluster was 1.51 times higher than the risk outside the cluster. A total of 340 pertussis cases were observed in this cluster when only 223 cases were expected.  It is worth mentioning that the cluster with the highest RR (Cluster 2) included only one county (Columbia) and had a</w:t>
      </w:r>
      <w:r w:rsidR="00DF7634" w:rsidRPr="003D2D46">
        <w:rPr>
          <w:rFonts w:ascii="Times New Roman" w:hAnsi="Times New Roman" w:cs="Times New Roman"/>
          <w:color w:val="000000" w:themeColor="text1"/>
        </w:rPr>
        <w:t xml:space="preserve">n RR </w:t>
      </w:r>
      <w:r w:rsidRPr="003D2D46">
        <w:rPr>
          <w:rFonts w:ascii="Times New Roman" w:hAnsi="Times New Roman" w:cs="Times New Roman"/>
          <w:color w:val="000000" w:themeColor="text1"/>
        </w:rPr>
        <w:t>of 5.7, a risk of 116.3 cases per 100,000 persons, 79 observed cases while only 13 were expected. Counties in the Tampa Bay area (Hillsborough, Polk, and Pasco counties) were consistently included in high-risk clusters throughout the study period (Figure 5.3A).</w:t>
      </w:r>
    </w:p>
    <w:p w14:paraId="6248C45C" w14:textId="77777777" w:rsidR="00952872" w:rsidRPr="003D2D46" w:rsidRDefault="00952872" w:rsidP="00580A15">
      <w:pPr>
        <w:spacing w:after="200" w:line="480" w:lineRule="auto"/>
        <w:contextualSpacing/>
        <w:rPr>
          <w:rFonts w:ascii="Times New Roman" w:hAnsi="Times New Roman" w:cs="Times New Roman"/>
          <w:color w:val="000000" w:themeColor="text1"/>
        </w:rPr>
      </w:pPr>
    </w:p>
    <w:p w14:paraId="67457886" w14:textId="77777777" w:rsidR="00952872" w:rsidRPr="003D2D46" w:rsidRDefault="00952872" w:rsidP="00580A15">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Seven clusters, having RRs ranging from 1.6 (in cluster 7) to 3.4 (in cluster 4), were identified during the time period 2010-2012 (Table 5.3 and Figure 5.3B). The time period 2013-2015, on the other hand, had a total of 11 clusters with RRs ranging from 1.4 (in cluster 9) to 12.4 (in the primary cluster) (Table 5.4 and Figure 5.3C).</w:t>
      </w:r>
    </w:p>
    <w:p w14:paraId="3D4C48BB" w14:textId="178984BB" w:rsidR="00AB3DAD" w:rsidRPr="003D2D46" w:rsidRDefault="00AB3DAD" w:rsidP="00AB3DAD">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 xml:space="preserve">The latter was located in Columbia County and had the highest RR across all time periods. Collier county, in the Naples metropolitan area, and Nassau county, in the greater Jacksonville area, were also identified as parts of high-risk clusters during the time periods 2013-2015 (Figure 5.3C) and 2016-2018 (Figure 5.3D). The </w:t>
      </w:r>
      <w:r w:rsidR="00DF7634" w:rsidRPr="003D2D46">
        <w:rPr>
          <w:rFonts w:ascii="Times New Roman" w:hAnsi="Times New Roman" w:cs="Times New Roman"/>
          <w:color w:val="000000" w:themeColor="text1"/>
        </w:rPr>
        <w:t>smallest</w:t>
      </w:r>
      <w:r w:rsidRPr="003D2D46">
        <w:rPr>
          <w:rFonts w:ascii="Times New Roman" w:hAnsi="Times New Roman" w:cs="Times New Roman"/>
          <w:color w:val="000000" w:themeColor="text1"/>
        </w:rPr>
        <w:t xml:space="preserve"> number of clusters were identified in the 2016-2018 time period (Table 5.5 and Figure 5.3D). This was also the only time period during which a multi-county high pertussis risk cluster (RR=1.9; p=0.002) was identified.</w:t>
      </w:r>
    </w:p>
    <w:p w14:paraId="328F1363" w14:textId="77777777" w:rsidR="00AB3DAD" w:rsidRPr="003D2D46" w:rsidRDefault="00AB3DAD" w:rsidP="00AB3DAD">
      <w:pPr>
        <w:spacing w:after="200" w:line="480" w:lineRule="auto"/>
        <w:contextualSpacing/>
        <w:rPr>
          <w:rFonts w:ascii="Times New Roman" w:hAnsi="Times New Roman" w:cs="Times New Roman"/>
          <w:color w:val="000000" w:themeColor="text1"/>
        </w:rPr>
      </w:pPr>
    </w:p>
    <w:p w14:paraId="35E7948F" w14:textId="77777777" w:rsidR="00AB3DAD" w:rsidRPr="003D2D46" w:rsidRDefault="00AB3DAD" w:rsidP="00AB3DAD">
      <w:pPr>
        <w:pStyle w:val="Heading41111"/>
        <w:spacing w:line="480" w:lineRule="auto"/>
        <w:rPr>
          <w:rFonts w:cs="Times New Roman"/>
          <w:color w:val="000000" w:themeColor="text1"/>
        </w:rPr>
      </w:pPr>
      <w:bookmarkStart w:id="231" w:name="_Toc87797150"/>
      <w:r w:rsidRPr="003D2D46">
        <w:rPr>
          <w:rFonts w:cs="Times New Roman"/>
          <w:color w:val="000000" w:themeColor="text1"/>
        </w:rPr>
        <w:t>5.5.3 Predictors of Pertussis Risk</w:t>
      </w:r>
      <w:bookmarkEnd w:id="231"/>
    </w:p>
    <w:p w14:paraId="207570EE" w14:textId="11B5CB62" w:rsidR="00AB3DAD" w:rsidRPr="003D2D46" w:rsidRDefault="00AB3DAD" w:rsidP="00AB3DAD">
      <w:pPr>
        <w:spacing w:after="200" w:line="480" w:lineRule="auto"/>
        <w:contextualSpacing/>
        <w:rPr>
          <w:rFonts w:ascii="Times New Roman" w:hAnsi="Times New Roman" w:cs="Times New Roman"/>
          <w:color w:val="000000" w:themeColor="text1"/>
        </w:rPr>
        <w:sectPr w:rsidR="00AB3DAD" w:rsidRPr="003D2D46" w:rsidSect="00B93CBD">
          <w:pgSz w:w="12240" w:h="15840" w:code="1"/>
          <w:pgMar w:top="1440" w:right="1800" w:bottom="1872" w:left="1800" w:header="720" w:footer="1440" w:gutter="0"/>
          <w:cols w:space="720"/>
          <w:noEndnote/>
          <w:docGrid w:linePitch="360"/>
        </w:sectPr>
      </w:pPr>
      <w:r w:rsidRPr="003D2D46">
        <w:rPr>
          <w:rFonts w:ascii="Times New Roman" w:hAnsi="Times New Roman" w:cs="Times New Roman"/>
          <w:color w:val="000000" w:themeColor="text1"/>
        </w:rPr>
        <w:t xml:space="preserve">Results of descriptive analysis of the potential predictors and assessment of their associations with pertussis risk are presented in Table 5.6.  The following variables were assessed in the multivariable model: rural status, education variables, percent female, primary care providers per 100,000 </w:t>
      </w:r>
      <w:r w:rsidR="00DF7634"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median income, percent vaccinated, percent with medical exemption, and percent with religious exemptions. Only three of these variables were significant in the final model: rurality, county level median income and percentage of females in the county. County level pertussis risks tended to be high in rural counties (p=0.021), those with higher median income (p=0.039), and those with higher percentages of females (p&lt;0.001). It is worth pointing out that % female was a distorter variable for the association between rurality and risk of pertussis with the coefficient of the rural variable switching from a negative association with log-risk of </w:t>
      </w:r>
    </w:p>
    <w:p w14:paraId="547A29CF" w14:textId="0F9FB795" w:rsidR="00CF2B3D" w:rsidRPr="003D2D46" w:rsidRDefault="00E76C13" w:rsidP="00E76C13">
      <w:pPr>
        <w:rPr>
          <w:rFonts w:ascii="Times New Roman" w:hAnsi="Times New Roman" w:cs="Times New Roman"/>
          <w:color w:val="000000" w:themeColor="text1"/>
        </w:rPr>
      </w:pPr>
      <w:r w:rsidRPr="003D2D46">
        <w:rPr>
          <w:rFonts w:ascii="Times New Roman" w:hAnsi="Times New Roman" w:cs="Times New Roman"/>
          <w:noProof/>
          <w:color w:val="000000" w:themeColor="text1"/>
        </w:rPr>
        <w:lastRenderedPageBreak/>
        <w:drawing>
          <wp:inline distT="0" distB="0" distL="0" distR="0" wp14:anchorId="45DC07E5" wp14:editId="58CE5002">
            <wp:extent cx="6626431" cy="4847908"/>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102" r="7904"/>
                    <a:stretch/>
                  </pic:blipFill>
                  <pic:spPr bwMode="auto">
                    <a:xfrm>
                      <a:off x="0" y="0"/>
                      <a:ext cx="6673457" cy="4882312"/>
                    </a:xfrm>
                    <a:prstGeom prst="rect">
                      <a:avLst/>
                    </a:prstGeom>
                    <a:noFill/>
                    <a:ln>
                      <a:noFill/>
                    </a:ln>
                    <a:extLst>
                      <a:ext uri="{53640926-AAD7-44D8-BBD7-CCE9431645EC}">
                        <a14:shadowObscured xmlns:a14="http://schemas.microsoft.com/office/drawing/2010/main"/>
                      </a:ext>
                    </a:extLst>
                  </pic:spPr>
                </pic:pic>
              </a:graphicData>
            </a:graphic>
          </wp:inline>
        </w:drawing>
      </w:r>
    </w:p>
    <w:p w14:paraId="6271BA15" w14:textId="06483317" w:rsidR="00F404EB" w:rsidRPr="003D2D46" w:rsidRDefault="00F404EB" w:rsidP="00F404EB">
      <w:pPr>
        <w:pStyle w:val="Caption"/>
        <w:rPr>
          <w:rFonts w:ascii="Times New Roman" w:hAnsi="Times New Roman" w:cs="Times New Roman"/>
          <w:color w:val="000000" w:themeColor="text1"/>
        </w:rPr>
      </w:pPr>
      <w:bookmarkStart w:id="232" w:name="_Toc83975898"/>
      <w:r w:rsidRPr="003D2D46">
        <w:rPr>
          <w:rFonts w:ascii="Times New Roman" w:hAnsi="Times New Roman" w:cs="Times New Roman"/>
          <w:color w:val="000000" w:themeColor="text1"/>
        </w:rPr>
        <w:t>Figure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Figure \* ARABIC \s 1 </w:instrText>
      </w:r>
      <w:r w:rsidRPr="003D2D46">
        <w:rPr>
          <w:rFonts w:ascii="Times New Roman" w:hAnsi="Times New Roman" w:cs="Times New Roman"/>
          <w:color w:val="000000" w:themeColor="text1"/>
        </w:rPr>
        <w:fldChar w:fldCharType="separate"/>
      </w:r>
      <w:r w:rsidRPr="003D2D46">
        <w:rPr>
          <w:rFonts w:ascii="Times New Roman" w:hAnsi="Times New Roman" w:cs="Times New Roman"/>
          <w:noProof/>
          <w:color w:val="000000" w:themeColor="text1"/>
        </w:rPr>
        <w:t>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Choropleth Maps </w:t>
      </w:r>
      <w:r w:rsidR="00DF7634" w:rsidRPr="003D2D46">
        <w:rPr>
          <w:rFonts w:ascii="Times New Roman" w:hAnsi="Times New Roman" w:cs="Times New Roman"/>
          <w:color w:val="000000" w:themeColor="text1"/>
        </w:rPr>
        <w:t xml:space="preserve">Showing Spatial Distribution </w:t>
      </w:r>
      <w:r w:rsidRPr="003D2D46">
        <w:rPr>
          <w:rFonts w:ascii="Times New Roman" w:hAnsi="Times New Roman" w:cs="Times New Roman"/>
          <w:color w:val="000000" w:themeColor="text1"/>
        </w:rPr>
        <w:t>of Pertussis Risks in Florida, 2010-2018</w:t>
      </w:r>
      <w:bookmarkEnd w:id="232"/>
    </w:p>
    <w:p w14:paraId="7D52897F" w14:textId="77777777" w:rsidR="00F404EB" w:rsidRPr="003D2D46" w:rsidRDefault="00F404EB" w:rsidP="00E76C13">
      <w:pPr>
        <w:rPr>
          <w:rFonts w:ascii="Times New Roman" w:hAnsi="Times New Roman" w:cs="Times New Roman"/>
          <w:color w:val="000000" w:themeColor="text1"/>
        </w:rPr>
      </w:pPr>
    </w:p>
    <w:p w14:paraId="73A880DB" w14:textId="77777777" w:rsidR="00034E09" w:rsidRPr="003D2D46" w:rsidRDefault="00993333" w:rsidP="00993333">
      <w:pPr>
        <w:jc w:val="both"/>
        <w:rPr>
          <w:rFonts w:ascii="Times New Roman" w:hAnsi="Times New Roman" w:cs="Times New Roman"/>
          <w:color w:val="000000" w:themeColor="text1"/>
        </w:rPr>
      </w:pPr>
      <w:r w:rsidRPr="003D2D46">
        <w:rPr>
          <w:rFonts w:ascii="Times New Roman" w:hAnsi="Times New Roman" w:cs="Times New Roman"/>
          <w:noProof/>
          <w:color w:val="000000" w:themeColor="text1"/>
        </w:rPr>
        <w:lastRenderedPageBreak/>
        <w:drawing>
          <wp:inline distT="0" distB="0" distL="0" distR="0" wp14:anchorId="0239A328" wp14:editId="7834E495">
            <wp:extent cx="6848475" cy="50688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671" r="13293"/>
                    <a:stretch/>
                  </pic:blipFill>
                  <pic:spPr bwMode="auto">
                    <a:xfrm>
                      <a:off x="0" y="0"/>
                      <a:ext cx="6863716" cy="5080151"/>
                    </a:xfrm>
                    <a:prstGeom prst="rect">
                      <a:avLst/>
                    </a:prstGeom>
                    <a:noFill/>
                    <a:ln>
                      <a:noFill/>
                    </a:ln>
                    <a:extLst>
                      <a:ext uri="{53640926-AAD7-44D8-BBD7-CCE9431645EC}">
                        <a14:shadowObscured xmlns:a14="http://schemas.microsoft.com/office/drawing/2010/main"/>
                      </a:ext>
                    </a:extLst>
                  </pic:spPr>
                </pic:pic>
              </a:graphicData>
            </a:graphic>
          </wp:inline>
        </w:drawing>
      </w:r>
    </w:p>
    <w:p w14:paraId="22643823" w14:textId="45C1713C" w:rsidR="001602B8" w:rsidRPr="003D2D46" w:rsidRDefault="00CF2B3D" w:rsidP="005043F7">
      <w:pPr>
        <w:pStyle w:val="Caption"/>
        <w:ind w:left="180"/>
        <w:rPr>
          <w:rFonts w:ascii="Times New Roman" w:hAnsi="Times New Roman" w:cs="Times New Roman"/>
          <w:color w:val="000000" w:themeColor="text1"/>
        </w:rPr>
      </w:pPr>
      <w:bookmarkStart w:id="233" w:name="_Toc83975899"/>
      <w:r w:rsidRPr="003D2D46">
        <w:rPr>
          <w:rFonts w:ascii="Times New Roman" w:hAnsi="Times New Roman" w:cs="Times New Roman"/>
          <w:color w:val="000000" w:themeColor="text1"/>
        </w:rPr>
        <w:t>Figure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Figure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High Risk Pertussis</w:t>
      </w:r>
      <w:r w:rsidR="00925001" w:rsidRPr="003D2D46">
        <w:rPr>
          <w:rFonts w:ascii="Times New Roman" w:hAnsi="Times New Roman" w:cs="Times New Roman"/>
          <w:color w:val="000000" w:themeColor="text1"/>
        </w:rPr>
        <w:t xml:space="preserve"> Clusters</w:t>
      </w:r>
      <w:r w:rsidRPr="003D2D46">
        <w:rPr>
          <w:rFonts w:ascii="Times New Roman" w:hAnsi="Times New Roman" w:cs="Times New Roman"/>
          <w:color w:val="000000" w:themeColor="text1"/>
        </w:rPr>
        <w:t xml:space="preserve"> in Florida</w:t>
      </w:r>
      <w:r w:rsidR="000D64A9" w:rsidRPr="003D2D46">
        <w:rPr>
          <w:rFonts w:ascii="Times New Roman" w:hAnsi="Times New Roman" w:cs="Times New Roman"/>
          <w:color w:val="000000" w:themeColor="text1"/>
        </w:rPr>
        <w:t>,</w:t>
      </w:r>
      <w:r w:rsidRPr="003D2D46">
        <w:rPr>
          <w:rFonts w:ascii="Times New Roman" w:hAnsi="Times New Roman" w:cs="Times New Roman"/>
          <w:color w:val="000000" w:themeColor="text1"/>
        </w:rPr>
        <w:t xml:space="preserve"> 2010-2018</w:t>
      </w:r>
      <w:bookmarkEnd w:id="233"/>
    </w:p>
    <w:p w14:paraId="79CA63D0" w14:textId="77777777" w:rsidR="00CF2B3D" w:rsidRPr="003D2D46" w:rsidRDefault="00CF2B3D" w:rsidP="00EE2A89">
      <w:pPr>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p>
    <w:p w14:paraId="700F70F3" w14:textId="40238F69" w:rsidR="00CF2B3D" w:rsidRPr="003D2D46" w:rsidRDefault="00CF2B3D" w:rsidP="00EE2A89">
      <w:pPr>
        <w:pStyle w:val="Caption"/>
        <w:rPr>
          <w:rFonts w:ascii="Times New Roman" w:hAnsi="Times New Roman" w:cs="Times New Roman"/>
          <w:color w:val="000000" w:themeColor="text1"/>
        </w:rPr>
      </w:pPr>
      <w:bookmarkStart w:id="234" w:name="_Toc83975888"/>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Significant geographic clusters of pertussis risk in Florida, 2010-2018</w:t>
      </w:r>
      <w:bookmarkEnd w:id="234"/>
    </w:p>
    <w:tbl>
      <w:tblPr>
        <w:tblW w:w="9359" w:type="dxa"/>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1170"/>
        <w:gridCol w:w="1440"/>
        <w:gridCol w:w="1401"/>
        <w:gridCol w:w="1337"/>
        <w:gridCol w:w="1337"/>
        <w:gridCol w:w="1337"/>
        <w:gridCol w:w="1337"/>
      </w:tblGrid>
      <w:tr w:rsidR="003B4553" w:rsidRPr="003D2D46" w14:paraId="3DE2A458" w14:textId="77777777" w:rsidTr="004F0890">
        <w:tc>
          <w:tcPr>
            <w:tcW w:w="1170" w:type="dxa"/>
            <w:tcBorders>
              <w:top w:val="single" w:sz="12" w:space="0" w:color="000000"/>
              <w:bottom w:val="single" w:sz="12" w:space="0" w:color="000000"/>
            </w:tcBorders>
            <w:vAlign w:val="center"/>
          </w:tcPr>
          <w:p w14:paraId="1B6D1BE8" w14:textId="77777777" w:rsidR="008C52AA" w:rsidRPr="003D2D46" w:rsidRDefault="008C52AA"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Cluster</w:t>
            </w:r>
          </w:p>
        </w:tc>
        <w:tc>
          <w:tcPr>
            <w:tcW w:w="1440" w:type="dxa"/>
            <w:tcBorders>
              <w:top w:val="single" w:sz="12" w:space="0" w:color="000000"/>
              <w:bottom w:val="single" w:sz="12" w:space="0" w:color="000000"/>
            </w:tcBorders>
            <w:vAlign w:val="center"/>
          </w:tcPr>
          <w:p w14:paraId="43D4500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Population</w:t>
            </w:r>
          </w:p>
        </w:tc>
        <w:tc>
          <w:tcPr>
            <w:tcW w:w="1401" w:type="dxa"/>
            <w:tcBorders>
              <w:top w:val="single" w:sz="12" w:space="0" w:color="000000"/>
              <w:bottom w:val="single" w:sz="12" w:space="0" w:color="000000"/>
            </w:tcBorders>
            <w:vAlign w:val="center"/>
          </w:tcPr>
          <w:p w14:paraId="430FC21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Observed Number of Cases</w:t>
            </w:r>
          </w:p>
        </w:tc>
        <w:tc>
          <w:tcPr>
            <w:tcW w:w="1337" w:type="dxa"/>
            <w:tcBorders>
              <w:top w:val="single" w:sz="12" w:space="0" w:color="000000"/>
              <w:bottom w:val="single" w:sz="12" w:space="0" w:color="000000"/>
            </w:tcBorders>
            <w:vAlign w:val="center"/>
          </w:tcPr>
          <w:p w14:paraId="4E969FA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Expected Number of Cases</w:t>
            </w:r>
          </w:p>
        </w:tc>
        <w:tc>
          <w:tcPr>
            <w:tcW w:w="1337" w:type="dxa"/>
            <w:tcBorders>
              <w:top w:val="single" w:sz="12" w:space="0" w:color="000000"/>
              <w:bottom w:val="single" w:sz="12" w:space="0" w:color="000000"/>
            </w:tcBorders>
            <w:vAlign w:val="center"/>
          </w:tcPr>
          <w:p w14:paraId="0377068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per 100,000 people</w:t>
            </w:r>
          </w:p>
        </w:tc>
        <w:tc>
          <w:tcPr>
            <w:tcW w:w="1337" w:type="dxa"/>
            <w:tcBorders>
              <w:top w:val="single" w:sz="12" w:space="0" w:color="000000"/>
              <w:bottom w:val="single" w:sz="12" w:space="0" w:color="000000"/>
            </w:tcBorders>
            <w:vAlign w:val="center"/>
          </w:tcPr>
          <w:p w14:paraId="084272D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Ratio</w:t>
            </w:r>
          </w:p>
        </w:tc>
        <w:tc>
          <w:tcPr>
            <w:tcW w:w="1337" w:type="dxa"/>
            <w:tcBorders>
              <w:top w:val="single" w:sz="12" w:space="0" w:color="000000"/>
              <w:bottom w:val="single" w:sz="12" w:space="0" w:color="000000"/>
            </w:tcBorders>
            <w:vAlign w:val="center"/>
          </w:tcPr>
          <w:p w14:paraId="783C570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r>
      <w:tr w:rsidR="003B4553" w:rsidRPr="003D2D46" w14:paraId="3B8410CB" w14:textId="77777777" w:rsidTr="004F0890">
        <w:tc>
          <w:tcPr>
            <w:tcW w:w="1170" w:type="dxa"/>
            <w:tcBorders>
              <w:top w:val="single" w:sz="12" w:space="0" w:color="000000"/>
            </w:tcBorders>
            <w:vAlign w:val="center"/>
          </w:tcPr>
          <w:p w14:paraId="3AC79BDC"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w:t>
            </w:r>
          </w:p>
        </w:tc>
        <w:tc>
          <w:tcPr>
            <w:tcW w:w="1440" w:type="dxa"/>
            <w:tcBorders>
              <w:top w:val="single" w:sz="12" w:space="0" w:color="000000"/>
            </w:tcBorders>
            <w:vAlign w:val="center"/>
          </w:tcPr>
          <w:p w14:paraId="16B3233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1,307,906</w:t>
            </w:r>
          </w:p>
        </w:tc>
        <w:tc>
          <w:tcPr>
            <w:tcW w:w="1401" w:type="dxa"/>
            <w:tcBorders>
              <w:top w:val="single" w:sz="12" w:space="0" w:color="000000"/>
            </w:tcBorders>
            <w:vAlign w:val="center"/>
          </w:tcPr>
          <w:p w14:paraId="715B863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556</w:t>
            </w:r>
          </w:p>
        </w:tc>
        <w:tc>
          <w:tcPr>
            <w:tcW w:w="1337" w:type="dxa"/>
            <w:tcBorders>
              <w:top w:val="single" w:sz="12" w:space="0" w:color="000000"/>
            </w:tcBorders>
            <w:vAlign w:val="center"/>
          </w:tcPr>
          <w:p w14:paraId="5F39E35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264.45</w:t>
            </w:r>
          </w:p>
        </w:tc>
        <w:tc>
          <w:tcPr>
            <w:tcW w:w="1337" w:type="dxa"/>
            <w:tcBorders>
              <w:top w:val="single" w:sz="12" w:space="0" w:color="000000"/>
            </w:tcBorders>
            <w:vAlign w:val="center"/>
          </w:tcPr>
          <w:p w14:paraId="4AD48E4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43.10</w:t>
            </w:r>
          </w:p>
        </w:tc>
        <w:tc>
          <w:tcPr>
            <w:tcW w:w="1337" w:type="dxa"/>
            <w:tcBorders>
              <w:top w:val="single" w:sz="12" w:space="0" w:color="000000"/>
            </w:tcBorders>
            <w:vAlign w:val="center"/>
          </w:tcPr>
          <w:p w14:paraId="576205D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2.10</w:t>
            </w:r>
          </w:p>
        </w:tc>
        <w:tc>
          <w:tcPr>
            <w:tcW w:w="1337" w:type="dxa"/>
            <w:tcBorders>
              <w:top w:val="single" w:sz="12" w:space="0" w:color="000000"/>
            </w:tcBorders>
            <w:vAlign w:val="center"/>
          </w:tcPr>
          <w:p w14:paraId="6685F13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4CD21F2A" w14:textId="77777777" w:rsidTr="004F0890">
        <w:tc>
          <w:tcPr>
            <w:tcW w:w="1170" w:type="dxa"/>
            <w:vAlign w:val="center"/>
          </w:tcPr>
          <w:p w14:paraId="5485039A"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w:t>
            </w:r>
          </w:p>
        </w:tc>
        <w:tc>
          <w:tcPr>
            <w:tcW w:w="1440" w:type="dxa"/>
            <w:vAlign w:val="center"/>
          </w:tcPr>
          <w:p w14:paraId="0DE80C3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67,924</w:t>
            </w:r>
          </w:p>
        </w:tc>
        <w:tc>
          <w:tcPr>
            <w:tcW w:w="1401" w:type="dxa"/>
            <w:vAlign w:val="center"/>
          </w:tcPr>
          <w:p w14:paraId="1A28F7E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79</w:t>
            </w:r>
          </w:p>
        </w:tc>
        <w:tc>
          <w:tcPr>
            <w:tcW w:w="1337" w:type="dxa"/>
            <w:vAlign w:val="center"/>
          </w:tcPr>
          <w:p w14:paraId="30BAA6D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13.7</w:t>
            </w:r>
          </w:p>
        </w:tc>
        <w:tc>
          <w:tcPr>
            <w:tcW w:w="1337" w:type="dxa"/>
            <w:vAlign w:val="center"/>
          </w:tcPr>
          <w:p w14:paraId="03A05F9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116.3</w:t>
            </w:r>
          </w:p>
        </w:tc>
        <w:tc>
          <w:tcPr>
            <w:tcW w:w="1337" w:type="dxa"/>
            <w:vAlign w:val="center"/>
          </w:tcPr>
          <w:p w14:paraId="3A805F5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5.75</w:t>
            </w:r>
          </w:p>
        </w:tc>
        <w:tc>
          <w:tcPr>
            <w:tcW w:w="1337" w:type="dxa"/>
            <w:vAlign w:val="center"/>
          </w:tcPr>
          <w:p w14:paraId="69D5DED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2D42BFE4" w14:textId="77777777" w:rsidTr="004F0890">
        <w:tc>
          <w:tcPr>
            <w:tcW w:w="1170" w:type="dxa"/>
            <w:vAlign w:val="center"/>
          </w:tcPr>
          <w:p w14:paraId="34027848"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w:t>
            </w:r>
          </w:p>
        </w:tc>
        <w:tc>
          <w:tcPr>
            <w:tcW w:w="1440" w:type="dxa"/>
            <w:vAlign w:val="center"/>
          </w:tcPr>
          <w:p w14:paraId="5DCD3CD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1,106,654</w:t>
            </w:r>
          </w:p>
        </w:tc>
        <w:tc>
          <w:tcPr>
            <w:tcW w:w="1401" w:type="dxa"/>
            <w:vAlign w:val="center"/>
          </w:tcPr>
          <w:p w14:paraId="25A315E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340</w:t>
            </w:r>
          </w:p>
        </w:tc>
        <w:tc>
          <w:tcPr>
            <w:tcW w:w="1337" w:type="dxa"/>
            <w:vAlign w:val="center"/>
          </w:tcPr>
          <w:p w14:paraId="7C8B77E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223.7</w:t>
            </w:r>
          </w:p>
        </w:tc>
        <w:tc>
          <w:tcPr>
            <w:tcW w:w="1337" w:type="dxa"/>
            <w:vAlign w:val="center"/>
          </w:tcPr>
          <w:p w14:paraId="0D8311D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32.28</w:t>
            </w:r>
          </w:p>
        </w:tc>
        <w:tc>
          <w:tcPr>
            <w:tcW w:w="1337" w:type="dxa"/>
            <w:vAlign w:val="center"/>
          </w:tcPr>
          <w:p w14:paraId="784F240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1.52</w:t>
            </w:r>
          </w:p>
        </w:tc>
        <w:tc>
          <w:tcPr>
            <w:tcW w:w="1337" w:type="dxa"/>
            <w:vAlign w:val="center"/>
          </w:tcPr>
          <w:p w14:paraId="0F2583E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02BC0969" w14:textId="77777777" w:rsidTr="004F0890">
        <w:tc>
          <w:tcPr>
            <w:tcW w:w="1170" w:type="dxa"/>
            <w:vAlign w:val="center"/>
          </w:tcPr>
          <w:p w14:paraId="74C8486B"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w:t>
            </w:r>
          </w:p>
        </w:tc>
        <w:tc>
          <w:tcPr>
            <w:tcW w:w="1440" w:type="dxa"/>
            <w:vAlign w:val="center"/>
          </w:tcPr>
          <w:p w14:paraId="428F32B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75,569</w:t>
            </w:r>
          </w:p>
        </w:tc>
        <w:tc>
          <w:tcPr>
            <w:tcW w:w="1401" w:type="dxa"/>
            <w:vAlign w:val="center"/>
          </w:tcPr>
          <w:p w14:paraId="0A99B4C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51</w:t>
            </w:r>
          </w:p>
        </w:tc>
        <w:tc>
          <w:tcPr>
            <w:tcW w:w="1337" w:type="dxa"/>
            <w:vAlign w:val="center"/>
          </w:tcPr>
          <w:p w14:paraId="45BA154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15.2</w:t>
            </w:r>
          </w:p>
        </w:tc>
        <w:tc>
          <w:tcPr>
            <w:tcW w:w="1337" w:type="dxa"/>
            <w:vAlign w:val="center"/>
          </w:tcPr>
          <w:p w14:paraId="0ECE575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67.48</w:t>
            </w:r>
          </w:p>
        </w:tc>
        <w:tc>
          <w:tcPr>
            <w:tcW w:w="1337" w:type="dxa"/>
            <w:vAlign w:val="center"/>
          </w:tcPr>
          <w:p w14:paraId="1CF8D68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3.34</w:t>
            </w:r>
          </w:p>
        </w:tc>
        <w:tc>
          <w:tcPr>
            <w:tcW w:w="1337" w:type="dxa"/>
            <w:vAlign w:val="center"/>
          </w:tcPr>
          <w:p w14:paraId="114AEEE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680DE68B" w14:textId="77777777" w:rsidTr="004F0890">
        <w:tc>
          <w:tcPr>
            <w:tcW w:w="1170" w:type="dxa"/>
            <w:vAlign w:val="center"/>
          </w:tcPr>
          <w:p w14:paraId="02C1AD6E"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w:t>
            </w:r>
          </w:p>
        </w:tc>
        <w:tc>
          <w:tcPr>
            <w:tcW w:w="1440" w:type="dxa"/>
            <w:vAlign w:val="center"/>
          </w:tcPr>
          <w:p w14:paraId="5B2715D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893,858</w:t>
            </w:r>
          </w:p>
        </w:tc>
        <w:tc>
          <w:tcPr>
            <w:tcW w:w="1401" w:type="dxa"/>
            <w:vAlign w:val="center"/>
          </w:tcPr>
          <w:p w14:paraId="057E223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281</w:t>
            </w:r>
          </w:p>
        </w:tc>
        <w:tc>
          <w:tcPr>
            <w:tcW w:w="1337" w:type="dxa"/>
            <w:vAlign w:val="center"/>
          </w:tcPr>
          <w:p w14:paraId="52F3318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180.7</w:t>
            </w:r>
          </w:p>
        </w:tc>
        <w:tc>
          <w:tcPr>
            <w:tcW w:w="1337" w:type="dxa"/>
            <w:vAlign w:val="center"/>
          </w:tcPr>
          <w:p w14:paraId="56C005E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31.88</w:t>
            </w:r>
          </w:p>
        </w:tc>
        <w:tc>
          <w:tcPr>
            <w:tcW w:w="1337" w:type="dxa"/>
            <w:vAlign w:val="center"/>
          </w:tcPr>
          <w:p w14:paraId="1FB00E9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1.55</w:t>
            </w:r>
          </w:p>
        </w:tc>
        <w:tc>
          <w:tcPr>
            <w:tcW w:w="1337" w:type="dxa"/>
            <w:vAlign w:val="center"/>
          </w:tcPr>
          <w:p w14:paraId="402BB6B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28B46B87" w14:textId="77777777" w:rsidTr="004F0890">
        <w:tc>
          <w:tcPr>
            <w:tcW w:w="1170" w:type="dxa"/>
            <w:vAlign w:val="center"/>
          </w:tcPr>
          <w:p w14:paraId="78524EB0"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w:t>
            </w:r>
          </w:p>
        </w:tc>
        <w:tc>
          <w:tcPr>
            <w:tcW w:w="1440" w:type="dxa"/>
            <w:vAlign w:val="center"/>
          </w:tcPr>
          <w:p w14:paraId="08A1C13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656,466</w:t>
            </w:r>
          </w:p>
        </w:tc>
        <w:tc>
          <w:tcPr>
            <w:tcW w:w="1401" w:type="dxa"/>
            <w:vAlign w:val="center"/>
          </w:tcPr>
          <w:p w14:paraId="407EC1A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212</w:t>
            </w:r>
          </w:p>
        </w:tc>
        <w:tc>
          <w:tcPr>
            <w:tcW w:w="1337" w:type="dxa"/>
            <w:vAlign w:val="center"/>
          </w:tcPr>
          <w:p w14:paraId="59D93AD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132.7</w:t>
            </w:r>
          </w:p>
        </w:tc>
        <w:tc>
          <w:tcPr>
            <w:tcW w:w="1337" w:type="dxa"/>
            <w:vAlign w:val="center"/>
          </w:tcPr>
          <w:p w14:paraId="7DB2B23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32.44</w:t>
            </w:r>
          </w:p>
        </w:tc>
        <w:tc>
          <w:tcPr>
            <w:tcW w:w="1337" w:type="dxa"/>
            <w:vAlign w:val="center"/>
          </w:tcPr>
          <w:p w14:paraId="4B6B50E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1.59</w:t>
            </w:r>
          </w:p>
        </w:tc>
        <w:tc>
          <w:tcPr>
            <w:tcW w:w="1337" w:type="dxa"/>
            <w:vAlign w:val="center"/>
          </w:tcPr>
          <w:p w14:paraId="6F0B89D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1A5A8590" w14:textId="77777777" w:rsidTr="004F0890">
        <w:tc>
          <w:tcPr>
            <w:tcW w:w="1170" w:type="dxa"/>
            <w:vAlign w:val="center"/>
          </w:tcPr>
          <w:p w14:paraId="2C8DF349"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w:t>
            </w:r>
          </w:p>
        </w:tc>
        <w:tc>
          <w:tcPr>
            <w:tcW w:w="1440" w:type="dxa"/>
            <w:vAlign w:val="center"/>
          </w:tcPr>
          <w:p w14:paraId="5CBAF7C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338,270</w:t>
            </w:r>
          </w:p>
        </w:tc>
        <w:tc>
          <w:tcPr>
            <w:tcW w:w="1401" w:type="dxa"/>
            <w:vAlign w:val="center"/>
          </w:tcPr>
          <w:p w14:paraId="0BC1943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127</w:t>
            </w:r>
          </w:p>
        </w:tc>
        <w:tc>
          <w:tcPr>
            <w:tcW w:w="1337" w:type="dxa"/>
            <w:vAlign w:val="center"/>
          </w:tcPr>
          <w:p w14:paraId="1C5F0D6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68.3</w:t>
            </w:r>
          </w:p>
        </w:tc>
        <w:tc>
          <w:tcPr>
            <w:tcW w:w="1337" w:type="dxa"/>
            <w:vAlign w:val="center"/>
          </w:tcPr>
          <w:p w14:paraId="05919D4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37.54</w:t>
            </w:r>
          </w:p>
        </w:tc>
        <w:tc>
          <w:tcPr>
            <w:tcW w:w="1337" w:type="dxa"/>
            <w:vAlign w:val="center"/>
          </w:tcPr>
          <w:p w14:paraId="3E4A9DF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1.86</w:t>
            </w:r>
          </w:p>
        </w:tc>
        <w:tc>
          <w:tcPr>
            <w:tcW w:w="1337" w:type="dxa"/>
            <w:vAlign w:val="center"/>
          </w:tcPr>
          <w:p w14:paraId="4F9B781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62CEBD36" w14:textId="77777777" w:rsidTr="004F0890">
        <w:tc>
          <w:tcPr>
            <w:tcW w:w="1170" w:type="dxa"/>
            <w:vAlign w:val="center"/>
          </w:tcPr>
          <w:p w14:paraId="1DC2A72D"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w:t>
            </w:r>
          </w:p>
        </w:tc>
        <w:tc>
          <w:tcPr>
            <w:tcW w:w="1440" w:type="dxa"/>
            <w:vAlign w:val="center"/>
          </w:tcPr>
          <w:p w14:paraId="4F94363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304,654</w:t>
            </w:r>
          </w:p>
        </w:tc>
        <w:tc>
          <w:tcPr>
            <w:tcW w:w="1401" w:type="dxa"/>
            <w:vAlign w:val="center"/>
          </w:tcPr>
          <w:p w14:paraId="03F1107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117</w:t>
            </w:r>
          </w:p>
        </w:tc>
        <w:tc>
          <w:tcPr>
            <w:tcW w:w="1337" w:type="dxa"/>
            <w:vAlign w:val="center"/>
          </w:tcPr>
          <w:p w14:paraId="52122E7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61.6</w:t>
            </w:r>
          </w:p>
        </w:tc>
        <w:tc>
          <w:tcPr>
            <w:tcW w:w="1337" w:type="dxa"/>
            <w:vAlign w:val="center"/>
          </w:tcPr>
          <w:p w14:paraId="1E8DD87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38.40</w:t>
            </w:r>
          </w:p>
        </w:tc>
        <w:tc>
          <w:tcPr>
            <w:tcW w:w="1337" w:type="dxa"/>
            <w:vAlign w:val="center"/>
          </w:tcPr>
          <w:p w14:paraId="42B5EE0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1.89</w:t>
            </w:r>
          </w:p>
        </w:tc>
        <w:tc>
          <w:tcPr>
            <w:tcW w:w="1337" w:type="dxa"/>
            <w:vAlign w:val="center"/>
          </w:tcPr>
          <w:p w14:paraId="587A31A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17C23B70" w14:textId="77777777" w:rsidTr="004F0890">
        <w:tc>
          <w:tcPr>
            <w:tcW w:w="1170" w:type="dxa"/>
            <w:vAlign w:val="center"/>
          </w:tcPr>
          <w:p w14:paraId="303DA4A6"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w:t>
            </w:r>
          </w:p>
        </w:tc>
        <w:tc>
          <w:tcPr>
            <w:tcW w:w="1440" w:type="dxa"/>
            <w:vAlign w:val="center"/>
          </w:tcPr>
          <w:p w14:paraId="47E23A9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160,475</w:t>
            </w:r>
          </w:p>
        </w:tc>
        <w:tc>
          <w:tcPr>
            <w:tcW w:w="1401" w:type="dxa"/>
            <w:vAlign w:val="center"/>
          </w:tcPr>
          <w:p w14:paraId="4CEE74D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60</w:t>
            </w:r>
          </w:p>
        </w:tc>
        <w:tc>
          <w:tcPr>
            <w:tcW w:w="1337" w:type="dxa"/>
            <w:vAlign w:val="center"/>
          </w:tcPr>
          <w:p w14:paraId="7306437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32.4</w:t>
            </w:r>
          </w:p>
        </w:tc>
        <w:tc>
          <w:tcPr>
            <w:tcW w:w="1337" w:type="dxa"/>
            <w:vAlign w:val="center"/>
          </w:tcPr>
          <w:p w14:paraId="5256E56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38.01</w:t>
            </w:r>
          </w:p>
        </w:tc>
        <w:tc>
          <w:tcPr>
            <w:tcW w:w="1337" w:type="dxa"/>
            <w:vAlign w:val="center"/>
          </w:tcPr>
          <w:p w14:paraId="6AAB6AA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1.85</w:t>
            </w:r>
          </w:p>
        </w:tc>
        <w:tc>
          <w:tcPr>
            <w:tcW w:w="1337" w:type="dxa"/>
            <w:vAlign w:val="center"/>
          </w:tcPr>
          <w:p w14:paraId="4D28228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5ABE735E" w14:textId="77777777" w:rsidTr="004F0890">
        <w:tc>
          <w:tcPr>
            <w:tcW w:w="1170" w:type="dxa"/>
            <w:vAlign w:val="center"/>
          </w:tcPr>
          <w:p w14:paraId="116F04B8"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w:t>
            </w:r>
          </w:p>
        </w:tc>
        <w:tc>
          <w:tcPr>
            <w:tcW w:w="1440" w:type="dxa"/>
            <w:vAlign w:val="center"/>
          </w:tcPr>
          <w:p w14:paraId="6B14AFD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44,263</w:t>
            </w:r>
          </w:p>
        </w:tc>
        <w:tc>
          <w:tcPr>
            <w:tcW w:w="1401" w:type="dxa"/>
            <w:vAlign w:val="center"/>
          </w:tcPr>
          <w:p w14:paraId="13AA3F9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w:t>
            </w:r>
          </w:p>
        </w:tc>
        <w:tc>
          <w:tcPr>
            <w:tcW w:w="1337" w:type="dxa"/>
            <w:vAlign w:val="center"/>
          </w:tcPr>
          <w:p w14:paraId="055578B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8.9</w:t>
            </w:r>
          </w:p>
        </w:tc>
        <w:tc>
          <w:tcPr>
            <w:tcW w:w="1337" w:type="dxa"/>
            <w:vAlign w:val="center"/>
          </w:tcPr>
          <w:p w14:paraId="3B04D28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49.70</w:t>
            </w:r>
          </w:p>
        </w:tc>
        <w:tc>
          <w:tcPr>
            <w:tcW w:w="1337" w:type="dxa"/>
            <w:vAlign w:val="center"/>
          </w:tcPr>
          <w:p w14:paraId="430E75C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2.46</w:t>
            </w:r>
          </w:p>
        </w:tc>
        <w:tc>
          <w:tcPr>
            <w:tcW w:w="1337" w:type="dxa"/>
            <w:vAlign w:val="center"/>
          </w:tcPr>
          <w:p w14:paraId="1CC8B46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0.01</w:t>
            </w:r>
          </w:p>
        </w:tc>
      </w:tr>
      <w:tr w:rsidR="008C52AA" w:rsidRPr="003D2D46" w14:paraId="3F7B801E" w14:textId="77777777" w:rsidTr="004F0890">
        <w:tc>
          <w:tcPr>
            <w:tcW w:w="1170" w:type="dxa"/>
            <w:vAlign w:val="center"/>
          </w:tcPr>
          <w:p w14:paraId="575CB8B6"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w:t>
            </w:r>
          </w:p>
        </w:tc>
        <w:tc>
          <w:tcPr>
            <w:tcW w:w="1440" w:type="dxa"/>
            <w:vAlign w:val="center"/>
          </w:tcPr>
          <w:p w14:paraId="1B26F69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99,646</w:t>
            </w:r>
          </w:p>
        </w:tc>
        <w:tc>
          <w:tcPr>
            <w:tcW w:w="1401" w:type="dxa"/>
            <w:vAlign w:val="center"/>
          </w:tcPr>
          <w:p w14:paraId="40CF860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37</w:t>
            </w:r>
          </w:p>
        </w:tc>
        <w:tc>
          <w:tcPr>
            <w:tcW w:w="1337" w:type="dxa"/>
            <w:vAlign w:val="center"/>
          </w:tcPr>
          <w:p w14:paraId="7454AB3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20.1</w:t>
            </w:r>
          </w:p>
        </w:tc>
        <w:tc>
          <w:tcPr>
            <w:tcW w:w="1337" w:type="dxa"/>
            <w:vAlign w:val="center"/>
          </w:tcPr>
          <w:p w14:paraId="6F38D7B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37.13</w:t>
            </w:r>
          </w:p>
        </w:tc>
        <w:tc>
          <w:tcPr>
            <w:tcW w:w="1337" w:type="dxa"/>
            <w:vAlign w:val="center"/>
          </w:tcPr>
          <w:p w14:paraId="72B92C3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1.83</w:t>
            </w:r>
          </w:p>
        </w:tc>
        <w:tc>
          <w:tcPr>
            <w:tcW w:w="1337" w:type="dxa"/>
            <w:vAlign w:val="center"/>
          </w:tcPr>
          <w:p w14:paraId="44E27A5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0.029</w:t>
            </w:r>
          </w:p>
        </w:tc>
      </w:tr>
    </w:tbl>
    <w:p w14:paraId="7FEEE10D" w14:textId="77777777" w:rsidR="00BD28A9" w:rsidRPr="003D2D46" w:rsidRDefault="00BD28A9" w:rsidP="00EE2A89">
      <w:pPr>
        <w:rPr>
          <w:rFonts w:ascii="Times New Roman" w:hAnsi="Times New Roman" w:cs="Times New Roman"/>
          <w:color w:val="000000" w:themeColor="text1"/>
        </w:rPr>
      </w:pPr>
    </w:p>
    <w:p w14:paraId="0A3CADFB" w14:textId="77777777" w:rsidR="00EF2015" w:rsidRPr="003D2D46" w:rsidRDefault="00BD28A9"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086AD6D4" w14:textId="374F2B98" w:rsidR="00A04AC9" w:rsidRPr="003D2D46" w:rsidRDefault="00A04AC9" w:rsidP="00AB3DAD">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pertussis, in the univariable model, to a positive association in the final model when percent females is added to the model. There was no evidence of multicollinearity as all the VIFs were &lt;4</w:t>
      </w:r>
      <w:r w:rsidRPr="003D2D46">
        <w:rPr>
          <w:rStyle w:val="CommentReference"/>
          <w:rFonts w:ascii="Times New Roman" w:hAnsi="Times New Roman" w:cs="Times New Roman"/>
          <w:color w:val="000000" w:themeColor="text1"/>
          <w:sz w:val="24"/>
          <w:szCs w:val="24"/>
        </w:rPr>
        <w:t xml:space="preserve"> and the multicollinearity condition number was &lt;20 (</w:t>
      </w:r>
      <w:r w:rsidRPr="003D2D46">
        <w:rPr>
          <w:rFonts w:ascii="Times New Roman" w:hAnsi="Times New Roman" w:cs="Times New Roman"/>
          <w:color w:val="000000" w:themeColor="text1"/>
        </w:rPr>
        <w:t>Table 5.7). Additionally, there was no evidence of non-normality of the residuals (Jarque-Bera test p=0.678). Both the Robust Lagrange Multiplier tests for lag (LM</w:t>
      </w:r>
      <w:r w:rsidRPr="003D2D46">
        <w:rPr>
          <w:rFonts w:ascii="Times New Roman" w:hAnsi="Times New Roman" w:cs="Times New Roman"/>
          <w:color w:val="000000" w:themeColor="text1"/>
          <w:vertAlign w:val="subscript"/>
        </w:rPr>
        <w:t>lag</w:t>
      </w:r>
      <w:r w:rsidRPr="003D2D46">
        <w:rPr>
          <w:rFonts w:ascii="Times New Roman" w:hAnsi="Times New Roman" w:cs="Times New Roman"/>
          <w:color w:val="000000" w:themeColor="text1"/>
        </w:rPr>
        <w:t xml:space="preserve"> p=0.585) and error (LM</w:t>
      </w:r>
      <w:r w:rsidRPr="003D2D46">
        <w:rPr>
          <w:rFonts w:ascii="Times New Roman" w:hAnsi="Times New Roman" w:cs="Times New Roman"/>
          <w:color w:val="000000" w:themeColor="text1"/>
          <w:vertAlign w:val="subscript"/>
        </w:rPr>
        <w:t>error</w:t>
      </w:r>
      <w:r w:rsidRPr="003D2D46">
        <w:rPr>
          <w:rFonts w:ascii="Times New Roman" w:hAnsi="Times New Roman" w:cs="Times New Roman"/>
          <w:color w:val="000000" w:themeColor="text1"/>
        </w:rPr>
        <w:t xml:space="preserve"> p=0.472) showed no evidence spatial dependence of the residuals. </w:t>
      </w:r>
    </w:p>
    <w:p w14:paraId="1DAD1CC6" w14:textId="09DECAF6" w:rsidR="00A04AC9" w:rsidRPr="003D2D46" w:rsidRDefault="00A04AC9" w:rsidP="000B4D47">
      <w:pPr>
        <w:spacing w:after="200" w:line="480" w:lineRule="auto"/>
        <w:contextualSpacing/>
        <w:rPr>
          <w:rFonts w:ascii="Times New Roman" w:hAnsi="Times New Roman" w:cs="Times New Roman"/>
          <w:color w:val="000000" w:themeColor="text1"/>
        </w:rPr>
      </w:pPr>
    </w:p>
    <w:p w14:paraId="3AAFC038" w14:textId="3FB80DB5" w:rsidR="00A04AC9" w:rsidRPr="003D2D46" w:rsidRDefault="00A04AC9" w:rsidP="00040588">
      <w:pPr>
        <w:pStyle w:val="Heading41111"/>
        <w:spacing w:line="480" w:lineRule="auto"/>
        <w:rPr>
          <w:rFonts w:cs="Times New Roman"/>
        </w:rPr>
      </w:pPr>
      <w:bookmarkStart w:id="235" w:name="_Toc87797151"/>
      <w:r w:rsidRPr="003D2D46">
        <w:rPr>
          <w:rFonts w:cs="Times New Roman"/>
        </w:rPr>
        <w:t>5.5.4 Geographic Distribution of Significant Predictors of Pertussis Risk</w:t>
      </w:r>
      <w:bookmarkEnd w:id="235"/>
    </w:p>
    <w:p w14:paraId="425464E7" w14:textId="5187D295" w:rsidR="00A04AC9" w:rsidRPr="003D2D46" w:rsidRDefault="00A04AC9" w:rsidP="00AB3DAD">
      <w:pPr>
        <w:spacing w:after="200" w:line="480" w:lineRule="auto"/>
        <w:contextualSpacing/>
        <w:rPr>
          <w:rFonts w:ascii="Times New Roman" w:hAnsi="Times New Roman" w:cs="Times New Roman"/>
          <w:color w:val="000000" w:themeColor="text1"/>
        </w:rPr>
      </w:pPr>
      <w:r w:rsidRPr="003D2D46">
        <w:rPr>
          <w:rFonts w:ascii="Times New Roman" w:hAnsi="Times New Roman" w:cs="Times New Roman"/>
          <w:color w:val="000000" w:themeColor="text1"/>
        </w:rPr>
        <w:t>Geographic distributions of the three significant predictors of county-level pertussis risk are shown in Figure 5.4. Unsurprisingly, the general distribution of these predictors is similar to the geographic distribution of pertussis risk in Florida between 2010 and 2018 (Figures 5.2 and 5.4A).  Santa Rosa and Okaloosa counties in the western panhandle, Nassau, St. John’s, and Clay counties in the Northwestern coastal area, Hillsborough, Manatee, and Sarasota counties in the Tampa Bay area, and Collier and Monroe counties in the Fort Myers area all had relatively high median incomes (Figure 5.4A). These counties were also consistently identified as counties with high pertussis risk and in high risk clusters (Figures 5.2 and 5.3)</w:t>
      </w:r>
    </w:p>
    <w:p w14:paraId="6288F806" w14:textId="62A67F3C" w:rsidR="00A04AC9" w:rsidRPr="003D2D46" w:rsidRDefault="00A04AC9" w:rsidP="00957D41">
      <w:pPr>
        <w:spacing w:after="200" w:line="480" w:lineRule="auto"/>
        <w:contextualSpacing/>
        <w:rPr>
          <w:rFonts w:ascii="Times New Roman" w:hAnsi="Times New Roman" w:cs="Times New Roman"/>
          <w:color w:val="000000" w:themeColor="text1"/>
        </w:rPr>
      </w:pPr>
    </w:p>
    <w:p w14:paraId="6061A853" w14:textId="60B3CE55" w:rsidR="00567A7E" w:rsidRPr="003D2D46" w:rsidRDefault="00A04AC9" w:rsidP="004F0890">
      <w:pPr>
        <w:spacing w:line="480" w:lineRule="auto"/>
        <w:rPr>
          <w:rFonts w:ascii="Times New Roman" w:hAnsi="Times New Roman" w:cs="Times New Roman"/>
          <w:b/>
          <w:bCs/>
        </w:rPr>
        <w:sectPr w:rsidR="00567A7E" w:rsidRPr="003D2D46" w:rsidSect="00B93CBD">
          <w:pgSz w:w="12240" w:h="15840" w:code="1"/>
          <w:pgMar w:top="1440" w:right="1800" w:bottom="1872" w:left="1800" w:header="720" w:footer="1440" w:gutter="0"/>
          <w:cols w:space="720"/>
          <w:noEndnote/>
          <w:docGrid w:linePitch="360"/>
        </w:sectPr>
      </w:pPr>
      <w:r w:rsidRPr="003D2D46">
        <w:rPr>
          <w:rFonts w:ascii="Times New Roman" w:hAnsi="Times New Roman" w:cs="Times New Roman"/>
          <w:color w:val="000000" w:themeColor="text1"/>
        </w:rPr>
        <w:t xml:space="preserve">Counties with higher female population densities are evident in the central panhandle (Gadsden and Hernando counties) and along the eastern and western coastal borders. Counties with greater than 52% of the population being female include: Gadsden, Leon, Sarasota, Hernando, and Pinellas counties (Figures 5.1 and 5.4B). All of these counties </w:t>
      </w:r>
      <w:bookmarkStart w:id="236" w:name="_Toc83975889"/>
    </w:p>
    <w:p w14:paraId="69BEBACB" w14:textId="00FDE258" w:rsidR="00CF2B3D" w:rsidRPr="003D2D46" w:rsidRDefault="00CF2B3D" w:rsidP="00EE2A89">
      <w:pPr>
        <w:pStyle w:val="Caption"/>
        <w:rPr>
          <w:rFonts w:ascii="Times New Roman" w:hAnsi="Times New Roman" w:cs="Times New Roman"/>
          <w:color w:val="000000" w:themeColor="text1"/>
        </w:rPr>
      </w:pPr>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3</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Significant geographic clusters of pertussis risk in Florida, 2010-2012</w:t>
      </w:r>
      <w:bookmarkEnd w:id="236"/>
    </w:p>
    <w:tbl>
      <w:tblPr>
        <w:tblW w:w="0" w:type="auto"/>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544"/>
        <w:gridCol w:w="1984"/>
        <w:gridCol w:w="1764"/>
        <w:gridCol w:w="1764"/>
        <w:gridCol w:w="1764"/>
        <w:gridCol w:w="1764"/>
        <w:gridCol w:w="1764"/>
      </w:tblGrid>
      <w:tr w:rsidR="003B4553" w:rsidRPr="003D2D46" w14:paraId="29E42091" w14:textId="77777777" w:rsidTr="004F0890">
        <w:trPr>
          <w:trHeight w:val="1068"/>
        </w:trPr>
        <w:tc>
          <w:tcPr>
            <w:tcW w:w="1544" w:type="dxa"/>
            <w:tcBorders>
              <w:top w:val="single" w:sz="12" w:space="0" w:color="000000"/>
              <w:bottom w:val="single" w:sz="12" w:space="0" w:color="000000"/>
            </w:tcBorders>
            <w:vAlign w:val="center"/>
          </w:tcPr>
          <w:p w14:paraId="5510EB37" w14:textId="77777777" w:rsidR="008C52AA" w:rsidRPr="003D2D46" w:rsidRDefault="008C52AA" w:rsidP="00EE2A89">
            <w:pP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Cluster</w:t>
            </w:r>
          </w:p>
        </w:tc>
        <w:tc>
          <w:tcPr>
            <w:tcW w:w="1984" w:type="dxa"/>
            <w:tcBorders>
              <w:top w:val="single" w:sz="12" w:space="0" w:color="000000"/>
              <w:bottom w:val="single" w:sz="12" w:space="0" w:color="000000"/>
            </w:tcBorders>
            <w:vAlign w:val="center"/>
          </w:tcPr>
          <w:p w14:paraId="051C8549"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Population</w:t>
            </w:r>
          </w:p>
        </w:tc>
        <w:tc>
          <w:tcPr>
            <w:tcW w:w="1764" w:type="dxa"/>
            <w:tcBorders>
              <w:top w:val="single" w:sz="12" w:space="0" w:color="000000"/>
              <w:bottom w:val="single" w:sz="12" w:space="0" w:color="000000"/>
            </w:tcBorders>
            <w:vAlign w:val="center"/>
          </w:tcPr>
          <w:p w14:paraId="3231EF01"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Observed Number of Cases</w:t>
            </w:r>
          </w:p>
        </w:tc>
        <w:tc>
          <w:tcPr>
            <w:tcW w:w="1764" w:type="dxa"/>
            <w:tcBorders>
              <w:top w:val="single" w:sz="12" w:space="0" w:color="000000"/>
              <w:bottom w:val="single" w:sz="12" w:space="0" w:color="000000"/>
            </w:tcBorders>
            <w:vAlign w:val="center"/>
          </w:tcPr>
          <w:p w14:paraId="40AAB6A8"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Expected Number of Cases</w:t>
            </w:r>
          </w:p>
        </w:tc>
        <w:tc>
          <w:tcPr>
            <w:tcW w:w="1764" w:type="dxa"/>
            <w:tcBorders>
              <w:top w:val="single" w:sz="12" w:space="0" w:color="000000"/>
              <w:bottom w:val="single" w:sz="12" w:space="0" w:color="000000"/>
            </w:tcBorders>
            <w:vAlign w:val="center"/>
          </w:tcPr>
          <w:p w14:paraId="702E14D5"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Risk per 100,000 people</w:t>
            </w:r>
          </w:p>
        </w:tc>
        <w:tc>
          <w:tcPr>
            <w:tcW w:w="1764" w:type="dxa"/>
            <w:tcBorders>
              <w:top w:val="single" w:sz="12" w:space="0" w:color="000000"/>
              <w:bottom w:val="single" w:sz="12" w:space="0" w:color="000000"/>
            </w:tcBorders>
            <w:vAlign w:val="center"/>
          </w:tcPr>
          <w:p w14:paraId="32E22C5C"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Risk Ratio</w:t>
            </w:r>
          </w:p>
        </w:tc>
        <w:tc>
          <w:tcPr>
            <w:tcW w:w="1764" w:type="dxa"/>
            <w:tcBorders>
              <w:top w:val="single" w:sz="12" w:space="0" w:color="000000"/>
              <w:bottom w:val="single" w:sz="12" w:space="0" w:color="000000"/>
            </w:tcBorders>
            <w:vAlign w:val="center"/>
          </w:tcPr>
          <w:p w14:paraId="29CC9E5D" w14:textId="77777777" w:rsidR="008C52AA" w:rsidRPr="003D2D46" w:rsidRDefault="008C52AA" w:rsidP="004F0890">
            <w:pPr>
              <w:jc w:val="center"/>
              <w:rPr>
                <w:rFonts w:ascii="Times New Roman" w:eastAsia="Arial" w:hAnsi="Times New Roman" w:cs="Times New Roman"/>
                <w:b/>
                <w:bCs/>
                <w:color w:val="000000" w:themeColor="text1"/>
              </w:rPr>
            </w:pPr>
            <w:r w:rsidRPr="003D2D46">
              <w:rPr>
                <w:rFonts w:ascii="Times New Roman" w:eastAsia="Arial" w:hAnsi="Times New Roman" w:cs="Times New Roman"/>
                <w:b/>
                <w:bCs/>
                <w:color w:val="000000" w:themeColor="text1"/>
              </w:rPr>
              <w:t>p-value</w:t>
            </w:r>
          </w:p>
        </w:tc>
      </w:tr>
      <w:tr w:rsidR="003B4553" w:rsidRPr="003D2D46" w14:paraId="1C6B4AB0" w14:textId="77777777" w:rsidTr="004F0890">
        <w:trPr>
          <w:trHeight w:val="459"/>
        </w:trPr>
        <w:tc>
          <w:tcPr>
            <w:tcW w:w="1544" w:type="dxa"/>
            <w:tcBorders>
              <w:top w:val="single" w:sz="12" w:space="0" w:color="000000"/>
            </w:tcBorders>
            <w:vAlign w:val="center"/>
          </w:tcPr>
          <w:p w14:paraId="2FC218CB"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w:t>
            </w:r>
          </w:p>
        </w:tc>
        <w:tc>
          <w:tcPr>
            <w:tcW w:w="1984" w:type="dxa"/>
            <w:tcBorders>
              <w:top w:val="single" w:sz="12" w:space="0" w:color="000000"/>
            </w:tcBorders>
            <w:vAlign w:val="center"/>
          </w:tcPr>
          <w:p w14:paraId="443DED7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1,242,491</w:t>
            </w:r>
          </w:p>
        </w:tc>
        <w:tc>
          <w:tcPr>
            <w:tcW w:w="1764" w:type="dxa"/>
            <w:tcBorders>
              <w:top w:val="single" w:sz="12" w:space="0" w:color="000000"/>
            </w:tcBorders>
            <w:vAlign w:val="center"/>
          </w:tcPr>
          <w:p w14:paraId="16CC30F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181</w:t>
            </w:r>
          </w:p>
        </w:tc>
        <w:tc>
          <w:tcPr>
            <w:tcW w:w="1764" w:type="dxa"/>
            <w:tcBorders>
              <w:top w:val="single" w:sz="12" w:space="0" w:color="000000"/>
            </w:tcBorders>
            <w:vAlign w:val="center"/>
          </w:tcPr>
          <w:p w14:paraId="327F772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79.69</w:t>
            </w:r>
          </w:p>
        </w:tc>
        <w:tc>
          <w:tcPr>
            <w:tcW w:w="1764" w:type="dxa"/>
            <w:tcBorders>
              <w:top w:val="single" w:sz="12" w:space="0" w:color="000000"/>
            </w:tcBorders>
            <w:vAlign w:val="center"/>
          </w:tcPr>
          <w:p w14:paraId="5F0B03E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14.57</w:t>
            </w:r>
          </w:p>
        </w:tc>
        <w:tc>
          <w:tcPr>
            <w:tcW w:w="1764" w:type="dxa"/>
            <w:tcBorders>
              <w:top w:val="single" w:sz="12" w:space="0" w:color="000000"/>
            </w:tcBorders>
            <w:vAlign w:val="center"/>
          </w:tcPr>
          <w:p w14:paraId="44A2CFD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2.27</w:t>
            </w:r>
          </w:p>
        </w:tc>
        <w:tc>
          <w:tcPr>
            <w:tcW w:w="1764" w:type="dxa"/>
            <w:tcBorders>
              <w:top w:val="single" w:sz="12" w:space="0" w:color="000000"/>
            </w:tcBorders>
            <w:vAlign w:val="center"/>
          </w:tcPr>
          <w:p w14:paraId="350BAFF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7511CDB9" w14:textId="77777777" w:rsidTr="004F0890">
        <w:trPr>
          <w:trHeight w:val="459"/>
        </w:trPr>
        <w:tc>
          <w:tcPr>
            <w:tcW w:w="1544" w:type="dxa"/>
            <w:vAlign w:val="center"/>
          </w:tcPr>
          <w:p w14:paraId="5B1D0A3E"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w:t>
            </w:r>
          </w:p>
        </w:tc>
        <w:tc>
          <w:tcPr>
            <w:tcW w:w="1984" w:type="dxa"/>
            <w:vAlign w:val="center"/>
          </w:tcPr>
          <w:p w14:paraId="041ED13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1,072,014</w:t>
            </w:r>
          </w:p>
        </w:tc>
        <w:tc>
          <w:tcPr>
            <w:tcW w:w="1764" w:type="dxa"/>
            <w:vAlign w:val="center"/>
          </w:tcPr>
          <w:p w14:paraId="2D4D7CB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130</w:t>
            </w:r>
          </w:p>
        </w:tc>
        <w:tc>
          <w:tcPr>
            <w:tcW w:w="1764" w:type="dxa"/>
            <w:vAlign w:val="center"/>
          </w:tcPr>
          <w:p w14:paraId="10B5EF0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68.76</w:t>
            </w:r>
          </w:p>
        </w:tc>
        <w:tc>
          <w:tcPr>
            <w:tcW w:w="1764" w:type="dxa"/>
            <w:vAlign w:val="center"/>
          </w:tcPr>
          <w:p w14:paraId="2EA030D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12.14</w:t>
            </w:r>
          </w:p>
        </w:tc>
        <w:tc>
          <w:tcPr>
            <w:tcW w:w="1764" w:type="dxa"/>
            <w:vAlign w:val="center"/>
          </w:tcPr>
          <w:p w14:paraId="527DA82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1.89</w:t>
            </w:r>
          </w:p>
        </w:tc>
        <w:tc>
          <w:tcPr>
            <w:tcW w:w="1764" w:type="dxa"/>
            <w:vAlign w:val="center"/>
          </w:tcPr>
          <w:p w14:paraId="39A7CA8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391486B8" w14:textId="77777777" w:rsidTr="004F0890">
        <w:trPr>
          <w:trHeight w:val="459"/>
        </w:trPr>
        <w:tc>
          <w:tcPr>
            <w:tcW w:w="1544" w:type="dxa"/>
            <w:vAlign w:val="center"/>
          </w:tcPr>
          <w:p w14:paraId="470E17E2"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w:t>
            </w:r>
          </w:p>
        </w:tc>
        <w:tc>
          <w:tcPr>
            <w:tcW w:w="1984" w:type="dxa"/>
            <w:vAlign w:val="center"/>
          </w:tcPr>
          <w:p w14:paraId="02B725A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1,056,763</w:t>
            </w:r>
          </w:p>
        </w:tc>
        <w:tc>
          <w:tcPr>
            <w:tcW w:w="1764" w:type="dxa"/>
            <w:vAlign w:val="center"/>
          </w:tcPr>
          <w:p w14:paraId="472D18E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123</w:t>
            </w:r>
          </w:p>
        </w:tc>
        <w:tc>
          <w:tcPr>
            <w:tcW w:w="1764" w:type="dxa"/>
            <w:vAlign w:val="center"/>
          </w:tcPr>
          <w:p w14:paraId="2820C1C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67.7</w:t>
            </w:r>
          </w:p>
        </w:tc>
        <w:tc>
          <w:tcPr>
            <w:tcW w:w="1764" w:type="dxa"/>
            <w:vAlign w:val="center"/>
          </w:tcPr>
          <w:p w14:paraId="0BB64C0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10.97</w:t>
            </w:r>
          </w:p>
        </w:tc>
        <w:tc>
          <w:tcPr>
            <w:tcW w:w="1764" w:type="dxa"/>
            <w:vAlign w:val="center"/>
          </w:tcPr>
          <w:p w14:paraId="6B8E86F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1.81</w:t>
            </w:r>
          </w:p>
        </w:tc>
        <w:tc>
          <w:tcPr>
            <w:tcW w:w="1764" w:type="dxa"/>
            <w:vAlign w:val="center"/>
          </w:tcPr>
          <w:p w14:paraId="55DDCD2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05E31919" w14:textId="77777777" w:rsidTr="004F0890">
        <w:trPr>
          <w:trHeight w:val="459"/>
        </w:trPr>
        <w:tc>
          <w:tcPr>
            <w:tcW w:w="1544" w:type="dxa"/>
            <w:vAlign w:val="center"/>
          </w:tcPr>
          <w:p w14:paraId="63811F1A"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w:t>
            </w:r>
          </w:p>
        </w:tc>
        <w:tc>
          <w:tcPr>
            <w:tcW w:w="1984" w:type="dxa"/>
            <w:vAlign w:val="center"/>
          </w:tcPr>
          <w:p w14:paraId="6B93159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155,225</w:t>
            </w:r>
          </w:p>
        </w:tc>
        <w:tc>
          <w:tcPr>
            <w:tcW w:w="1764" w:type="dxa"/>
            <w:vAlign w:val="center"/>
          </w:tcPr>
          <w:p w14:paraId="04B11AD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34</w:t>
            </w:r>
          </w:p>
        </w:tc>
        <w:tc>
          <w:tcPr>
            <w:tcW w:w="1764" w:type="dxa"/>
            <w:vAlign w:val="center"/>
          </w:tcPr>
          <w:p w14:paraId="195EF4F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9.95</w:t>
            </w:r>
          </w:p>
        </w:tc>
        <w:tc>
          <w:tcPr>
            <w:tcW w:w="1764" w:type="dxa"/>
            <w:vAlign w:val="center"/>
          </w:tcPr>
          <w:p w14:paraId="6AE9235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21.9</w:t>
            </w:r>
          </w:p>
        </w:tc>
        <w:tc>
          <w:tcPr>
            <w:tcW w:w="1764" w:type="dxa"/>
            <w:vAlign w:val="center"/>
          </w:tcPr>
          <w:p w14:paraId="0CFD988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3.41</w:t>
            </w:r>
          </w:p>
        </w:tc>
        <w:tc>
          <w:tcPr>
            <w:tcW w:w="1764" w:type="dxa"/>
            <w:vAlign w:val="center"/>
          </w:tcPr>
          <w:p w14:paraId="77D01C8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556321CC" w14:textId="77777777" w:rsidTr="004F0890">
        <w:trPr>
          <w:trHeight w:val="459"/>
        </w:trPr>
        <w:tc>
          <w:tcPr>
            <w:tcW w:w="1544" w:type="dxa"/>
            <w:vAlign w:val="center"/>
          </w:tcPr>
          <w:p w14:paraId="74469471"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w:t>
            </w:r>
          </w:p>
        </w:tc>
        <w:tc>
          <w:tcPr>
            <w:tcW w:w="1984" w:type="dxa"/>
            <w:vAlign w:val="center"/>
          </w:tcPr>
          <w:p w14:paraId="52B9B46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73,671</w:t>
            </w:r>
          </w:p>
        </w:tc>
        <w:tc>
          <w:tcPr>
            <w:tcW w:w="1764" w:type="dxa"/>
            <w:vAlign w:val="center"/>
          </w:tcPr>
          <w:p w14:paraId="3949B47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w:t>
            </w:r>
          </w:p>
        </w:tc>
        <w:tc>
          <w:tcPr>
            <w:tcW w:w="1764" w:type="dxa"/>
            <w:vAlign w:val="center"/>
          </w:tcPr>
          <w:p w14:paraId="5B9E3C0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4.72</w:t>
            </w:r>
          </w:p>
        </w:tc>
        <w:tc>
          <w:tcPr>
            <w:tcW w:w="1764" w:type="dxa"/>
            <w:vAlign w:val="center"/>
          </w:tcPr>
          <w:p w14:paraId="60710AB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21.72</w:t>
            </w:r>
          </w:p>
        </w:tc>
        <w:tc>
          <w:tcPr>
            <w:tcW w:w="1764" w:type="dxa"/>
            <w:vAlign w:val="center"/>
          </w:tcPr>
          <w:p w14:paraId="6BB40CB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3.38</w:t>
            </w:r>
          </w:p>
        </w:tc>
        <w:tc>
          <w:tcPr>
            <w:tcW w:w="1764" w:type="dxa"/>
            <w:vAlign w:val="center"/>
          </w:tcPr>
          <w:p w14:paraId="75583E8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6394F030" w14:textId="77777777" w:rsidTr="004F0890">
        <w:trPr>
          <w:trHeight w:val="424"/>
        </w:trPr>
        <w:tc>
          <w:tcPr>
            <w:tcW w:w="1544" w:type="dxa"/>
            <w:vAlign w:val="center"/>
          </w:tcPr>
          <w:p w14:paraId="571472D6"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w:t>
            </w:r>
          </w:p>
        </w:tc>
        <w:tc>
          <w:tcPr>
            <w:tcW w:w="1984" w:type="dxa"/>
            <w:vAlign w:val="center"/>
          </w:tcPr>
          <w:p w14:paraId="468672E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73,864</w:t>
            </w:r>
          </w:p>
        </w:tc>
        <w:tc>
          <w:tcPr>
            <w:tcW w:w="1764" w:type="dxa"/>
            <w:vAlign w:val="center"/>
          </w:tcPr>
          <w:p w14:paraId="2EF1F43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w:t>
            </w:r>
          </w:p>
        </w:tc>
        <w:tc>
          <w:tcPr>
            <w:tcW w:w="1764" w:type="dxa"/>
            <w:vAlign w:val="center"/>
          </w:tcPr>
          <w:p w14:paraId="13337B1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4.73</w:t>
            </w:r>
          </w:p>
        </w:tc>
        <w:tc>
          <w:tcPr>
            <w:tcW w:w="1764" w:type="dxa"/>
            <w:vAlign w:val="center"/>
          </w:tcPr>
          <w:p w14:paraId="3906CEC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21.66</w:t>
            </w:r>
          </w:p>
        </w:tc>
        <w:tc>
          <w:tcPr>
            <w:tcW w:w="1764" w:type="dxa"/>
            <w:vAlign w:val="center"/>
          </w:tcPr>
          <w:p w14:paraId="5538119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3.37</w:t>
            </w:r>
          </w:p>
        </w:tc>
        <w:tc>
          <w:tcPr>
            <w:tcW w:w="1764" w:type="dxa"/>
            <w:vAlign w:val="center"/>
          </w:tcPr>
          <w:p w14:paraId="6308CC5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8C52AA" w:rsidRPr="003D2D46" w14:paraId="3E820961" w14:textId="77777777" w:rsidTr="004F0890">
        <w:trPr>
          <w:trHeight w:val="495"/>
        </w:trPr>
        <w:tc>
          <w:tcPr>
            <w:tcW w:w="1544" w:type="dxa"/>
            <w:tcBorders>
              <w:bottom w:val="single" w:sz="12" w:space="0" w:color="000000"/>
            </w:tcBorders>
            <w:vAlign w:val="center"/>
          </w:tcPr>
          <w:p w14:paraId="63CF4A8F"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w:t>
            </w:r>
          </w:p>
        </w:tc>
        <w:tc>
          <w:tcPr>
            <w:tcW w:w="1984" w:type="dxa"/>
            <w:tcBorders>
              <w:bottom w:val="single" w:sz="12" w:space="0" w:color="000000"/>
            </w:tcBorders>
            <w:vAlign w:val="center"/>
          </w:tcPr>
          <w:p w14:paraId="226C4A1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628,356</w:t>
            </w:r>
          </w:p>
        </w:tc>
        <w:tc>
          <w:tcPr>
            <w:tcW w:w="1764" w:type="dxa"/>
            <w:tcBorders>
              <w:bottom w:val="single" w:sz="12" w:space="0" w:color="000000"/>
            </w:tcBorders>
            <w:vAlign w:val="center"/>
          </w:tcPr>
          <w:p w14:paraId="2F62E45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65</w:t>
            </w:r>
          </w:p>
        </w:tc>
        <w:tc>
          <w:tcPr>
            <w:tcW w:w="1764" w:type="dxa"/>
            <w:tcBorders>
              <w:bottom w:val="single" w:sz="12" w:space="0" w:color="000000"/>
            </w:tcBorders>
            <w:vAlign w:val="center"/>
          </w:tcPr>
          <w:p w14:paraId="7FDDC55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40.30</w:t>
            </w:r>
          </w:p>
        </w:tc>
        <w:tc>
          <w:tcPr>
            <w:tcW w:w="1764" w:type="dxa"/>
            <w:tcBorders>
              <w:bottom w:val="single" w:sz="12" w:space="0" w:color="000000"/>
            </w:tcBorders>
            <w:vAlign w:val="center"/>
          </w:tcPr>
          <w:p w14:paraId="79E8E3E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10.34</w:t>
            </w:r>
          </w:p>
        </w:tc>
        <w:tc>
          <w:tcPr>
            <w:tcW w:w="1764" w:type="dxa"/>
            <w:tcBorders>
              <w:bottom w:val="single" w:sz="12" w:space="0" w:color="000000"/>
            </w:tcBorders>
            <w:vAlign w:val="center"/>
          </w:tcPr>
          <w:p w14:paraId="767D4AB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1.61</w:t>
            </w:r>
          </w:p>
        </w:tc>
        <w:tc>
          <w:tcPr>
            <w:tcW w:w="1764" w:type="dxa"/>
            <w:tcBorders>
              <w:bottom w:val="single" w:sz="12" w:space="0" w:color="000000"/>
            </w:tcBorders>
            <w:vAlign w:val="center"/>
          </w:tcPr>
          <w:p w14:paraId="3FA881A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0.012</w:t>
            </w:r>
          </w:p>
        </w:tc>
      </w:tr>
    </w:tbl>
    <w:p w14:paraId="1DAEACCD" w14:textId="77777777" w:rsidR="008C52AA" w:rsidRPr="003D2D46" w:rsidRDefault="008C52AA" w:rsidP="00EE2A89">
      <w:pPr>
        <w:rPr>
          <w:rFonts w:ascii="Times New Roman" w:hAnsi="Times New Roman" w:cs="Times New Roman"/>
          <w:color w:val="000000" w:themeColor="text1"/>
        </w:rPr>
      </w:pPr>
    </w:p>
    <w:p w14:paraId="5127F0CA" w14:textId="77777777" w:rsidR="00BD28A9" w:rsidRPr="003D2D46" w:rsidRDefault="00BD28A9"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044D57B1" w14:textId="2020D75B" w:rsidR="00CF2B3D" w:rsidRPr="003D2D46" w:rsidRDefault="00CF2B3D" w:rsidP="00EE2A89">
      <w:pPr>
        <w:pStyle w:val="Caption"/>
        <w:rPr>
          <w:rFonts w:ascii="Times New Roman" w:hAnsi="Times New Roman" w:cs="Times New Roman"/>
          <w:color w:val="000000" w:themeColor="text1"/>
        </w:rPr>
      </w:pPr>
      <w:bookmarkStart w:id="237" w:name="_Toc83975890"/>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Significant geographic clusters of pertussis risk in Florida, 2013-2015</w:t>
      </w:r>
      <w:bookmarkEnd w:id="237"/>
    </w:p>
    <w:tbl>
      <w:tblPr>
        <w:tblW w:w="12333" w:type="dxa"/>
        <w:tblBorders>
          <w:top w:val="single" w:sz="4" w:space="0" w:color="000000"/>
          <w:left w:val="single" w:sz="4" w:space="0" w:color="FFFFFF"/>
          <w:bottom w:val="single" w:sz="4" w:space="0" w:color="auto"/>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733"/>
        <w:gridCol w:w="1921"/>
        <w:gridCol w:w="1761"/>
        <w:gridCol w:w="1757"/>
        <w:gridCol w:w="1737"/>
        <w:gridCol w:w="1711"/>
        <w:gridCol w:w="1713"/>
      </w:tblGrid>
      <w:tr w:rsidR="003B4553" w:rsidRPr="003D2D46" w14:paraId="10541E6E" w14:textId="77777777" w:rsidTr="004F0890">
        <w:trPr>
          <w:trHeight w:val="944"/>
        </w:trPr>
        <w:tc>
          <w:tcPr>
            <w:tcW w:w="1733" w:type="dxa"/>
            <w:tcBorders>
              <w:top w:val="single" w:sz="12" w:space="0" w:color="000000"/>
              <w:bottom w:val="single" w:sz="12" w:space="0" w:color="000000"/>
            </w:tcBorders>
            <w:vAlign w:val="center"/>
          </w:tcPr>
          <w:p w14:paraId="2629E0C4" w14:textId="77777777" w:rsidR="008C52AA" w:rsidRPr="003D2D46" w:rsidRDefault="008C52AA"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Cluster</w:t>
            </w:r>
          </w:p>
        </w:tc>
        <w:tc>
          <w:tcPr>
            <w:tcW w:w="1921" w:type="dxa"/>
            <w:tcBorders>
              <w:top w:val="single" w:sz="12" w:space="0" w:color="000000"/>
              <w:bottom w:val="single" w:sz="12" w:space="0" w:color="000000"/>
            </w:tcBorders>
            <w:vAlign w:val="center"/>
          </w:tcPr>
          <w:p w14:paraId="2FA0934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Population</w:t>
            </w:r>
          </w:p>
        </w:tc>
        <w:tc>
          <w:tcPr>
            <w:tcW w:w="1761" w:type="dxa"/>
            <w:tcBorders>
              <w:top w:val="single" w:sz="12" w:space="0" w:color="000000"/>
              <w:bottom w:val="single" w:sz="12" w:space="0" w:color="000000"/>
            </w:tcBorders>
            <w:vAlign w:val="center"/>
          </w:tcPr>
          <w:p w14:paraId="3E3EB6A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Observed Number of Cases</w:t>
            </w:r>
          </w:p>
        </w:tc>
        <w:tc>
          <w:tcPr>
            <w:tcW w:w="1757" w:type="dxa"/>
            <w:tcBorders>
              <w:top w:val="single" w:sz="12" w:space="0" w:color="000000"/>
              <w:bottom w:val="single" w:sz="12" w:space="0" w:color="000000"/>
            </w:tcBorders>
            <w:vAlign w:val="center"/>
          </w:tcPr>
          <w:p w14:paraId="06F0FBE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Expected Number of Cases</w:t>
            </w:r>
          </w:p>
        </w:tc>
        <w:tc>
          <w:tcPr>
            <w:tcW w:w="1737" w:type="dxa"/>
            <w:tcBorders>
              <w:top w:val="single" w:sz="12" w:space="0" w:color="000000"/>
              <w:bottom w:val="single" w:sz="12" w:space="0" w:color="000000"/>
            </w:tcBorders>
            <w:vAlign w:val="center"/>
          </w:tcPr>
          <w:p w14:paraId="65FDB13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per 100,000 people</w:t>
            </w:r>
          </w:p>
        </w:tc>
        <w:tc>
          <w:tcPr>
            <w:tcW w:w="1711" w:type="dxa"/>
            <w:tcBorders>
              <w:top w:val="single" w:sz="12" w:space="0" w:color="000000"/>
              <w:bottom w:val="single" w:sz="12" w:space="0" w:color="000000"/>
            </w:tcBorders>
            <w:vAlign w:val="center"/>
          </w:tcPr>
          <w:p w14:paraId="5083E64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Ratio</w:t>
            </w:r>
          </w:p>
        </w:tc>
        <w:tc>
          <w:tcPr>
            <w:tcW w:w="1713" w:type="dxa"/>
            <w:tcBorders>
              <w:top w:val="single" w:sz="12" w:space="0" w:color="000000"/>
              <w:bottom w:val="single" w:sz="12" w:space="0" w:color="000000"/>
            </w:tcBorders>
            <w:vAlign w:val="center"/>
          </w:tcPr>
          <w:p w14:paraId="6F25986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r>
      <w:tr w:rsidR="003B4553" w:rsidRPr="003D2D46" w14:paraId="678DBF98" w14:textId="77777777" w:rsidTr="004F0890">
        <w:trPr>
          <w:trHeight w:val="420"/>
        </w:trPr>
        <w:tc>
          <w:tcPr>
            <w:tcW w:w="1733" w:type="dxa"/>
            <w:tcBorders>
              <w:top w:val="single" w:sz="12" w:space="0" w:color="000000"/>
            </w:tcBorders>
            <w:vAlign w:val="center"/>
          </w:tcPr>
          <w:p w14:paraId="06201D3C"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w:t>
            </w:r>
          </w:p>
        </w:tc>
        <w:tc>
          <w:tcPr>
            <w:tcW w:w="1921" w:type="dxa"/>
            <w:tcBorders>
              <w:top w:val="single" w:sz="12" w:space="0" w:color="000000"/>
            </w:tcBorders>
            <w:vAlign w:val="center"/>
          </w:tcPr>
          <w:p w14:paraId="190E2DE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67,924</w:t>
            </w:r>
          </w:p>
        </w:tc>
        <w:tc>
          <w:tcPr>
            <w:tcW w:w="1761" w:type="dxa"/>
            <w:tcBorders>
              <w:top w:val="single" w:sz="12" w:space="0" w:color="000000"/>
            </w:tcBorders>
            <w:vAlign w:val="center"/>
          </w:tcPr>
          <w:p w14:paraId="5004167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77</w:t>
            </w:r>
          </w:p>
        </w:tc>
        <w:tc>
          <w:tcPr>
            <w:tcW w:w="1757" w:type="dxa"/>
            <w:tcBorders>
              <w:top w:val="single" w:sz="12" w:space="0" w:color="000000"/>
            </w:tcBorders>
            <w:vAlign w:val="center"/>
          </w:tcPr>
          <w:p w14:paraId="47DDBBE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6.2</w:t>
            </w:r>
          </w:p>
        </w:tc>
        <w:tc>
          <w:tcPr>
            <w:tcW w:w="1737" w:type="dxa"/>
            <w:tcBorders>
              <w:top w:val="single" w:sz="12" w:space="0" w:color="000000"/>
            </w:tcBorders>
            <w:vAlign w:val="center"/>
          </w:tcPr>
          <w:p w14:paraId="207D5D8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113.36</w:t>
            </w:r>
          </w:p>
        </w:tc>
        <w:tc>
          <w:tcPr>
            <w:tcW w:w="1711" w:type="dxa"/>
            <w:tcBorders>
              <w:top w:val="single" w:sz="12" w:space="0" w:color="000000"/>
            </w:tcBorders>
            <w:vAlign w:val="center"/>
          </w:tcPr>
          <w:p w14:paraId="04793BF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12.4</w:t>
            </w:r>
          </w:p>
        </w:tc>
        <w:tc>
          <w:tcPr>
            <w:tcW w:w="1713" w:type="dxa"/>
            <w:tcBorders>
              <w:top w:val="single" w:sz="12" w:space="0" w:color="000000"/>
            </w:tcBorders>
            <w:vAlign w:val="center"/>
          </w:tcPr>
          <w:p w14:paraId="39FE303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43FA7C56" w14:textId="77777777" w:rsidTr="004F0890">
        <w:trPr>
          <w:trHeight w:val="389"/>
        </w:trPr>
        <w:tc>
          <w:tcPr>
            <w:tcW w:w="1733" w:type="dxa"/>
            <w:vAlign w:val="center"/>
          </w:tcPr>
          <w:p w14:paraId="43FC1AD6"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w:t>
            </w:r>
          </w:p>
        </w:tc>
        <w:tc>
          <w:tcPr>
            <w:tcW w:w="1921" w:type="dxa"/>
            <w:vAlign w:val="center"/>
          </w:tcPr>
          <w:p w14:paraId="399E5DC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1,307,906</w:t>
            </w:r>
          </w:p>
        </w:tc>
        <w:tc>
          <w:tcPr>
            <w:tcW w:w="1761" w:type="dxa"/>
            <w:vAlign w:val="center"/>
          </w:tcPr>
          <w:p w14:paraId="0B818E6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200</w:t>
            </w:r>
          </w:p>
        </w:tc>
        <w:tc>
          <w:tcPr>
            <w:tcW w:w="1757" w:type="dxa"/>
            <w:vAlign w:val="center"/>
          </w:tcPr>
          <w:p w14:paraId="0441458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119.5</w:t>
            </w:r>
          </w:p>
        </w:tc>
        <w:tc>
          <w:tcPr>
            <w:tcW w:w="1737" w:type="dxa"/>
            <w:vAlign w:val="center"/>
          </w:tcPr>
          <w:p w14:paraId="5715681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15.29</w:t>
            </w:r>
          </w:p>
        </w:tc>
        <w:tc>
          <w:tcPr>
            <w:tcW w:w="1711" w:type="dxa"/>
            <w:vAlign w:val="center"/>
          </w:tcPr>
          <w:p w14:paraId="6B482E7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1.67</w:t>
            </w:r>
          </w:p>
        </w:tc>
        <w:tc>
          <w:tcPr>
            <w:tcW w:w="1713" w:type="dxa"/>
            <w:vAlign w:val="center"/>
          </w:tcPr>
          <w:p w14:paraId="4B2ACCA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45FBE842" w14:textId="77777777" w:rsidTr="004F0890">
        <w:trPr>
          <w:trHeight w:val="389"/>
        </w:trPr>
        <w:tc>
          <w:tcPr>
            <w:tcW w:w="1733" w:type="dxa"/>
            <w:vAlign w:val="center"/>
          </w:tcPr>
          <w:p w14:paraId="7B80BC44"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w:t>
            </w:r>
          </w:p>
        </w:tc>
        <w:tc>
          <w:tcPr>
            <w:tcW w:w="1921" w:type="dxa"/>
            <w:vAlign w:val="center"/>
          </w:tcPr>
          <w:p w14:paraId="14C3726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44,263</w:t>
            </w:r>
          </w:p>
        </w:tc>
        <w:tc>
          <w:tcPr>
            <w:tcW w:w="1761" w:type="dxa"/>
            <w:vAlign w:val="center"/>
          </w:tcPr>
          <w:p w14:paraId="2909342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w:t>
            </w:r>
          </w:p>
        </w:tc>
        <w:tc>
          <w:tcPr>
            <w:tcW w:w="1757" w:type="dxa"/>
            <w:vAlign w:val="center"/>
          </w:tcPr>
          <w:p w14:paraId="6121DE3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4.04</w:t>
            </w:r>
          </w:p>
        </w:tc>
        <w:tc>
          <w:tcPr>
            <w:tcW w:w="1737" w:type="dxa"/>
            <w:vAlign w:val="center"/>
          </w:tcPr>
          <w:p w14:paraId="6B5679A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49.70</w:t>
            </w:r>
          </w:p>
        </w:tc>
        <w:tc>
          <w:tcPr>
            <w:tcW w:w="1711" w:type="dxa"/>
            <w:vAlign w:val="center"/>
          </w:tcPr>
          <w:p w14:paraId="6F8528A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5.43</w:t>
            </w:r>
          </w:p>
        </w:tc>
        <w:tc>
          <w:tcPr>
            <w:tcW w:w="1713" w:type="dxa"/>
            <w:vAlign w:val="center"/>
          </w:tcPr>
          <w:p w14:paraId="6275384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746A52B0" w14:textId="77777777" w:rsidTr="004F0890">
        <w:trPr>
          <w:trHeight w:val="389"/>
        </w:trPr>
        <w:tc>
          <w:tcPr>
            <w:tcW w:w="1733" w:type="dxa"/>
            <w:vAlign w:val="center"/>
          </w:tcPr>
          <w:p w14:paraId="6C0A133A"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w:t>
            </w:r>
          </w:p>
        </w:tc>
        <w:tc>
          <w:tcPr>
            <w:tcW w:w="1921" w:type="dxa"/>
            <w:vAlign w:val="center"/>
          </w:tcPr>
          <w:p w14:paraId="59907D7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656,466</w:t>
            </w:r>
          </w:p>
        </w:tc>
        <w:tc>
          <w:tcPr>
            <w:tcW w:w="1761" w:type="dxa"/>
            <w:vAlign w:val="center"/>
          </w:tcPr>
          <w:p w14:paraId="1729757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106</w:t>
            </w:r>
          </w:p>
        </w:tc>
        <w:tc>
          <w:tcPr>
            <w:tcW w:w="1757" w:type="dxa"/>
            <w:vAlign w:val="center"/>
          </w:tcPr>
          <w:p w14:paraId="2C8C94D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59.9</w:t>
            </w:r>
          </w:p>
        </w:tc>
        <w:tc>
          <w:tcPr>
            <w:tcW w:w="1737" w:type="dxa"/>
            <w:vAlign w:val="center"/>
          </w:tcPr>
          <w:p w14:paraId="2837264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16.14</w:t>
            </w:r>
          </w:p>
        </w:tc>
        <w:tc>
          <w:tcPr>
            <w:tcW w:w="1711" w:type="dxa"/>
            <w:vAlign w:val="center"/>
          </w:tcPr>
          <w:p w14:paraId="66C3EBF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1.76</w:t>
            </w:r>
          </w:p>
        </w:tc>
        <w:tc>
          <w:tcPr>
            <w:tcW w:w="1713" w:type="dxa"/>
            <w:vAlign w:val="center"/>
          </w:tcPr>
          <w:p w14:paraId="053F9CA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7D12D997" w14:textId="77777777" w:rsidTr="004F0890">
        <w:trPr>
          <w:trHeight w:val="420"/>
        </w:trPr>
        <w:tc>
          <w:tcPr>
            <w:tcW w:w="1733" w:type="dxa"/>
            <w:vAlign w:val="center"/>
          </w:tcPr>
          <w:p w14:paraId="2DF332D5"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w:t>
            </w:r>
          </w:p>
        </w:tc>
        <w:tc>
          <w:tcPr>
            <w:tcW w:w="1921" w:type="dxa"/>
            <w:vAlign w:val="center"/>
          </w:tcPr>
          <w:p w14:paraId="65F1E9D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893,858</w:t>
            </w:r>
          </w:p>
        </w:tc>
        <w:tc>
          <w:tcPr>
            <w:tcW w:w="1761" w:type="dxa"/>
            <w:vAlign w:val="center"/>
          </w:tcPr>
          <w:p w14:paraId="0CA4125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133</w:t>
            </w:r>
          </w:p>
        </w:tc>
        <w:tc>
          <w:tcPr>
            <w:tcW w:w="1757" w:type="dxa"/>
            <w:vAlign w:val="center"/>
          </w:tcPr>
          <w:p w14:paraId="0D5FEFB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81.6</w:t>
            </w:r>
          </w:p>
        </w:tc>
        <w:tc>
          <w:tcPr>
            <w:tcW w:w="1737" w:type="dxa"/>
            <w:vAlign w:val="center"/>
          </w:tcPr>
          <w:p w14:paraId="347C191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14.87</w:t>
            </w:r>
          </w:p>
        </w:tc>
        <w:tc>
          <w:tcPr>
            <w:tcW w:w="1711" w:type="dxa"/>
            <w:vAlign w:val="center"/>
          </w:tcPr>
          <w:p w14:paraId="17DB90D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1.62</w:t>
            </w:r>
          </w:p>
        </w:tc>
        <w:tc>
          <w:tcPr>
            <w:tcW w:w="1713" w:type="dxa"/>
            <w:vAlign w:val="center"/>
          </w:tcPr>
          <w:p w14:paraId="5D50BA9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3A21BE40" w14:textId="77777777" w:rsidTr="004F0890">
        <w:trPr>
          <w:trHeight w:val="389"/>
        </w:trPr>
        <w:tc>
          <w:tcPr>
            <w:tcW w:w="1733" w:type="dxa"/>
            <w:vAlign w:val="center"/>
          </w:tcPr>
          <w:p w14:paraId="57327289"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w:t>
            </w:r>
          </w:p>
        </w:tc>
        <w:tc>
          <w:tcPr>
            <w:tcW w:w="1921" w:type="dxa"/>
            <w:vAlign w:val="center"/>
          </w:tcPr>
          <w:p w14:paraId="4560D53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304,654</w:t>
            </w:r>
          </w:p>
        </w:tc>
        <w:tc>
          <w:tcPr>
            <w:tcW w:w="1761" w:type="dxa"/>
            <w:vAlign w:val="center"/>
          </w:tcPr>
          <w:p w14:paraId="2EDFE0C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59</w:t>
            </w:r>
          </w:p>
        </w:tc>
        <w:tc>
          <w:tcPr>
            <w:tcW w:w="1757" w:type="dxa"/>
            <w:vAlign w:val="center"/>
          </w:tcPr>
          <w:p w14:paraId="5DBF885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27.8</w:t>
            </w:r>
          </w:p>
        </w:tc>
        <w:tc>
          <w:tcPr>
            <w:tcW w:w="1737" w:type="dxa"/>
            <w:vAlign w:val="center"/>
          </w:tcPr>
          <w:p w14:paraId="17DF2F9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19.36</w:t>
            </w:r>
          </w:p>
        </w:tc>
        <w:tc>
          <w:tcPr>
            <w:tcW w:w="1711" w:type="dxa"/>
            <w:vAlign w:val="center"/>
          </w:tcPr>
          <w:p w14:paraId="6831FC4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2.11</w:t>
            </w:r>
          </w:p>
        </w:tc>
        <w:tc>
          <w:tcPr>
            <w:tcW w:w="1713" w:type="dxa"/>
            <w:vAlign w:val="center"/>
          </w:tcPr>
          <w:p w14:paraId="60A8787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06338BEA" w14:textId="77777777" w:rsidTr="004F0890">
        <w:trPr>
          <w:trHeight w:val="389"/>
        </w:trPr>
        <w:tc>
          <w:tcPr>
            <w:tcW w:w="1733" w:type="dxa"/>
            <w:vAlign w:val="center"/>
          </w:tcPr>
          <w:p w14:paraId="3B8C7B5C"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w:t>
            </w:r>
          </w:p>
        </w:tc>
        <w:tc>
          <w:tcPr>
            <w:tcW w:w="1921" w:type="dxa"/>
            <w:vAlign w:val="center"/>
          </w:tcPr>
          <w:p w14:paraId="176557A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338,270</w:t>
            </w:r>
          </w:p>
        </w:tc>
        <w:tc>
          <w:tcPr>
            <w:tcW w:w="1761" w:type="dxa"/>
            <w:vAlign w:val="center"/>
          </w:tcPr>
          <w:p w14:paraId="25E09CB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57</w:t>
            </w:r>
          </w:p>
        </w:tc>
        <w:tc>
          <w:tcPr>
            <w:tcW w:w="1757" w:type="dxa"/>
            <w:vAlign w:val="center"/>
          </w:tcPr>
          <w:p w14:paraId="34E8629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30.9</w:t>
            </w:r>
          </w:p>
        </w:tc>
        <w:tc>
          <w:tcPr>
            <w:tcW w:w="1737" w:type="dxa"/>
            <w:vAlign w:val="center"/>
          </w:tcPr>
          <w:p w14:paraId="521BBD8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16.85</w:t>
            </w:r>
          </w:p>
        </w:tc>
        <w:tc>
          <w:tcPr>
            <w:tcW w:w="1711" w:type="dxa"/>
            <w:vAlign w:val="center"/>
          </w:tcPr>
          <w:p w14:paraId="0D41FEF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1.84</w:t>
            </w:r>
          </w:p>
        </w:tc>
        <w:tc>
          <w:tcPr>
            <w:tcW w:w="1713" w:type="dxa"/>
            <w:vAlign w:val="center"/>
          </w:tcPr>
          <w:p w14:paraId="37DF224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0.002</w:t>
            </w:r>
          </w:p>
        </w:tc>
      </w:tr>
      <w:tr w:rsidR="003B4553" w:rsidRPr="003D2D46" w14:paraId="3B41152A" w14:textId="77777777" w:rsidTr="004F0890">
        <w:trPr>
          <w:trHeight w:val="420"/>
        </w:trPr>
        <w:tc>
          <w:tcPr>
            <w:tcW w:w="1733" w:type="dxa"/>
            <w:vAlign w:val="center"/>
          </w:tcPr>
          <w:p w14:paraId="028B3C5F"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w:t>
            </w:r>
          </w:p>
        </w:tc>
        <w:tc>
          <w:tcPr>
            <w:tcW w:w="1921" w:type="dxa"/>
            <w:vAlign w:val="center"/>
          </w:tcPr>
          <w:p w14:paraId="3297AA0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99,646</w:t>
            </w:r>
          </w:p>
        </w:tc>
        <w:tc>
          <w:tcPr>
            <w:tcW w:w="1761" w:type="dxa"/>
            <w:vAlign w:val="center"/>
          </w:tcPr>
          <w:p w14:paraId="7F61C99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23</w:t>
            </w:r>
          </w:p>
        </w:tc>
        <w:tc>
          <w:tcPr>
            <w:tcW w:w="1757" w:type="dxa"/>
            <w:vAlign w:val="center"/>
          </w:tcPr>
          <w:p w14:paraId="6580C0C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9.1</w:t>
            </w:r>
          </w:p>
        </w:tc>
        <w:tc>
          <w:tcPr>
            <w:tcW w:w="1737" w:type="dxa"/>
            <w:vAlign w:val="center"/>
          </w:tcPr>
          <w:p w14:paraId="176FD72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23.08</w:t>
            </w:r>
          </w:p>
        </w:tc>
        <w:tc>
          <w:tcPr>
            <w:tcW w:w="1711" w:type="dxa"/>
            <w:vAlign w:val="center"/>
          </w:tcPr>
          <w:p w14:paraId="389EA72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2.52</w:t>
            </w:r>
          </w:p>
        </w:tc>
        <w:tc>
          <w:tcPr>
            <w:tcW w:w="1713" w:type="dxa"/>
            <w:vAlign w:val="center"/>
          </w:tcPr>
          <w:p w14:paraId="397E3EE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0.005</w:t>
            </w:r>
          </w:p>
        </w:tc>
      </w:tr>
      <w:tr w:rsidR="003B4553" w:rsidRPr="003D2D46" w14:paraId="47065F89" w14:textId="77777777" w:rsidTr="004F0890">
        <w:trPr>
          <w:trHeight w:val="389"/>
        </w:trPr>
        <w:tc>
          <w:tcPr>
            <w:tcW w:w="1733" w:type="dxa"/>
            <w:vAlign w:val="center"/>
          </w:tcPr>
          <w:p w14:paraId="4AD5CAE4"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w:t>
            </w:r>
          </w:p>
        </w:tc>
        <w:tc>
          <w:tcPr>
            <w:tcW w:w="1921" w:type="dxa"/>
            <w:vAlign w:val="center"/>
          </w:tcPr>
          <w:p w14:paraId="06D5767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1,106,654</w:t>
            </w:r>
          </w:p>
        </w:tc>
        <w:tc>
          <w:tcPr>
            <w:tcW w:w="1761" w:type="dxa"/>
            <w:vAlign w:val="center"/>
          </w:tcPr>
          <w:p w14:paraId="462F048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140</w:t>
            </w:r>
          </w:p>
        </w:tc>
        <w:tc>
          <w:tcPr>
            <w:tcW w:w="1757" w:type="dxa"/>
            <w:vAlign w:val="center"/>
          </w:tcPr>
          <w:p w14:paraId="14CCAF1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101.1</w:t>
            </w:r>
          </w:p>
        </w:tc>
        <w:tc>
          <w:tcPr>
            <w:tcW w:w="1737" w:type="dxa"/>
            <w:vAlign w:val="center"/>
          </w:tcPr>
          <w:p w14:paraId="0B64EFBA"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12.68</w:t>
            </w:r>
          </w:p>
        </w:tc>
        <w:tc>
          <w:tcPr>
            <w:tcW w:w="1711" w:type="dxa"/>
            <w:vAlign w:val="center"/>
          </w:tcPr>
          <w:p w14:paraId="3A4D702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1.38</w:t>
            </w:r>
          </w:p>
        </w:tc>
        <w:tc>
          <w:tcPr>
            <w:tcW w:w="1713" w:type="dxa"/>
            <w:vAlign w:val="center"/>
          </w:tcPr>
          <w:p w14:paraId="47D4BA9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0.005</w:t>
            </w:r>
          </w:p>
        </w:tc>
      </w:tr>
      <w:tr w:rsidR="003B4553" w:rsidRPr="003D2D46" w14:paraId="15737997" w14:textId="77777777" w:rsidTr="004F0890">
        <w:trPr>
          <w:trHeight w:val="389"/>
        </w:trPr>
        <w:tc>
          <w:tcPr>
            <w:tcW w:w="1733" w:type="dxa"/>
            <w:tcBorders>
              <w:bottom w:val="single" w:sz="4" w:space="0" w:color="FFFFFF"/>
            </w:tcBorders>
            <w:vAlign w:val="center"/>
          </w:tcPr>
          <w:p w14:paraId="5A8BE535"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w:t>
            </w:r>
          </w:p>
        </w:tc>
        <w:tc>
          <w:tcPr>
            <w:tcW w:w="1921" w:type="dxa"/>
            <w:tcBorders>
              <w:bottom w:val="single" w:sz="4" w:space="0" w:color="FFFFFF"/>
            </w:tcBorders>
            <w:vAlign w:val="center"/>
          </w:tcPr>
          <w:p w14:paraId="43E5054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24,076</w:t>
            </w:r>
          </w:p>
        </w:tc>
        <w:tc>
          <w:tcPr>
            <w:tcW w:w="1761" w:type="dxa"/>
            <w:tcBorders>
              <w:bottom w:val="single" w:sz="4" w:space="0" w:color="FFFFFF"/>
            </w:tcBorders>
            <w:vAlign w:val="center"/>
          </w:tcPr>
          <w:p w14:paraId="4409867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w:t>
            </w:r>
          </w:p>
        </w:tc>
        <w:tc>
          <w:tcPr>
            <w:tcW w:w="1757" w:type="dxa"/>
            <w:tcBorders>
              <w:bottom w:val="single" w:sz="4" w:space="0" w:color="FFFFFF"/>
            </w:tcBorders>
            <w:vAlign w:val="center"/>
          </w:tcPr>
          <w:p w14:paraId="3C79144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w:t>
            </w:r>
          </w:p>
        </w:tc>
        <w:tc>
          <w:tcPr>
            <w:tcW w:w="1737" w:type="dxa"/>
            <w:tcBorders>
              <w:bottom w:val="single" w:sz="4" w:space="0" w:color="FFFFFF"/>
            </w:tcBorders>
            <w:vAlign w:val="center"/>
          </w:tcPr>
          <w:p w14:paraId="0C0B7103"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40.01</w:t>
            </w:r>
          </w:p>
        </w:tc>
        <w:tc>
          <w:tcPr>
            <w:tcW w:w="1711" w:type="dxa"/>
            <w:tcBorders>
              <w:bottom w:val="single" w:sz="4" w:space="0" w:color="FFFFFF"/>
            </w:tcBorders>
            <w:vAlign w:val="center"/>
          </w:tcPr>
          <w:p w14:paraId="2DFB40A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4.37</w:t>
            </w:r>
          </w:p>
        </w:tc>
        <w:tc>
          <w:tcPr>
            <w:tcW w:w="1713" w:type="dxa"/>
            <w:tcBorders>
              <w:bottom w:val="single" w:sz="4" w:space="0" w:color="FFFFFF"/>
            </w:tcBorders>
            <w:vAlign w:val="center"/>
          </w:tcPr>
          <w:p w14:paraId="1AED1CB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0.005</w:t>
            </w:r>
          </w:p>
        </w:tc>
      </w:tr>
      <w:tr w:rsidR="008C52AA" w:rsidRPr="003D2D46" w14:paraId="3BD5AC33" w14:textId="77777777" w:rsidTr="004F0890">
        <w:trPr>
          <w:trHeight w:val="420"/>
        </w:trPr>
        <w:tc>
          <w:tcPr>
            <w:tcW w:w="1733" w:type="dxa"/>
            <w:tcBorders>
              <w:top w:val="single" w:sz="4" w:space="0" w:color="FFFFFF"/>
              <w:bottom w:val="single" w:sz="12" w:space="0" w:color="auto"/>
            </w:tcBorders>
            <w:vAlign w:val="center"/>
          </w:tcPr>
          <w:p w14:paraId="0A0C58EB"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11</w:t>
            </w:r>
          </w:p>
        </w:tc>
        <w:tc>
          <w:tcPr>
            <w:tcW w:w="1921" w:type="dxa"/>
            <w:tcBorders>
              <w:top w:val="single" w:sz="4" w:space="0" w:color="FFFFFF"/>
              <w:bottom w:val="single" w:sz="12" w:space="0" w:color="auto"/>
            </w:tcBorders>
            <w:vAlign w:val="center"/>
          </w:tcPr>
          <w:p w14:paraId="16BBF8A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388,037</w:t>
            </w:r>
          </w:p>
        </w:tc>
        <w:tc>
          <w:tcPr>
            <w:tcW w:w="1761" w:type="dxa"/>
            <w:tcBorders>
              <w:top w:val="single" w:sz="4" w:space="0" w:color="FFFFFF"/>
              <w:bottom w:val="single" w:sz="12" w:space="0" w:color="auto"/>
            </w:tcBorders>
            <w:vAlign w:val="center"/>
          </w:tcPr>
          <w:p w14:paraId="443EEAD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59</w:t>
            </w:r>
          </w:p>
        </w:tc>
        <w:tc>
          <w:tcPr>
            <w:tcW w:w="1757" w:type="dxa"/>
            <w:tcBorders>
              <w:top w:val="single" w:sz="4" w:space="0" w:color="FFFFFF"/>
              <w:bottom w:val="single" w:sz="12" w:space="0" w:color="auto"/>
            </w:tcBorders>
            <w:vAlign w:val="center"/>
          </w:tcPr>
          <w:p w14:paraId="3CC53C7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35.4</w:t>
            </w:r>
          </w:p>
        </w:tc>
        <w:tc>
          <w:tcPr>
            <w:tcW w:w="1737" w:type="dxa"/>
            <w:tcBorders>
              <w:top w:val="single" w:sz="4" w:space="0" w:color="FFFFFF"/>
              <w:bottom w:val="single" w:sz="12" w:space="0" w:color="auto"/>
            </w:tcBorders>
            <w:vAlign w:val="center"/>
          </w:tcPr>
          <w:p w14:paraId="75AC5CD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15.20</w:t>
            </w:r>
          </w:p>
        </w:tc>
        <w:tc>
          <w:tcPr>
            <w:tcW w:w="1711" w:type="dxa"/>
            <w:tcBorders>
              <w:top w:val="single" w:sz="4" w:space="0" w:color="FFFFFF"/>
              <w:bottom w:val="single" w:sz="12" w:space="0" w:color="auto"/>
            </w:tcBorders>
            <w:vAlign w:val="center"/>
          </w:tcPr>
          <w:p w14:paraId="7072A13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1.66</w:t>
            </w:r>
          </w:p>
        </w:tc>
        <w:tc>
          <w:tcPr>
            <w:tcW w:w="1713" w:type="dxa"/>
            <w:tcBorders>
              <w:top w:val="single" w:sz="4" w:space="0" w:color="FFFFFF"/>
              <w:bottom w:val="single" w:sz="12" w:space="0" w:color="auto"/>
            </w:tcBorders>
            <w:vAlign w:val="center"/>
          </w:tcPr>
          <w:p w14:paraId="78A061D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0.006</w:t>
            </w:r>
          </w:p>
        </w:tc>
      </w:tr>
    </w:tbl>
    <w:p w14:paraId="0F3C048F" w14:textId="77777777" w:rsidR="00BD28A9" w:rsidRPr="003D2D46" w:rsidRDefault="00BD28A9" w:rsidP="00EE2A89">
      <w:pPr>
        <w:rPr>
          <w:rFonts w:ascii="Times New Roman" w:hAnsi="Times New Roman" w:cs="Times New Roman"/>
          <w:color w:val="000000" w:themeColor="text1"/>
        </w:rPr>
      </w:pPr>
    </w:p>
    <w:p w14:paraId="0C87A83C" w14:textId="77777777" w:rsidR="00BD28A9" w:rsidRPr="003D2D46" w:rsidRDefault="00BD28A9"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4B4DC7CF" w14:textId="09CA3A57" w:rsidR="00CF2B3D" w:rsidRPr="003D2D46" w:rsidRDefault="00CF2B3D" w:rsidP="00EE2A89">
      <w:pPr>
        <w:pStyle w:val="Caption"/>
        <w:rPr>
          <w:rFonts w:ascii="Times New Roman" w:hAnsi="Times New Roman" w:cs="Times New Roman"/>
          <w:color w:val="000000" w:themeColor="text1"/>
        </w:rPr>
      </w:pPr>
      <w:bookmarkStart w:id="238" w:name="_Toc83975891"/>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Significant geographic clusters of pertussis risk in Florida, 2016-2018</w:t>
      </w:r>
      <w:bookmarkEnd w:id="238"/>
    </w:p>
    <w:tbl>
      <w:tblPr>
        <w:tblW w:w="12161" w:type="dxa"/>
        <w:tblBorders>
          <w:top w:val="single" w:sz="4" w:space="0" w:color="000000"/>
          <w:left w:val="single" w:sz="4" w:space="0" w:color="FFFFFF"/>
          <w:bottom w:val="single" w:sz="4" w:space="0" w:color="auto"/>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709"/>
        <w:gridCol w:w="1894"/>
        <w:gridCol w:w="1736"/>
        <w:gridCol w:w="1732"/>
        <w:gridCol w:w="1713"/>
        <w:gridCol w:w="1687"/>
        <w:gridCol w:w="1690"/>
      </w:tblGrid>
      <w:tr w:rsidR="003B4553" w:rsidRPr="003D2D46" w14:paraId="4A34E8B8" w14:textId="77777777" w:rsidTr="004F0890">
        <w:trPr>
          <w:trHeight w:val="1014"/>
        </w:trPr>
        <w:tc>
          <w:tcPr>
            <w:tcW w:w="1709" w:type="dxa"/>
            <w:tcBorders>
              <w:top w:val="single" w:sz="12" w:space="0" w:color="000000"/>
              <w:bottom w:val="single" w:sz="12" w:space="0" w:color="auto"/>
            </w:tcBorders>
            <w:vAlign w:val="center"/>
          </w:tcPr>
          <w:p w14:paraId="01F72B04" w14:textId="77777777" w:rsidR="008C52AA" w:rsidRPr="003D2D46" w:rsidRDefault="008C52AA" w:rsidP="00EE2A89">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Cluster</w:t>
            </w:r>
          </w:p>
        </w:tc>
        <w:tc>
          <w:tcPr>
            <w:tcW w:w="1894" w:type="dxa"/>
            <w:tcBorders>
              <w:top w:val="single" w:sz="12" w:space="0" w:color="000000"/>
              <w:bottom w:val="single" w:sz="12" w:space="0" w:color="auto"/>
            </w:tcBorders>
            <w:vAlign w:val="center"/>
          </w:tcPr>
          <w:p w14:paraId="0239F1A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Population</w:t>
            </w:r>
          </w:p>
        </w:tc>
        <w:tc>
          <w:tcPr>
            <w:tcW w:w="1736" w:type="dxa"/>
            <w:tcBorders>
              <w:top w:val="single" w:sz="12" w:space="0" w:color="000000"/>
              <w:bottom w:val="single" w:sz="12" w:space="0" w:color="auto"/>
            </w:tcBorders>
            <w:vAlign w:val="center"/>
          </w:tcPr>
          <w:p w14:paraId="03F7514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Observed Number of Cases</w:t>
            </w:r>
          </w:p>
        </w:tc>
        <w:tc>
          <w:tcPr>
            <w:tcW w:w="1732" w:type="dxa"/>
            <w:tcBorders>
              <w:top w:val="single" w:sz="12" w:space="0" w:color="000000"/>
              <w:bottom w:val="single" w:sz="12" w:space="0" w:color="auto"/>
            </w:tcBorders>
            <w:vAlign w:val="center"/>
          </w:tcPr>
          <w:p w14:paraId="41F7076E"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Expected Number of Cases</w:t>
            </w:r>
          </w:p>
        </w:tc>
        <w:tc>
          <w:tcPr>
            <w:tcW w:w="1713" w:type="dxa"/>
            <w:tcBorders>
              <w:top w:val="single" w:sz="12" w:space="0" w:color="000000"/>
              <w:bottom w:val="single" w:sz="12" w:space="0" w:color="auto"/>
            </w:tcBorders>
            <w:vAlign w:val="center"/>
          </w:tcPr>
          <w:p w14:paraId="3CE4E0F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per 100,000 people</w:t>
            </w:r>
          </w:p>
        </w:tc>
        <w:tc>
          <w:tcPr>
            <w:tcW w:w="1687" w:type="dxa"/>
            <w:tcBorders>
              <w:top w:val="single" w:sz="12" w:space="0" w:color="000000"/>
              <w:bottom w:val="single" w:sz="12" w:space="0" w:color="auto"/>
            </w:tcBorders>
            <w:vAlign w:val="center"/>
          </w:tcPr>
          <w:p w14:paraId="339733D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Risk Ratio</w:t>
            </w:r>
          </w:p>
        </w:tc>
        <w:tc>
          <w:tcPr>
            <w:tcW w:w="1690" w:type="dxa"/>
            <w:tcBorders>
              <w:top w:val="single" w:sz="12" w:space="0" w:color="000000"/>
              <w:bottom w:val="single" w:sz="12" w:space="0" w:color="auto"/>
            </w:tcBorders>
            <w:vAlign w:val="center"/>
          </w:tcPr>
          <w:p w14:paraId="4AAC2C8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r>
      <w:tr w:rsidR="003B4553" w:rsidRPr="003D2D46" w14:paraId="50669BB8" w14:textId="77777777" w:rsidTr="004F0890">
        <w:trPr>
          <w:trHeight w:val="465"/>
        </w:trPr>
        <w:tc>
          <w:tcPr>
            <w:tcW w:w="1709" w:type="dxa"/>
            <w:tcBorders>
              <w:top w:val="single" w:sz="12" w:space="0" w:color="auto"/>
              <w:bottom w:val="single" w:sz="4" w:space="0" w:color="FFFFFF"/>
            </w:tcBorders>
            <w:vAlign w:val="center"/>
          </w:tcPr>
          <w:p w14:paraId="6AD0C517"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w:t>
            </w:r>
          </w:p>
        </w:tc>
        <w:tc>
          <w:tcPr>
            <w:tcW w:w="1894" w:type="dxa"/>
            <w:tcBorders>
              <w:top w:val="single" w:sz="12" w:space="0" w:color="auto"/>
              <w:bottom w:val="single" w:sz="4" w:space="0" w:color="FFFFFF"/>
            </w:tcBorders>
            <w:vAlign w:val="center"/>
          </w:tcPr>
          <w:p w14:paraId="6625F2E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1,388,111</w:t>
            </w:r>
          </w:p>
        </w:tc>
        <w:tc>
          <w:tcPr>
            <w:tcW w:w="1736" w:type="dxa"/>
            <w:tcBorders>
              <w:top w:val="single" w:sz="12" w:space="0" w:color="auto"/>
              <w:bottom w:val="single" w:sz="4" w:space="0" w:color="FFFFFF"/>
            </w:tcBorders>
            <w:vAlign w:val="center"/>
          </w:tcPr>
          <w:p w14:paraId="58E5336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183</w:t>
            </w:r>
          </w:p>
        </w:tc>
        <w:tc>
          <w:tcPr>
            <w:tcW w:w="1732" w:type="dxa"/>
            <w:tcBorders>
              <w:top w:val="single" w:sz="12" w:space="0" w:color="auto"/>
              <w:bottom w:val="single" w:sz="4" w:space="0" w:color="FFFFFF"/>
            </w:tcBorders>
            <w:vAlign w:val="center"/>
          </w:tcPr>
          <w:p w14:paraId="6BF1F74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68.8</w:t>
            </w:r>
          </w:p>
        </w:tc>
        <w:tc>
          <w:tcPr>
            <w:tcW w:w="1713" w:type="dxa"/>
            <w:tcBorders>
              <w:top w:val="single" w:sz="12" w:space="0" w:color="auto"/>
              <w:bottom w:val="single" w:sz="4" w:space="0" w:color="FFFFFF"/>
            </w:tcBorders>
            <w:vAlign w:val="center"/>
          </w:tcPr>
          <w:p w14:paraId="3CA8E24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13.18</w:t>
            </w:r>
          </w:p>
        </w:tc>
        <w:tc>
          <w:tcPr>
            <w:tcW w:w="1687" w:type="dxa"/>
            <w:tcBorders>
              <w:top w:val="single" w:sz="12" w:space="0" w:color="auto"/>
              <w:bottom w:val="single" w:sz="4" w:space="0" w:color="FFFFFF"/>
            </w:tcBorders>
            <w:vAlign w:val="center"/>
          </w:tcPr>
          <w:p w14:paraId="35FD4BC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2.65</w:t>
            </w:r>
          </w:p>
        </w:tc>
        <w:tc>
          <w:tcPr>
            <w:tcW w:w="1690" w:type="dxa"/>
            <w:tcBorders>
              <w:top w:val="single" w:sz="12" w:space="0" w:color="auto"/>
              <w:bottom w:val="single" w:sz="4" w:space="0" w:color="FFFFFF"/>
            </w:tcBorders>
            <w:vAlign w:val="center"/>
          </w:tcPr>
          <w:p w14:paraId="5151F66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250B16CE" w14:textId="77777777" w:rsidTr="004F0890">
        <w:trPr>
          <w:trHeight w:val="502"/>
        </w:trPr>
        <w:tc>
          <w:tcPr>
            <w:tcW w:w="1709" w:type="dxa"/>
            <w:tcBorders>
              <w:top w:val="single" w:sz="4" w:space="0" w:color="FFFFFF"/>
              <w:bottom w:val="single" w:sz="4" w:space="0" w:color="FFFFFF"/>
            </w:tcBorders>
            <w:vAlign w:val="center"/>
          </w:tcPr>
          <w:p w14:paraId="0B70B491"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w:t>
            </w:r>
          </w:p>
        </w:tc>
        <w:tc>
          <w:tcPr>
            <w:tcW w:w="1894" w:type="dxa"/>
            <w:tcBorders>
              <w:top w:val="single" w:sz="4" w:space="0" w:color="FFFFFF"/>
              <w:bottom w:val="single" w:sz="4" w:space="0" w:color="FFFFFF"/>
            </w:tcBorders>
            <w:vAlign w:val="center"/>
          </w:tcPr>
          <w:p w14:paraId="7DCBE68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79,592</w:t>
            </w:r>
          </w:p>
        </w:tc>
        <w:tc>
          <w:tcPr>
            <w:tcW w:w="1736" w:type="dxa"/>
            <w:tcBorders>
              <w:top w:val="single" w:sz="4" w:space="0" w:color="FFFFFF"/>
              <w:bottom w:val="single" w:sz="4" w:space="0" w:color="FFFFFF"/>
            </w:tcBorders>
            <w:vAlign w:val="center"/>
          </w:tcPr>
          <w:p w14:paraId="1257D0AB"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22</w:t>
            </w:r>
          </w:p>
        </w:tc>
        <w:tc>
          <w:tcPr>
            <w:tcW w:w="1732" w:type="dxa"/>
            <w:tcBorders>
              <w:top w:val="single" w:sz="4" w:space="0" w:color="FFFFFF"/>
              <w:bottom w:val="single" w:sz="4" w:space="0" w:color="FFFFFF"/>
            </w:tcBorders>
            <w:vAlign w:val="center"/>
          </w:tcPr>
          <w:p w14:paraId="4DECDAE8"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3.94</w:t>
            </w:r>
          </w:p>
        </w:tc>
        <w:tc>
          <w:tcPr>
            <w:tcW w:w="1713" w:type="dxa"/>
            <w:tcBorders>
              <w:top w:val="single" w:sz="4" w:space="0" w:color="FFFFFF"/>
              <w:bottom w:val="single" w:sz="4" w:space="0" w:color="FFFFFF"/>
            </w:tcBorders>
            <w:vAlign w:val="center"/>
          </w:tcPr>
          <w:p w14:paraId="1296C54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27.64</w:t>
            </w:r>
          </w:p>
        </w:tc>
        <w:tc>
          <w:tcPr>
            <w:tcW w:w="1687" w:type="dxa"/>
            <w:tcBorders>
              <w:top w:val="single" w:sz="4" w:space="0" w:color="FFFFFF"/>
              <w:bottom w:val="single" w:sz="4" w:space="0" w:color="FFFFFF"/>
            </w:tcBorders>
            <w:vAlign w:val="center"/>
          </w:tcPr>
          <w:p w14:paraId="3D1A39B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5.57</w:t>
            </w:r>
          </w:p>
        </w:tc>
        <w:tc>
          <w:tcPr>
            <w:tcW w:w="1690" w:type="dxa"/>
            <w:tcBorders>
              <w:top w:val="single" w:sz="4" w:space="0" w:color="FFFFFF"/>
              <w:bottom w:val="single" w:sz="4" w:space="0" w:color="FFFFFF"/>
            </w:tcBorders>
            <w:vAlign w:val="center"/>
          </w:tcPr>
          <w:p w14:paraId="3223DE1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4652C9C2" w14:textId="77777777" w:rsidTr="004F0890">
        <w:trPr>
          <w:trHeight w:val="465"/>
        </w:trPr>
        <w:tc>
          <w:tcPr>
            <w:tcW w:w="1709" w:type="dxa"/>
            <w:tcBorders>
              <w:top w:val="single" w:sz="4" w:space="0" w:color="FFFFFF"/>
              <w:bottom w:val="single" w:sz="4" w:space="0" w:color="FFFFFF"/>
            </w:tcBorders>
            <w:vAlign w:val="center"/>
          </w:tcPr>
          <w:p w14:paraId="3576B481"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w:t>
            </w:r>
          </w:p>
        </w:tc>
        <w:tc>
          <w:tcPr>
            <w:tcW w:w="1894" w:type="dxa"/>
            <w:tcBorders>
              <w:top w:val="single" w:sz="4" w:space="0" w:color="FFFFFF"/>
              <w:bottom w:val="single" w:sz="4" w:space="0" w:color="FFFFFF"/>
            </w:tcBorders>
            <w:vAlign w:val="center"/>
          </w:tcPr>
          <w:p w14:paraId="25F7804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961,253</w:t>
            </w:r>
          </w:p>
        </w:tc>
        <w:tc>
          <w:tcPr>
            <w:tcW w:w="1736" w:type="dxa"/>
            <w:tcBorders>
              <w:top w:val="single" w:sz="4" w:space="0" w:color="FFFFFF"/>
              <w:bottom w:val="single" w:sz="4" w:space="0" w:color="FFFFFF"/>
            </w:tcBorders>
            <w:vAlign w:val="center"/>
          </w:tcPr>
          <w:p w14:paraId="2300B4E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86</w:t>
            </w:r>
          </w:p>
        </w:tc>
        <w:tc>
          <w:tcPr>
            <w:tcW w:w="1732" w:type="dxa"/>
            <w:tcBorders>
              <w:top w:val="single" w:sz="4" w:space="0" w:color="FFFFFF"/>
              <w:bottom w:val="single" w:sz="4" w:space="0" w:color="FFFFFF"/>
            </w:tcBorders>
            <w:vAlign w:val="center"/>
          </w:tcPr>
          <w:p w14:paraId="6D27DF1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47.6</w:t>
            </w:r>
          </w:p>
        </w:tc>
        <w:tc>
          <w:tcPr>
            <w:tcW w:w="1713" w:type="dxa"/>
            <w:tcBorders>
              <w:top w:val="single" w:sz="4" w:space="0" w:color="FFFFFF"/>
              <w:bottom w:val="single" w:sz="4" w:space="0" w:color="FFFFFF"/>
            </w:tcBorders>
            <w:vAlign w:val="center"/>
          </w:tcPr>
          <w:p w14:paraId="2DA6A73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8.94</w:t>
            </w:r>
          </w:p>
        </w:tc>
        <w:tc>
          <w:tcPr>
            <w:tcW w:w="1687" w:type="dxa"/>
            <w:tcBorders>
              <w:top w:val="single" w:sz="4" w:space="0" w:color="FFFFFF"/>
              <w:bottom w:val="single" w:sz="4" w:space="0" w:color="FFFFFF"/>
            </w:tcBorders>
            <w:vAlign w:val="center"/>
          </w:tcPr>
          <w:p w14:paraId="6D6A8B0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1.80</w:t>
            </w:r>
          </w:p>
        </w:tc>
        <w:tc>
          <w:tcPr>
            <w:tcW w:w="1690" w:type="dxa"/>
            <w:tcBorders>
              <w:top w:val="single" w:sz="4" w:space="0" w:color="FFFFFF"/>
              <w:bottom w:val="single" w:sz="4" w:space="0" w:color="FFFFFF"/>
            </w:tcBorders>
            <w:vAlign w:val="center"/>
          </w:tcPr>
          <w:p w14:paraId="2B646A6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13564F20" w14:textId="77777777" w:rsidTr="004F0890">
        <w:trPr>
          <w:trHeight w:val="465"/>
        </w:trPr>
        <w:tc>
          <w:tcPr>
            <w:tcW w:w="1709" w:type="dxa"/>
            <w:tcBorders>
              <w:top w:val="single" w:sz="4" w:space="0" w:color="FFFFFF"/>
              <w:bottom w:val="single" w:sz="4" w:space="0" w:color="FFFFFF"/>
            </w:tcBorders>
            <w:vAlign w:val="center"/>
          </w:tcPr>
          <w:p w14:paraId="7112F73B"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w:t>
            </w:r>
          </w:p>
        </w:tc>
        <w:tc>
          <w:tcPr>
            <w:tcW w:w="1894" w:type="dxa"/>
            <w:tcBorders>
              <w:top w:val="single" w:sz="4" w:space="0" w:color="FFFFFF"/>
              <w:bottom w:val="single" w:sz="4" w:space="0" w:color="FFFFFF"/>
            </w:tcBorders>
            <w:vAlign w:val="center"/>
          </w:tcPr>
          <w:p w14:paraId="7FA397E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507,081</w:t>
            </w:r>
          </w:p>
        </w:tc>
        <w:tc>
          <w:tcPr>
            <w:tcW w:w="1736" w:type="dxa"/>
            <w:tcBorders>
              <w:top w:val="single" w:sz="4" w:space="0" w:color="FFFFFF"/>
              <w:bottom w:val="single" w:sz="4" w:space="0" w:color="FFFFFF"/>
            </w:tcBorders>
            <w:vAlign w:val="center"/>
          </w:tcPr>
          <w:p w14:paraId="42067FE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51</w:t>
            </w:r>
          </w:p>
        </w:tc>
        <w:tc>
          <w:tcPr>
            <w:tcW w:w="1732" w:type="dxa"/>
            <w:tcBorders>
              <w:top w:val="single" w:sz="4" w:space="0" w:color="FFFFFF"/>
              <w:bottom w:val="single" w:sz="4" w:space="0" w:color="FFFFFF"/>
            </w:tcBorders>
            <w:vAlign w:val="center"/>
          </w:tcPr>
          <w:p w14:paraId="0E65DA2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25.1</w:t>
            </w:r>
          </w:p>
        </w:tc>
        <w:tc>
          <w:tcPr>
            <w:tcW w:w="1713" w:type="dxa"/>
            <w:tcBorders>
              <w:top w:val="single" w:sz="4" w:space="0" w:color="FFFFFF"/>
              <w:bottom w:val="single" w:sz="4" w:space="0" w:color="FFFFFF"/>
            </w:tcBorders>
            <w:vAlign w:val="center"/>
          </w:tcPr>
          <w:p w14:paraId="746EA8BC"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10.05</w:t>
            </w:r>
          </w:p>
        </w:tc>
        <w:tc>
          <w:tcPr>
            <w:tcW w:w="1687" w:type="dxa"/>
            <w:tcBorders>
              <w:top w:val="single" w:sz="4" w:space="0" w:color="FFFFFF"/>
              <w:bottom w:val="single" w:sz="4" w:space="0" w:color="FFFFFF"/>
            </w:tcBorders>
            <w:vAlign w:val="center"/>
          </w:tcPr>
          <w:p w14:paraId="544C38B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2.02</w:t>
            </w:r>
          </w:p>
        </w:tc>
        <w:tc>
          <w:tcPr>
            <w:tcW w:w="1690" w:type="dxa"/>
            <w:tcBorders>
              <w:top w:val="single" w:sz="4" w:space="0" w:color="FFFFFF"/>
              <w:bottom w:val="single" w:sz="4" w:space="0" w:color="FFFFFF"/>
            </w:tcBorders>
            <w:vAlign w:val="center"/>
          </w:tcPr>
          <w:p w14:paraId="0B27DD0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0.001</w:t>
            </w:r>
          </w:p>
        </w:tc>
      </w:tr>
      <w:tr w:rsidR="003B4553" w:rsidRPr="003D2D46" w14:paraId="28D19828" w14:textId="77777777" w:rsidTr="004F0890">
        <w:trPr>
          <w:trHeight w:val="502"/>
        </w:trPr>
        <w:tc>
          <w:tcPr>
            <w:tcW w:w="1709" w:type="dxa"/>
            <w:tcBorders>
              <w:top w:val="single" w:sz="4" w:space="0" w:color="FFFFFF"/>
              <w:bottom w:val="single" w:sz="4" w:space="0" w:color="FFFFFF"/>
            </w:tcBorders>
            <w:vAlign w:val="center"/>
          </w:tcPr>
          <w:p w14:paraId="71263758"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5</w:t>
            </w:r>
          </w:p>
        </w:tc>
        <w:tc>
          <w:tcPr>
            <w:tcW w:w="1894" w:type="dxa"/>
            <w:tcBorders>
              <w:top w:val="single" w:sz="4" w:space="0" w:color="FFFFFF"/>
              <w:bottom w:val="single" w:sz="4" w:space="0" w:color="FFFFFF"/>
            </w:tcBorders>
            <w:vAlign w:val="center"/>
          </w:tcPr>
          <w:p w14:paraId="6226181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474,481</w:t>
            </w:r>
          </w:p>
        </w:tc>
        <w:tc>
          <w:tcPr>
            <w:tcW w:w="1736" w:type="dxa"/>
            <w:tcBorders>
              <w:top w:val="single" w:sz="4" w:space="0" w:color="FFFFFF"/>
              <w:bottom w:val="single" w:sz="4" w:space="0" w:color="FFFFFF"/>
            </w:tcBorders>
            <w:vAlign w:val="center"/>
          </w:tcPr>
          <w:p w14:paraId="6A7609A2"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46</w:t>
            </w:r>
          </w:p>
        </w:tc>
        <w:tc>
          <w:tcPr>
            <w:tcW w:w="1732" w:type="dxa"/>
            <w:tcBorders>
              <w:top w:val="single" w:sz="4" w:space="0" w:color="FFFFFF"/>
              <w:bottom w:val="single" w:sz="4" w:space="0" w:color="FFFFFF"/>
            </w:tcBorders>
            <w:vAlign w:val="center"/>
          </w:tcPr>
          <w:p w14:paraId="4D5C744D"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23.5</w:t>
            </w:r>
          </w:p>
        </w:tc>
        <w:tc>
          <w:tcPr>
            <w:tcW w:w="1713" w:type="dxa"/>
            <w:tcBorders>
              <w:top w:val="single" w:sz="4" w:space="0" w:color="FFFFFF"/>
              <w:bottom w:val="single" w:sz="4" w:space="0" w:color="FFFFFF"/>
            </w:tcBorders>
            <w:vAlign w:val="center"/>
          </w:tcPr>
          <w:p w14:paraId="6EE68FC0"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9.47</w:t>
            </w:r>
          </w:p>
        </w:tc>
        <w:tc>
          <w:tcPr>
            <w:tcW w:w="1687" w:type="dxa"/>
            <w:tcBorders>
              <w:top w:val="single" w:sz="4" w:space="0" w:color="FFFFFF"/>
              <w:bottom w:val="single" w:sz="4" w:space="0" w:color="FFFFFF"/>
            </w:tcBorders>
            <w:vAlign w:val="center"/>
          </w:tcPr>
          <w:p w14:paraId="1E25BA8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1.95</w:t>
            </w:r>
          </w:p>
        </w:tc>
        <w:tc>
          <w:tcPr>
            <w:tcW w:w="1690" w:type="dxa"/>
            <w:tcBorders>
              <w:top w:val="single" w:sz="4" w:space="0" w:color="FFFFFF"/>
              <w:bottom w:val="single" w:sz="4" w:space="0" w:color="FFFFFF"/>
            </w:tcBorders>
            <w:vAlign w:val="center"/>
          </w:tcPr>
          <w:p w14:paraId="28719799"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0.002</w:t>
            </w:r>
          </w:p>
        </w:tc>
      </w:tr>
      <w:tr w:rsidR="008C52AA" w:rsidRPr="003D2D46" w14:paraId="0362E76B" w14:textId="77777777" w:rsidTr="004F0890">
        <w:trPr>
          <w:trHeight w:val="465"/>
        </w:trPr>
        <w:tc>
          <w:tcPr>
            <w:tcW w:w="1709" w:type="dxa"/>
            <w:tcBorders>
              <w:top w:val="single" w:sz="4" w:space="0" w:color="FFFFFF"/>
              <w:bottom w:val="single" w:sz="12" w:space="0" w:color="auto"/>
            </w:tcBorders>
            <w:vAlign w:val="center"/>
          </w:tcPr>
          <w:p w14:paraId="0BC70CA1" w14:textId="77777777" w:rsidR="008C52AA" w:rsidRPr="003D2D46" w:rsidRDefault="008C52AA" w:rsidP="00EE2A89">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6</w:t>
            </w:r>
          </w:p>
        </w:tc>
        <w:tc>
          <w:tcPr>
            <w:tcW w:w="1894" w:type="dxa"/>
            <w:tcBorders>
              <w:top w:val="single" w:sz="4" w:space="0" w:color="FFFFFF"/>
              <w:bottom w:val="single" w:sz="12" w:space="0" w:color="auto"/>
            </w:tcBorders>
            <w:vAlign w:val="center"/>
          </w:tcPr>
          <w:p w14:paraId="6E3C24A6"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312,811</w:t>
            </w:r>
          </w:p>
        </w:tc>
        <w:tc>
          <w:tcPr>
            <w:tcW w:w="1736" w:type="dxa"/>
            <w:tcBorders>
              <w:top w:val="single" w:sz="4" w:space="0" w:color="FFFFFF"/>
              <w:bottom w:val="single" w:sz="12" w:space="0" w:color="auto"/>
            </w:tcBorders>
            <w:vAlign w:val="center"/>
          </w:tcPr>
          <w:p w14:paraId="1456DBEF"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30</w:t>
            </w:r>
          </w:p>
        </w:tc>
        <w:tc>
          <w:tcPr>
            <w:tcW w:w="1732" w:type="dxa"/>
            <w:tcBorders>
              <w:top w:val="single" w:sz="4" w:space="0" w:color="FFFFFF"/>
              <w:bottom w:val="single" w:sz="12" w:space="0" w:color="auto"/>
            </w:tcBorders>
            <w:vAlign w:val="center"/>
          </w:tcPr>
          <w:p w14:paraId="63401B64"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15.5</w:t>
            </w:r>
          </w:p>
        </w:tc>
        <w:tc>
          <w:tcPr>
            <w:tcW w:w="1713" w:type="dxa"/>
            <w:tcBorders>
              <w:top w:val="single" w:sz="4" w:space="0" w:color="FFFFFF"/>
              <w:bottom w:val="single" w:sz="12" w:space="0" w:color="auto"/>
            </w:tcBorders>
            <w:vAlign w:val="center"/>
          </w:tcPr>
          <w:p w14:paraId="2D67B4AE"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9.59</w:t>
            </w:r>
          </w:p>
        </w:tc>
        <w:tc>
          <w:tcPr>
            <w:tcW w:w="1687" w:type="dxa"/>
            <w:tcBorders>
              <w:top w:val="single" w:sz="4" w:space="0" w:color="FFFFFF"/>
              <w:bottom w:val="single" w:sz="12" w:space="0" w:color="auto"/>
            </w:tcBorders>
            <w:vAlign w:val="center"/>
          </w:tcPr>
          <w:p w14:paraId="7E8B3985"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1.93</w:t>
            </w:r>
          </w:p>
        </w:tc>
        <w:tc>
          <w:tcPr>
            <w:tcW w:w="1690" w:type="dxa"/>
            <w:tcBorders>
              <w:top w:val="single" w:sz="4" w:space="0" w:color="FFFFFF"/>
              <w:bottom w:val="single" w:sz="12" w:space="0" w:color="auto"/>
            </w:tcBorders>
            <w:vAlign w:val="center"/>
          </w:tcPr>
          <w:p w14:paraId="3E2A9A01"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0.034</w:t>
            </w:r>
          </w:p>
        </w:tc>
      </w:tr>
    </w:tbl>
    <w:p w14:paraId="04549930" w14:textId="77777777" w:rsidR="008C52AA" w:rsidRPr="003D2D46" w:rsidRDefault="008C52AA" w:rsidP="00EE2A89">
      <w:pPr>
        <w:rPr>
          <w:rFonts w:ascii="Times New Roman" w:hAnsi="Times New Roman" w:cs="Times New Roman"/>
          <w:color w:val="000000" w:themeColor="text1"/>
        </w:rPr>
      </w:pPr>
    </w:p>
    <w:p w14:paraId="6E9ED914" w14:textId="3098D237" w:rsidR="00CF2B3D" w:rsidRPr="003D2D46" w:rsidRDefault="00BD28A9" w:rsidP="00EE2A89">
      <w:pPr>
        <w:pStyle w:val="Caption"/>
        <w:rPr>
          <w:rFonts w:ascii="Times New Roman" w:hAnsi="Times New Roman" w:cs="Times New Roman"/>
          <w:color w:val="000000" w:themeColor="text1"/>
        </w:rPr>
        <w:sectPr w:rsidR="00CF2B3D" w:rsidRPr="003D2D46" w:rsidSect="004F0890">
          <w:pgSz w:w="15840" w:h="12240" w:orient="landscape" w:code="1"/>
          <w:pgMar w:top="1800" w:right="1440" w:bottom="1800" w:left="1872" w:header="720" w:footer="1440" w:gutter="0"/>
          <w:cols w:space="720"/>
          <w:noEndnote/>
          <w:docGrid w:linePitch="360"/>
        </w:sectPr>
      </w:pPr>
      <w:r w:rsidRPr="003D2D46">
        <w:rPr>
          <w:rFonts w:ascii="Times New Roman" w:hAnsi="Times New Roman" w:cs="Times New Roman"/>
          <w:color w:val="000000" w:themeColor="text1"/>
        </w:rPr>
        <w:br w:type="page"/>
      </w:r>
    </w:p>
    <w:p w14:paraId="5EFAD2BE" w14:textId="4787EB28" w:rsidR="00CF2B3D" w:rsidRPr="003D2D46" w:rsidRDefault="00CF2B3D" w:rsidP="00EE2A89">
      <w:pPr>
        <w:pStyle w:val="Caption"/>
        <w:rPr>
          <w:rFonts w:ascii="Times New Roman" w:hAnsi="Times New Roman" w:cs="Times New Roman"/>
          <w:color w:val="000000" w:themeColor="text1"/>
        </w:rPr>
      </w:pPr>
      <w:bookmarkStart w:id="239" w:name="_Toc83975892"/>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Summary statistics and results of univariable analysis of potential predictors of pertussis risk in Florida</w:t>
      </w:r>
      <w:bookmarkEnd w:id="239"/>
    </w:p>
    <w:tbl>
      <w:tblPr>
        <w:tblW w:w="12434"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767"/>
        <w:gridCol w:w="1057"/>
        <w:gridCol w:w="1146"/>
        <w:gridCol w:w="1146"/>
        <w:gridCol w:w="1411"/>
        <w:gridCol w:w="969"/>
        <w:gridCol w:w="969"/>
        <w:gridCol w:w="969"/>
      </w:tblGrid>
      <w:tr w:rsidR="00396BE3" w:rsidRPr="003D2D46" w14:paraId="7727F455" w14:textId="77777777" w:rsidTr="004F0890">
        <w:trPr>
          <w:trHeight w:val="281"/>
        </w:trPr>
        <w:tc>
          <w:tcPr>
            <w:tcW w:w="4767" w:type="dxa"/>
            <w:tcBorders>
              <w:top w:val="single" w:sz="12" w:space="0" w:color="000000"/>
              <w:left w:val="nil"/>
              <w:bottom w:val="single" w:sz="12" w:space="0" w:color="000000"/>
            </w:tcBorders>
          </w:tcPr>
          <w:p w14:paraId="5773B43D"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Variable</w:t>
            </w:r>
          </w:p>
        </w:tc>
        <w:tc>
          <w:tcPr>
            <w:tcW w:w="1057" w:type="dxa"/>
            <w:tcBorders>
              <w:top w:val="single" w:sz="12" w:space="0" w:color="000000"/>
              <w:bottom w:val="single" w:sz="12" w:space="0" w:color="000000"/>
            </w:tcBorders>
          </w:tcPr>
          <w:p w14:paraId="0CD6739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Median</w:t>
            </w:r>
          </w:p>
        </w:tc>
        <w:tc>
          <w:tcPr>
            <w:tcW w:w="1146" w:type="dxa"/>
            <w:tcBorders>
              <w:top w:val="single" w:sz="12" w:space="0" w:color="000000"/>
              <w:bottom w:val="single" w:sz="12" w:space="0" w:color="000000"/>
            </w:tcBorders>
          </w:tcPr>
          <w:p w14:paraId="1A1DED4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1st Quartile</w:t>
            </w:r>
          </w:p>
        </w:tc>
        <w:tc>
          <w:tcPr>
            <w:tcW w:w="1146" w:type="dxa"/>
            <w:tcBorders>
              <w:top w:val="single" w:sz="12" w:space="0" w:color="000000"/>
              <w:bottom w:val="single" w:sz="12" w:space="0" w:color="000000"/>
            </w:tcBorders>
          </w:tcPr>
          <w:p w14:paraId="0924B32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3rd Quartile</w:t>
            </w:r>
          </w:p>
        </w:tc>
        <w:tc>
          <w:tcPr>
            <w:tcW w:w="1411" w:type="dxa"/>
            <w:tcBorders>
              <w:top w:val="single" w:sz="12" w:space="0" w:color="000000"/>
              <w:bottom w:val="single" w:sz="12" w:space="0" w:color="000000"/>
            </w:tcBorders>
          </w:tcPr>
          <w:p w14:paraId="5FFAC54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Unadjusted Parameter Estimate</w:t>
            </w:r>
          </w:p>
        </w:tc>
        <w:tc>
          <w:tcPr>
            <w:tcW w:w="969" w:type="dxa"/>
            <w:tcBorders>
              <w:top w:val="single" w:sz="12" w:space="0" w:color="000000"/>
              <w:bottom w:val="single" w:sz="12" w:space="0" w:color="000000"/>
            </w:tcBorders>
          </w:tcPr>
          <w:p w14:paraId="326E046A"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Lower 95% CI</w:t>
            </w:r>
          </w:p>
        </w:tc>
        <w:tc>
          <w:tcPr>
            <w:tcW w:w="969" w:type="dxa"/>
            <w:tcBorders>
              <w:top w:val="single" w:sz="12" w:space="0" w:color="000000"/>
              <w:bottom w:val="single" w:sz="12" w:space="0" w:color="000000"/>
            </w:tcBorders>
          </w:tcPr>
          <w:p w14:paraId="41AC1A0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Upper 95% CI</w:t>
            </w:r>
          </w:p>
        </w:tc>
        <w:tc>
          <w:tcPr>
            <w:tcW w:w="969" w:type="dxa"/>
            <w:tcBorders>
              <w:top w:val="single" w:sz="12" w:space="0" w:color="000000"/>
              <w:bottom w:val="single" w:sz="12" w:space="0" w:color="000000"/>
              <w:right w:val="nil"/>
            </w:tcBorders>
          </w:tcPr>
          <w:p w14:paraId="026EFE8C" w14:textId="77777777" w:rsidR="008C52AA" w:rsidRPr="003D2D46" w:rsidRDefault="008C52AA" w:rsidP="004F0890">
            <w:pPr>
              <w:ind w:hanging="99"/>
              <w:jc w:val="center"/>
              <w:rPr>
                <w:rFonts w:ascii="Times New Roman" w:eastAsia="Arial" w:hAnsi="Times New Roman" w:cs="Times New Roman"/>
                <w:b/>
                <w:color w:val="000000" w:themeColor="text1"/>
              </w:rPr>
            </w:pPr>
            <w:bookmarkStart w:id="240" w:name="_heading=h.gjdgxs" w:colFirst="0" w:colLast="0"/>
            <w:bookmarkEnd w:id="240"/>
            <w:r w:rsidRPr="003D2D46">
              <w:rPr>
                <w:rFonts w:ascii="Times New Roman" w:eastAsia="Arial" w:hAnsi="Times New Roman" w:cs="Times New Roman"/>
                <w:b/>
                <w:color w:val="000000" w:themeColor="text1"/>
              </w:rPr>
              <w:t>p-value</w:t>
            </w:r>
          </w:p>
        </w:tc>
      </w:tr>
      <w:tr w:rsidR="00396BE3" w:rsidRPr="003D2D46" w14:paraId="515A5F64" w14:textId="77777777" w:rsidTr="004F0890">
        <w:trPr>
          <w:trHeight w:val="281"/>
        </w:trPr>
        <w:tc>
          <w:tcPr>
            <w:tcW w:w="4767" w:type="dxa"/>
            <w:tcBorders>
              <w:top w:val="single" w:sz="12" w:space="0" w:color="000000"/>
              <w:left w:val="nil"/>
            </w:tcBorders>
          </w:tcPr>
          <w:p w14:paraId="52D558EA"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Less Than High School Education</w:t>
            </w:r>
          </w:p>
        </w:tc>
        <w:tc>
          <w:tcPr>
            <w:tcW w:w="1057" w:type="dxa"/>
            <w:tcBorders>
              <w:top w:val="single" w:sz="12" w:space="0" w:color="000000"/>
            </w:tcBorders>
          </w:tcPr>
          <w:p w14:paraId="5DC0F97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14.5</w:t>
            </w:r>
          </w:p>
        </w:tc>
        <w:tc>
          <w:tcPr>
            <w:tcW w:w="1146" w:type="dxa"/>
            <w:tcBorders>
              <w:top w:val="single" w:sz="12" w:space="0" w:color="000000"/>
            </w:tcBorders>
          </w:tcPr>
          <w:p w14:paraId="4F2F897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11.5</w:t>
            </w:r>
          </w:p>
        </w:tc>
        <w:tc>
          <w:tcPr>
            <w:tcW w:w="1146" w:type="dxa"/>
            <w:tcBorders>
              <w:top w:val="single" w:sz="12" w:space="0" w:color="000000"/>
            </w:tcBorders>
          </w:tcPr>
          <w:p w14:paraId="6DB8C93B"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21.7</w:t>
            </w:r>
          </w:p>
        </w:tc>
        <w:tc>
          <w:tcPr>
            <w:tcW w:w="1411" w:type="dxa"/>
            <w:tcBorders>
              <w:top w:val="single" w:sz="12" w:space="0" w:color="000000"/>
            </w:tcBorders>
          </w:tcPr>
          <w:p w14:paraId="650CCF1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-0.313</w:t>
            </w:r>
          </w:p>
        </w:tc>
        <w:tc>
          <w:tcPr>
            <w:tcW w:w="969" w:type="dxa"/>
            <w:tcBorders>
              <w:top w:val="single" w:sz="12" w:space="0" w:color="000000"/>
            </w:tcBorders>
          </w:tcPr>
          <w:p w14:paraId="3770E27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-0.080</w:t>
            </w:r>
          </w:p>
        </w:tc>
        <w:tc>
          <w:tcPr>
            <w:tcW w:w="969" w:type="dxa"/>
            <w:tcBorders>
              <w:top w:val="single" w:sz="12" w:space="0" w:color="000000"/>
            </w:tcBorders>
          </w:tcPr>
          <w:p w14:paraId="00AC016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-0.011</w:t>
            </w:r>
          </w:p>
        </w:tc>
        <w:tc>
          <w:tcPr>
            <w:tcW w:w="969" w:type="dxa"/>
            <w:tcBorders>
              <w:top w:val="single" w:sz="12" w:space="0" w:color="000000"/>
              <w:right w:val="nil"/>
            </w:tcBorders>
          </w:tcPr>
          <w:p w14:paraId="61BE01D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0.010</w:t>
            </w:r>
          </w:p>
        </w:tc>
      </w:tr>
      <w:tr w:rsidR="00396BE3" w:rsidRPr="003D2D46" w14:paraId="6A4AA97F" w14:textId="77777777" w:rsidTr="004F0890">
        <w:trPr>
          <w:trHeight w:val="281"/>
        </w:trPr>
        <w:tc>
          <w:tcPr>
            <w:tcW w:w="4767" w:type="dxa"/>
            <w:tcBorders>
              <w:left w:val="nil"/>
            </w:tcBorders>
          </w:tcPr>
          <w:p w14:paraId="130A580C"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High School Education</w:t>
            </w:r>
          </w:p>
        </w:tc>
        <w:tc>
          <w:tcPr>
            <w:tcW w:w="1057" w:type="dxa"/>
          </w:tcPr>
          <w:p w14:paraId="0EE07A3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34.3</w:t>
            </w:r>
          </w:p>
        </w:tc>
        <w:tc>
          <w:tcPr>
            <w:tcW w:w="1146" w:type="dxa"/>
          </w:tcPr>
          <w:p w14:paraId="54BE1A4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28.9</w:t>
            </w:r>
          </w:p>
        </w:tc>
        <w:tc>
          <w:tcPr>
            <w:tcW w:w="1146" w:type="dxa"/>
          </w:tcPr>
          <w:p w14:paraId="1C02DE6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37.5</w:t>
            </w:r>
          </w:p>
        </w:tc>
        <w:tc>
          <w:tcPr>
            <w:tcW w:w="1411" w:type="dxa"/>
          </w:tcPr>
          <w:p w14:paraId="351AC94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-0.258</w:t>
            </w:r>
          </w:p>
        </w:tc>
        <w:tc>
          <w:tcPr>
            <w:tcW w:w="969" w:type="dxa"/>
          </w:tcPr>
          <w:p w14:paraId="5FA82A3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-0.090</w:t>
            </w:r>
          </w:p>
        </w:tc>
        <w:tc>
          <w:tcPr>
            <w:tcW w:w="969" w:type="dxa"/>
          </w:tcPr>
          <w:p w14:paraId="51686B2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-0.003</w:t>
            </w:r>
          </w:p>
        </w:tc>
        <w:tc>
          <w:tcPr>
            <w:tcW w:w="969" w:type="dxa"/>
            <w:tcBorders>
              <w:right w:val="nil"/>
            </w:tcBorders>
          </w:tcPr>
          <w:p w14:paraId="2DE2A11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0.035</w:t>
            </w:r>
          </w:p>
        </w:tc>
      </w:tr>
      <w:tr w:rsidR="00396BE3" w:rsidRPr="003D2D46" w14:paraId="6D938168" w14:textId="77777777" w:rsidTr="004F0890">
        <w:trPr>
          <w:trHeight w:val="281"/>
        </w:trPr>
        <w:tc>
          <w:tcPr>
            <w:tcW w:w="4767" w:type="dxa"/>
            <w:tcBorders>
              <w:left w:val="nil"/>
            </w:tcBorders>
          </w:tcPr>
          <w:p w14:paraId="4D556B8A"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College Education</w:t>
            </w:r>
          </w:p>
        </w:tc>
        <w:tc>
          <w:tcPr>
            <w:tcW w:w="1057" w:type="dxa"/>
          </w:tcPr>
          <w:p w14:paraId="610B776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18.6</w:t>
            </w:r>
          </w:p>
        </w:tc>
        <w:tc>
          <w:tcPr>
            <w:tcW w:w="1146" w:type="dxa"/>
          </w:tcPr>
          <w:p w14:paraId="0FEFB3C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11.4</w:t>
            </w:r>
          </w:p>
        </w:tc>
        <w:tc>
          <w:tcPr>
            <w:tcW w:w="1146" w:type="dxa"/>
          </w:tcPr>
          <w:p w14:paraId="79D1D16E"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26.7</w:t>
            </w:r>
          </w:p>
        </w:tc>
        <w:tc>
          <w:tcPr>
            <w:tcW w:w="1411" w:type="dxa"/>
          </w:tcPr>
          <w:p w14:paraId="015C62E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0.269</w:t>
            </w:r>
          </w:p>
        </w:tc>
        <w:tc>
          <w:tcPr>
            <w:tcW w:w="969" w:type="dxa"/>
          </w:tcPr>
          <w:p w14:paraId="5049CCDE"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0.003</w:t>
            </w:r>
          </w:p>
        </w:tc>
        <w:tc>
          <w:tcPr>
            <w:tcW w:w="969" w:type="dxa"/>
          </w:tcPr>
          <w:p w14:paraId="3A4541E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0.056</w:t>
            </w:r>
          </w:p>
        </w:tc>
        <w:tc>
          <w:tcPr>
            <w:tcW w:w="969" w:type="dxa"/>
            <w:tcBorders>
              <w:right w:val="nil"/>
            </w:tcBorders>
          </w:tcPr>
          <w:p w14:paraId="0DFE3DB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0.028</w:t>
            </w:r>
          </w:p>
        </w:tc>
      </w:tr>
      <w:tr w:rsidR="00396BE3" w:rsidRPr="003D2D46" w14:paraId="0B7522C5" w14:textId="77777777" w:rsidTr="004F0890">
        <w:trPr>
          <w:trHeight w:val="281"/>
        </w:trPr>
        <w:tc>
          <w:tcPr>
            <w:tcW w:w="4767" w:type="dxa"/>
            <w:tcBorders>
              <w:left w:val="nil"/>
            </w:tcBorders>
          </w:tcPr>
          <w:p w14:paraId="4ED85563"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White, non-Hispanic</w:t>
            </w:r>
          </w:p>
        </w:tc>
        <w:tc>
          <w:tcPr>
            <w:tcW w:w="1057" w:type="dxa"/>
          </w:tcPr>
          <w:p w14:paraId="5C50924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83.0</w:t>
            </w:r>
          </w:p>
        </w:tc>
        <w:tc>
          <w:tcPr>
            <w:tcW w:w="1146" w:type="dxa"/>
          </w:tcPr>
          <w:p w14:paraId="1A097DE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77.8</w:t>
            </w:r>
          </w:p>
        </w:tc>
        <w:tc>
          <w:tcPr>
            <w:tcW w:w="1146" w:type="dxa"/>
          </w:tcPr>
          <w:p w14:paraId="79309A6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87.6</w:t>
            </w:r>
          </w:p>
        </w:tc>
        <w:tc>
          <w:tcPr>
            <w:tcW w:w="1411" w:type="dxa"/>
          </w:tcPr>
          <w:p w14:paraId="58A143A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0.094</w:t>
            </w:r>
          </w:p>
        </w:tc>
        <w:tc>
          <w:tcPr>
            <w:tcW w:w="969" w:type="dxa"/>
          </w:tcPr>
          <w:p w14:paraId="3DAE3C4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-0.016</w:t>
            </w:r>
          </w:p>
        </w:tc>
        <w:tc>
          <w:tcPr>
            <w:tcW w:w="969" w:type="dxa"/>
          </w:tcPr>
          <w:p w14:paraId="604A85D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0.035</w:t>
            </w:r>
          </w:p>
        </w:tc>
        <w:tc>
          <w:tcPr>
            <w:tcW w:w="969" w:type="dxa"/>
            <w:tcBorders>
              <w:right w:val="nil"/>
            </w:tcBorders>
          </w:tcPr>
          <w:p w14:paraId="25FD8F7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0.449</w:t>
            </w:r>
          </w:p>
        </w:tc>
      </w:tr>
      <w:tr w:rsidR="00396BE3" w:rsidRPr="003D2D46" w14:paraId="29511BBF" w14:textId="77777777" w:rsidTr="004F0890">
        <w:trPr>
          <w:trHeight w:val="281"/>
        </w:trPr>
        <w:tc>
          <w:tcPr>
            <w:tcW w:w="4767" w:type="dxa"/>
            <w:tcBorders>
              <w:left w:val="nil"/>
            </w:tcBorders>
          </w:tcPr>
          <w:p w14:paraId="27C399F0"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Black, non-Hispanic</w:t>
            </w:r>
          </w:p>
        </w:tc>
        <w:tc>
          <w:tcPr>
            <w:tcW w:w="1057" w:type="dxa"/>
          </w:tcPr>
          <w:p w14:paraId="15F552C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13.1</w:t>
            </w:r>
          </w:p>
        </w:tc>
        <w:tc>
          <w:tcPr>
            <w:tcW w:w="1146" w:type="dxa"/>
          </w:tcPr>
          <w:p w14:paraId="7F752D7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8.6</w:t>
            </w:r>
          </w:p>
        </w:tc>
        <w:tc>
          <w:tcPr>
            <w:tcW w:w="1146" w:type="dxa"/>
          </w:tcPr>
          <w:p w14:paraId="4D5D857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19.1</w:t>
            </w:r>
          </w:p>
        </w:tc>
        <w:tc>
          <w:tcPr>
            <w:tcW w:w="1411" w:type="dxa"/>
          </w:tcPr>
          <w:p w14:paraId="17D62DA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-0.116</w:t>
            </w:r>
          </w:p>
        </w:tc>
        <w:tc>
          <w:tcPr>
            <w:tcW w:w="969" w:type="dxa"/>
          </w:tcPr>
          <w:p w14:paraId="0EA1359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-0.038</w:t>
            </w:r>
          </w:p>
        </w:tc>
        <w:tc>
          <w:tcPr>
            <w:tcW w:w="969" w:type="dxa"/>
          </w:tcPr>
          <w:p w14:paraId="5991628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0.014</w:t>
            </w:r>
          </w:p>
        </w:tc>
        <w:tc>
          <w:tcPr>
            <w:tcW w:w="969" w:type="dxa"/>
            <w:tcBorders>
              <w:right w:val="nil"/>
            </w:tcBorders>
          </w:tcPr>
          <w:p w14:paraId="397DC73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0.351</w:t>
            </w:r>
          </w:p>
        </w:tc>
      </w:tr>
      <w:tr w:rsidR="00396BE3" w:rsidRPr="003D2D46" w14:paraId="66908A87" w14:textId="77777777" w:rsidTr="004F0890">
        <w:trPr>
          <w:trHeight w:val="281"/>
        </w:trPr>
        <w:tc>
          <w:tcPr>
            <w:tcW w:w="4767" w:type="dxa"/>
            <w:tcBorders>
              <w:left w:val="nil"/>
            </w:tcBorders>
          </w:tcPr>
          <w:p w14:paraId="27A224C9"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Hispanic</w:t>
            </w:r>
          </w:p>
        </w:tc>
        <w:tc>
          <w:tcPr>
            <w:tcW w:w="1057" w:type="dxa"/>
          </w:tcPr>
          <w:p w14:paraId="126A07EB"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8.65</w:t>
            </w:r>
          </w:p>
        </w:tc>
        <w:tc>
          <w:tcPr>
            <w:tcW w:w="1146" w:type="dxa"/>
          </w:tcPr>
          <w:p w14:paraId="08BE6E2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5.29</w:t>
            </w:r>
          </w:p>
        </w:tc>
        <w:tc>
          <w:tcPr>
            <w:tcW w:w="1146" w:type="dxa"/>
          </w:tcPr>
          <w:p w14:paraId="0C93C4D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18.1</w:t>
            </w:r>
          </w:p>
        </w:tc>
        <w:tc>
          <w:tcPr>
            <w:tcW w:w="1411" w:type="dxa"/>
          </w:tcPr>
          <w:p w14:paraId="1BF2AE8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0.040</w:t>
            </w:r>
          </w:p>
        </w:tc>
        <w:tc>
          <w:tcPr>
            <w:tcW w:w="969" w:type="dxa"/>
          </w:tcPr>
          <w:p w14:paraId="481DCBF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-0.017</w:t>
            </w:r>
          </w:p>
        </w:tc>
        <w:tc>
          <w:tcPr>
            <w:tcW w:w="969" w:type="dxa"/>
          </w:tcPr>
          <w:p w14:paraId="3A262CDA"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0.023</w:t>
            </w:r>
          </w:p>
        </w:tc>
        <w:tc>
          <w:tcPr>
            <w:tcW w:w="969" w:type="dxa"/>
            <w:tcBorders>
              <w:right w:val="nil"/>
            </w:tcBorders>
          </w:tcPr>
          <w:p w14:paraId="65937F8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0.751</w:t>
            </w:r>
          </w:p>
        </w:tc>
      </w:tr>
      <w:tr w:rsidR="00396BE3" w:rsidRPr="003D2D46" w14:paraId="05F3CE69" w14:textId="77777777" w:rsidTr="004F0890">
        <w:trPr>
          <w:trHeight w:val="281"/>
        </w:trPr>
        <w:tc>
          <w:tcPr>
            <w:tcW w:w="4767" w:type="dxa"/>
            <w:tcBorders>
              <w:left w:val="nil"/>
            </w:tcBorders>
          </w:tcPr>
          <w:p w14:paraId="521F3C20"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Male</w:t>
            </w:r>
          </w:p>
        </w:tc>
        <w:tc>
          <w:tcPr>
            <w:tcW w:w="1057" w:type="dxa"/>
          </w:tcPr>
          <w:p w14:paraId="135284B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49.4</w:t>
            </w:r>
          </w:p>
        </w:tc>
        <w:tc>
          <w:tcPr>
            <w:tcW w:w="1146" w:type="dxa"/>
          </w:tcPr>
          <w:p w14:paraId="5FBA72AA"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48.6</w:t>
            </w:r>
          </w:p>
        </w:tc>
        <w:tc>
          <w:tcPr>
            <w:tcW w:w="1146" w:type="dxa"/>
          </w:tcPr>
          <w:p w14:paraId="0ECDCC3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53.3</w:t>
            </w:r>
          </w:p>
        </w:tc>
        <w:tc>
          <w:tcPr>
            <w:tcW w:w="1411" w:type="dxa"/>
          </w:tcPr>
          <w:p w14:paraId="081FEF0A"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-0.494</w:t>
            </w:r>
          </w:p>
        </w:tc>
        <w:tc>
          <w:tcPr>
            <w:tcW w:w="969" w:type="dxa"/>
          </w:tcPr>
          <w:p w14:paraId="4C2207AE"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-0.184</w:t>
            </w:r>
          </w:p>
        </w:tc>
        <w:tc>
          <w:tcPr>
            <w:tcW w:w="969" w:type="dxa"/>
          </w:tcPr>
          <w:p w14:paraId="508D8F2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-0.072</w:t>
            </w:r>
          </w:p>
        </w:tc>
        <w:tc>
          <w:tcPr>
            <w:tcW w:w="969" w:type="dxa"/>
            <w:tcBorders>
              <w:right w:val="nil"/>
            </w:tcBorders>
          </w:tcPr>
          <w:p w14:paraId="61B8B48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0.00</w:t>
            </w:r>
          </w:p>
        </w:tc>
      </w:tr>
      <w:tr w:rsidR="00396BE3" w:rsidRPr="003D2D46" w14:paraId="2906EA1B" w14:textId="77777777" w:rsidTr="004F0890">
        <w:trPr>
          <w:trHeight w:val="281"/>
        </w:trPr>
        <w:tc>
          <w:tcPr>
            <w:tcW w:w="4767" w:type="dxa"/>
            <w:tcBorders>
              <w:left w:val="nil"/>
            </w:tcBorders>
          </w:tcPr>
          <w:p w14:paraId="75423A4E"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Female</w:t>
            </w:r>
          </w:p>
        </w:tc>
        <w:tc>
          <w:tcPr>
            <w:tcW w:w="1057" w:type="dxa"/>
          </w:tcPr>
          <w:p w14:paraId="08C3A9F7"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50.6</w:t>
            </w:r>
          </w:p>
        </w:tc>
        <w:tc>
          <w:tcPr>
            <w:tcW w:w="1146" w:type="dxa"/>
          </w:tcPr>
          <w:p w14:paraId="555C244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46.7</w:t>
            </w:r>
          </w:p>
        </w:tc>
        <w:tc>
          <w:tcPr>
            <w:tcW w:w="1146" w:type="dxa"/>
          </w:tcPr>
          <w:p w14:paraId="4AE960F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51.4</w:t>
            </w:r>
          </w:p>
        </w:tc>
        <w:tc>
          <w:tcPr>
            <w:tcW w:w="1411" w:type="dxa"/>
          </w:tcPr>
          <w:p w14:paraId="76397FA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0.494</w:t>
            </w:r>
          </w:p>
        </w:tc>
        <w:tc>
          <w:tcPr>
            <w:tcW w:w="969" w:type="dxa"/>
          </w:tcPr>
          <w:p w14:paraId="16E4068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0.072</w:t>
            </w:r>
          </w:p>
        </w:tc>
        <w:tc>
          <w:tcPr>
            <w:tcW w:w="969" w:type="dxa"/>
          </w:tcPr>
          <w:p w14:paraId="44DB84D2"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0.184</w:t>
            </w:r>
          </w:p>
        </w:tc>
        <w:tc>
          <w:tcPr>
            <w:tcW w:w="969" w:type="dxa"/>
            <w:tcBorders>
              <w:right w:val="nil"/>
            </w:tcBorders>
          </w:tcPr>
          <w:p w14:paraId="348337F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0.00</w:t>
            </w:r>
          </w:p>
        </w:tc>
      </w:tr>
      <w:tr w:rsidR="00396BE3" w:rsidRPr="003D2D46" w14:paraId="4BBBAB36" w14:textId="77777777" w:rsidTr="004F0890">
        <w:trPr>
          <w:trHeight w:val="281"/>
        </w:trPr>
        <w:tc>
          <w:tcPr>
            <w:tcW w:w="4767" w:type="dxa"/>
            <w:tcBorders>
              <w:left w:val="nil"/>
            </w:tcBorders>
          </w:tcPr>
          <w:p w14:paraId="094FCC74"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Unemployed</w:t>
            </w:r>
          </w:p>
        </w:tc>
        <w:tc>
          <w:tcPr>
            <w:tcW w:w="1057" w:type="dxa"/>
          </w:tcPr>
          <w:p w14:paraId="55632BE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6.6</w:t>
            </w:r>
          </w:p>
        </w:tc>
        <w:tc>
          <w:tcPr>
            <w:tcW w:w="1146" w:type="dxa"/>
          </w:tcPr>
          <w:p w14:paraId="5898D5E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5.8</w:t>
            </w:r>
          </w:p>
        </w:tc>
        <w:tc>
          <w:tcPr>
            <w:tcW w:w="1146" w:type="dxa"/>
          </w:tcPr>
          <w:p w14:paraId="7A52B83C"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7.2</w:t>
            </w:r>
          </w:p>
        </w:tc>
        <w:tc>
          <w:tcPr>
            <w:tcW w:w="1411" w:type="dxa"/>
          </w:tcPr>
          <w:p w14:paraId="5272D44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-0.133</w:t>
            </w:r>
          </w:p>
        </w:tc>
        <w:tc>
          <w:tcPr>
            <w:tcW w:w="969" w:type="dxa"/>
          </w:tcPr>
          <w:p w14:paraId="1A4672A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-0.334</w:t>
            </w:r>
          </w:p>
        </w:tc>
        <w:tc>
          <w:tcPr>
            <w:tcW w:w="969" w:type="dxa"/>
          </w:tcPr>
          <w:p w14:paraId="1BA90F6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0.099</w:t>
            </w:r>
          </w:p>
        </w:tc>
        <w:tc>
          <w:tcPr>
            <w:tcW w:w="969" w:type="dxa"/>
            <w:tcBorders>
              <w:right w:val="nil"/>
            </w:tcBorders>
          </w:tcPr>
          <w:p w14:paraId="3FC034F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0.282</w:t>
            </w:r>
          </w:p>
        </w:tc>
      </w:tr>
      <w:tr w:rsidR="00396BE3" w:rsidRPr="003D2D46" w14:paraId="547EBF1F" w14:textId="77777777" w:rsidTr="004F0890">
        <w:trPr>
          <w:trHeight w:val="281"/>
        </w:trPr>
        <w:tc>
          <w:tcPr>
            <w:tcW w:w="4767" w:type="dxa"/>
            <w:tcBorders>
              <w:left w:val="nil"/>
            </w:tcBorders>
          </w:tcPr>
          <w:p w14:paraId="79A41027"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hAnsi="Times New Roman" w:cs="Times New Roman"/>
                <w:color w:val="000000" w:themeColor="text1"/>
              </w:rPr>
              <w:t>Uninsured</w:t>
            </w:r>
          </w:p>
        </w:tc>
        <w:tc>
          <w:tcPr>
            <w:tcW w:w="1057" w:type="dxa"/>
          </w:tcPr>
          <w:p w14:paraId="260CAAB2"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18.1</w:t>
            </w:r>
          </w:p>
        </w:tc>
        <w:tc>
          <w:tcPr>
            <w:tcW w:w="1146" w:type="dxa"/>
          </w:tcPr>
          <w:p w14:paraId="4EFD325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15.6</w:t>
            </w:r>
          </w:p>
        </w:tc>
        <w:tc>
          <w:tcPr>
            <w:tcW w:w="1146" w:type="dxa"/>
          </w:tcPr>
          <w:p w14:paraId="628074D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21.1</w:t>
            </w:r>
          </w:p>
        </w:tc>
        <w:tc>
          <w:tcPr>
            <w:tcW w:w="1411" w:type="dxa"/>
          </w:tcPr>
          <w:p w14:paraId="750E478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-0.224</w:t>
            </w:r>
          </w:p>
        </w:tc>
        <w:tc>
          <w:tcPr>
            <w:tcW w:w="969" w:type="dxa"/>
          </w:tcPr>
          <w:p w14:paraId="3FDAB21A"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-0.106</w:t>
            </w:r>
          </w:p>
        </w:tc>
        <w:tc>
          <w:tcPr>
            <w:tcW w:w="969" w:type="dxa"/>
          </w:tcPr>
          <w:p w14:paraId="43EF61CB"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0.004</w:t>
            </w:r>
          </w:p>
        </w:tc>
        <w:tc>
          <w:tcPr>
            <w:tcW w:w="969" w:type="dxa"/>
            <w:tcBorders>
              <w:right w:val="nil"/>
            </w:tcBorders>
          </w:tcPr>
          <w:p w14:paraId="5187742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0.069</w:t>
            </w:r>
          </w:p>
        </w:tc>
      </w:tr>
      <w:tr w:rsidR="00396BE3" w:rsidRPr="003D2D46" w14:paraId="3452A7FD" w14:textId="77777777" w:rsidTr="004F0890">
        <w:trPr>
          <w:trHeight w:val="281"/>
        </w:trPr>
        <w:tc>
          <w:tcPr>
            <w:tcW w:w="4767" w:type="dxa"/>
            <w:tcBorders>
              <w:left w:val="nil"/>
            </w:tcBorders>
          </w:tcPr>
          <w:p w14:paraId="1D76FDC0"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Family Below Poverty Line</w:t>
            </w:r>
          </w:p>
        </w:tc>
        <w:tc>
          <w:tcPr>
            <w:tcW w:w="1057" w:type="dxa"/>
          </w:tcPr>
          <w:p w14:paraId="78F1816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12.8</w:t>
            </w:r>
          </w:p>
        </w:tc>
        <w:tc>
          <w:tcPr>
            <w:tcW w:w="1146" w:type="dxa"/>
          </w:tcPr>
          <w:p w14:paraId="63FDE6F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10.1</w:t>
            </w:r>
          </w:p>
        </w:tc>
        <w:tc>
          <w:tcPr>
            <w:tcW w:w="1146" w:type="dxa"/>
          </w:tcPr>
          <w:p w14:paraId="1E91911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16.9</w:t>
            </w:r>
          </w:p>
        </w:tc>
        <w:tc>
          <w:tcPr>
            <w:tcW w:w="1411" w:type="dxa"/>
          </w:tcPr>
          <w:p w14:paraId="51778AD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-0.164</w:t>
            </w:r>
          </w:p>
        </w:tc>
        <w:tc>
          <w:tcPr>
            <w:tcW w:w="969" w:type="dxa"/>
          </w:tcPr>
          <w:p w14:paraId="7215A355"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-0.087</w:t>
            </w:r>
          </w:p>
        </w:tc>
        <w:tc>
          <w:tcPr>
            <w:tcW w:w="969" w:type="dxa"/>
          </w:tcPr>
          <w:p w14:paraId="4327D62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0.017</w:t>
            </w:r>
          </w:p>
        </w:tc>
        <w:tc>
          <w:tcPr>
            <w:tcW w:w="969" w:type="dxa"/>
            <w:tcBorders>
              <w:right w:val="nil"/>
            </w:tcBorders>
          </w:tcPr>
          <w:p w14:paraId="6A50AEE6"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0.184</w:t>
            </w:r>
          </w:p>
        </w:tc>
      </w:tr>
      <w:tr w:rsidR="00396BE3" w:rsidRPr="003D2D46" w14:paraId="0361DBCD" w14:textId="77777777" w:rsidTr="004F0890">
        <w:trPr>
          <w:trHeight w:val="281"/>
        </w:trPr>
        <w:tc>
          <w:tcPr>
            <w:tcW w:w="4767" w:type="dxa"/>
            <w:tcBorders>
              <w:left w:val="nil"/>
            </w:tcBorders>
          </w:tcPr>
          <w:p w14:paraId="6203671B"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Individuals Below Poverty Line</w:t>
            </w:r>
          </w:p>
        </w:tc>
        <w:tc>
          <w:tcPr>
            <w:tcW w:w="1057" w:type="dxa"/>
          </w:tcPr>
          <w:p w14:paraId="37975A9D"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17.7</w:t>
            </w:r>
          </w:p>
        </w:tc>
        <w:tc>
          <w:tcPr>
            <w:tcW w:w="1146" w:type="dxa"/>
          </w:tcPr>
          <w:p w14:paraId="447C10C7"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14.3</w:t>
            </w:r>
          </w:p>
        </w:tc>
        <w:tc>
          <w:tcPr>
            <w:tcW w:w="1146" w:type="dxa"/>
          </w:tcPr>
          <w:p w14:paraId="669C70A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22.5</w:t>
            </w:r>
          </w:p>
        </w:tc>
        <w:tc>
          <w:tcPr>
            <w:tcW w:w="1411" w:type="dxa"/>
          </w:tcPr>
          <w:p w14:paraId="1A9B29D0"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-0.145</w:t>
            </w:r>
          </w:p>
        </w:tc>
        <w:tc>
          <w:tcPr>
            <w:tcW w:w="969" w:type="dxa"/>
          </w:tcPr>
          <w:p w14:paraId="4D9FD44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-0.075</w:t>
            </w:r>
          </w:p>
        </w:tc>
        <w:tc>
          <w:tcPr>
            <w:tcW w:w="969" w:type="dxa"/>
          </w:tcPr>
          <w:p w14:paraId="07A0493F"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0.019</w:t>
            </w:r>
          </w:p>
        </w:tc>
        <w:tc>
          <w:tcPr>
            <w:tcW w:w="969" w:type="dxa"/>
            <w:tcBorders>
              <w:right w:val="nil"/>
            </w:tcBorders>
          </w:tcPr>
          <w:p w14:paraId="2B269D00"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0.24</w:t>
            </w:r>
          </w:p>
        </w:tc>
      </w:tr>
      <w:tr w:rsidR="00396BE3" w:rsidRPr="003D2D46" w14:paraId="0861AAF9" w14:textId="77777777" w:rsidTr="004F0890">
        <w:trPr>
          <w:trHeight w:val="281"/>
        </w:trPr>
        <w:tc>
          <w:tcPr>
            <w:tcW w:w="4767" w:type="dxa"/>
            <w:tcBorders>
              <w:left w:val="nil"/>
            </w:tcBorders>
          </w:tcPr>
          <w:p w14:paraId="5C39EFEF"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Primary Care Providers (per 100,000)</w:t>
            </w:r>
          </w:p>
        </w:tc>
        <w:tc>
          <w:tcPr>
            <w:tcW w:w="1057" w:type="dxa"/>
          </w:tcPr>
          <w:p w14:paraId="35B680F6"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48.0</w:t>
            </w:r>
          </w:p>
        </w:tc>
        <w:tc>
          <w:tcPr>
            <w:tcW w:w="1146" w:type="dxa"/>
          </w:tcPr>
          <w:p w14:paraId="357E2EBE"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28.0</w:t>
            </w:r>
          </w:p>
        </w:tc>
        <w:tc>
          <w:tcPr>
            <w:tcW w:w="1146" w:type="dxa"/>
          </w:tcPr>
          <w:p w14:paraId="44D3EC8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68.0</w:t>
            </w:r>
          </w:p>
        </w:tc>
        <w:tc>
          <w:tcPr>
            <w:tcW w:w="1411" w:type="dxa"/>
          </w:tcPr>
          <w:p w14:paraId="112648D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0.305</w:t>
            </w:r>
          </w:p>
        </w:tc>
        <w:tc>
          <w:tcPr>
            <w:tcW w:w="969" w:type="dxa"/>
          </w:tcPr>
          <w:p w14:paraId="04C550B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0.003</w:t>
            </w:r>
          </w:p>
        </w:tc>
        <w:tc>
          <w:tcPr>
            <w:tcW w:w="969" w:type="dxa"/>
          </w:tcPr>
          <w:p w14:paraId="20B6A346"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0.021</w:t>
            </w:r>
          </w:p>
        </w:tc>
        <w:tc>
          <w:tcPr>
            <w:tcW w:w="969" w:type="dxa"/>
            <w:tcBorders>
              <w:right w:val="nil"/>
            </w:tcBorders>
          </w:tcPr>
          <w:p w14:paraId="19A274A5"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0.012</w:t>
            </w:r>
          </w:p>
        </w:tc>
      </w:tr>
      <w:tr w:rsidR="00396BE3" w:rsidRPr="003D2D46" w14:paraId="6D0DA696" w14:textId="77777777" w:rsidTr="004F0890">
        <w:trPr>
          <w:trHeight w:val="281"/>
        </w:trPr>
        <w:tc>
          <w:tcPr>
            <w:tcW w:w="4767" w:type="dxa"/>
            <w:tcBorders>
              <w:left w:val="nil"/>
            </w:tcBorders>
          </w:tcPr>
          <w:p w14:paraId="25E8BB72"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Living in Rural Area</w:t>
            </w:r>
          </w:p>
        </w:tc>
        <w:tc>
          <w:tcPr>
            <w:tcW w:w="1057" w:type="dxa"/>
          </w:tcPr>
          <w:p w14:paraId="6C6BC599"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23.8</w:t>
            </w:r>
          </w:p>
        </w:tc>
        <w:tc>
          <w:tcPr>
            <w:tcW w:w="1146" w:type="dxa"/>
          </w:tcPr>
          <w:p w14:paraId="7D887FD4"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8.5</w:t>
            </w:r>
          </w:p>
        </w:tc>
        <w:tc>
          <w:tcPr>
            <w:tcW w:w="1146" w:type="dxa"/>
          </w:tcPr>
          <w:p w14:paraId="789CF4F4"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67.5</w:t>
            </w:r>
          </w:p>
        </w:tc>
        <w:tc>
          <w:tcPr>
            <w:tcW w:w="1411" w:type="dxa"/>
          </w:tcPr>
          <w:p w14:paraId="386E281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-0.256</w:t>
            </w:r>
          </w:p>
        </w:tc>
        <w:tc>
          <w:tcPr>
            <w:tcW w:w="969" w:type="dxa"/>
          </w:tcPr>
          <w:p w14:paraId="75056A33"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-0.015</w:t>
            </w:r>
          </w:p>
        </w:tc>
        <w:tc>
          <w:tcPr>
            <w:tcW w:w="969" w:type="dxa"/>
          </w:tcPr>
          <w:p w14:paraId="6BC810E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-0.001</w:t>
            </w:r>
          </w:p>
        </w:tc>
        <w:tc>
          <w:tcPr>
            <w:tcW w:w="969" w:type="dxa"/>
            <w:tcBorders>
              <w:right w:val="nil"/>
            </w:tcBorders>
          </w:tcPr>
          <w:p w14:paraId="753E2B3D"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0.036</w:t>
            </w:r>
          </w:p>
        </w:tc>
      </w:tr>
      <w:tr w:rsidR="00396BE3" w:rsidRPr="003D2D46" w14:paraId="534ECD40" w14:textId="77777777" w:rsidTr="004F0890">
        <w:trPr>
          <w:trHeight w:val="281"/>
        </w:trPr>
        <w:tc>
          <w:tcPr>
            <w:tcW w:w="4767" w:type="dxa"/>
            <w:tcBorders>
              <w:left w:val="nil"/>
            </w:tcBorders>
          </w:tcPr>
          <w:p w14:paraId="3FBCCA32"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Rural County (Yes or No) </w:t>
            </w:r>
          </w:p>
        </w:tc>
        <w:tc>
          <w:tcPr>
            <w:tcW w:w="1057" w:type="dxa"/>
          </w:tcPr>
          <w:p w14:paraId="48A5A3D3"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c>
          <w:tcPr>
            <w:tcW w:w="1146" w:type="dxa"/>
          </w:tcPr>
          <w:p w14:paraId="158AB052"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c>
          <w:tcPr>
            <w:tcW w:w="1146" w:type="dxa"/>
          </w:tcPr>
          <w:p w14:paraId="049AE507"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w:t>
            </w:r>
          </w:p>
        </w:tc>
        <w:tc>
          <w:tcPr>
            <w:tcW w:w="1411" w:type="dxa"/>
          </w:tcPr>
          <w:p w14:paraId="4550E99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-0.254</w:t>
            </w:r>
          </w:p>
        </w:tc>
        <w:tc>
          <w:tcPr>
            <w:tcW w:w="969" w:type="dxa"/>
          </w:tcPr>
          <w:p w14:paraId="4C1E8B4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-0.978</w:t>
            </w:r>
          </w:p>
        </w:tc>
        <w:tc>
          <w:tcPr>
            <w:tcW w:w="969" w:type="dxa"/>
          </w:tcPr>
          <w:p w14:paraId="4AD287A0"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-0.028</w:t>
            </w:r>
          </w:p>
        </w:tc>
        <w:tc>
          <w:tcPr>
            <w:tcW w:w="969" w:type="dxa"/>
            <w:tcBorders>
              <w:right w:val="nil"/>
            </w:tcBorders>
          </w:tcPr>
          <w:p w14:paraId="09A9D4A1"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0.038</w:t>
            </w:r>
          </w:p>
        </w:tc>
      </w:tr>
      <w:tr w:rsidR="00396BE3" w:rsidRPr="003D2D46" w14:paraId="407B0C14" w14:textId="77777777" w:rsidTr="004F0890">
        <w:trPr>
          <w:trHeight w:val="281"/>
        </w:trPr>
        <w:tc>
          <w:tcPr>
            <w:tcW w:w="4767" w:type="dxa"/>
            <w:tcBorders>
              <w:left w:val="nil"/>
            </w:tcBorders>
          </w:tcPr>
          <w:p w14:paraId="1124E2E6"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xml:space="preserve">Median Income </w:t>
            </w:r>
          </w:p>
        </w:tc>
        <w:tc>
          <w:tcPr>
            <w:tcW w:w="1057" w:type="dxa"/>
          </w:tcPr>
          <w:p w14:paraId="4F215271"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43063</w:t>
            </w:r>
          </w:p>
        </w:tc>
        <w:tc>
          <w:tcPr>
            <w:tcW w:w="1146" w:type="dxa"/>
          </w:tcPr>
          <w:p w14:paraId="4C649E6E"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36907</w:t>
            </w:r>
          </w:p>
        </w:tc>
        <w:tc>
          <w:tcPr>
            <w:tcW w:w="1146" w:type="dxa"/>
          </w:tcPr>
          <w:p w14:paraId="4B1EB295"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48483</w:t>
            </w:r>
          </w:p>
        </w:tc>
        <w:tc>
          <w:tcPr>
            <w:tcW w:w="1411" w:type="dxa"/>
          </w:tcPr>
          <w:p w14:paraId="73B5E90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0.307</w:t>
            </w:r>
          </w:p>
        </w:tc>
        <w:tc>
          <w:tcPr>
            <w:tcW w:w="969" w:type="dxa"/>
          </w:tcPr>
          <w:p w14:paraId="24BA794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0.095</w:t>
            </w:r>
          </w:p>
        </w:tc>
        <w:tc>
          <w:tcPr>
            <w:tcW w:w="969" w:type="dxa"/>
          </w:tcPr>
          <w:p w14:paraId="20CB85D1"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0.719</w:t>
            </w:r>
          </w:p>
        </w:tc>
        <w:tc>
          <w:tcPr>
            <w:tcW w:w="969" w:type="dxa"/>
            <w:tcBorders>
              <w:right w:val="nil"/>
            </w:tcBorders>
          </w:tcPr>
          <w:p w14:paraId="3AD9616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0.011</w:t>
            </w:r>
          </w:p>
        </w:tc>
      </w:tr>
      <w:tr w:rsidR="00396BE3" w:rsidRPr="003D2D46" w14:paraId="3D6F9BFC" w14:textId="77777777" w:rsidTr="004F0890">
        <w:trPr>
          <w:trHeight w:val="281"/>
        </w:trPr>
        <w:tc>
          <w:tcPr>
            <w:tcW w:w="4767" w:type="dxa"/>
            <w:tcBorders>
              <w:left w:val="nil"/>
            </w:tcBorders>
          </w:tcPr>
          <w:p w14:paraId="4B8B3CAC"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K-7</w:t>
            </w:r>
            <w:r w:rsidRPr="003D2D46">
              <w:rPr>
                <w:rFonts w:ascii="Times New Roman" w:hAnsi="Times New Roman" w:cs="Times New Roman"/>
                <w:color w:val="000000" w:themeColor="text1"/>
                <w:vertAlign w:val="superscript"/>
              </w:rPr>
              <w:t>th</w:t>
            </w:r>
            <w:r w:rsidRPr="003D2D46">
              <w:rPr>
                <w:rFonts w:ascii="Times New Roman" w:hAnsi="Times New Roman" w:cs="Times New Roman"/>
                <w:color w:val="000000" w:themeColor="text1"/>
              </w:rPr>
              <w:t xml:space="preserve"> Grade Vaccinated</w:t>
            </w:r>
          </w:p>
        </w:tc>
        <w:tc>
          <w:tcPr>
            <w:tcW w:w="1057" w:type="dxa"/>
          </w:tcPr>
          <w:p w14:paraId="37A3716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92.9</w:t>
            </w:r>
          </w:p>
        </w:tc>
        <w:tc>
          <w:tcPr>
            <w:tcW w:w="1146" w:type="dxa"/>
          </w:tcPr>
          <w:p w14:paraId="1442F50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89.9</w:t>
            </w:r>
          </w:p>
        </w:tc>
        <w:tc>
          <w:tcPr>
            <w:tcW w:w="1146" w:type="dxa"/>
          </w:tcPr>
          <w:p w14:paraId="67BF019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95.1</w:t>
            </w:r>
          </w:p>
        </w:tc>
        <w:tc>
          <w:tcPr>
            <w:tcW w:w="1411" w:type="dxa"/>
          </w:tcPr>
          <w:p w14:paraId="25AD7F03"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-0.240</w:t>
            </w:r>
          </w:p>
        </w:tc>
        <w:tc>
          <w:tcPr>
            <w:tcW w:w="969" w:type="dxa"/>
          </w:tcPr>
          <w:p w14:paraId="0BEE588E"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-0.108</w:t>
            </w:r>
          </w:p>
        </w:tc>
        <w:tc>
          <w:tcPr>
            <w:tcW w:w="969" w:type="dxa"/>
          </w:tcPr>
          <w:p w14:paraId="51C7F77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0.000</w:t>
            </w:r>
          </w:p>
        </w:tc>
        <w:tc>
          <w:tcPr>
            <w:tcW w:w="969" w:type="dxa"/>
            <w:tcBorders>
              <w:right w:val="nil"/>
            </w:tcBorders>
          </w:tcPr>
          <w:p w14:paraId="7F6E16D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0.051</w:t>
            </w:r>
          </w:p>
        </w:tc>
      </w:tr>
      <w:tr w:rsidR="00396BE3" w:rsidRPr="003D2D46" w14:paraId="183CADEA" w14:textId="77777777" w:rsidTr="004F0890">
        <w:trPr>
          <w:trHeight w:val="281"/>
        </w:trPr>
        <w:tc>
          <w:tcPr>
            <w:tcW w:w="4767" w:type="dxa"/>
            <w:tcBorders>
              <w:left w:val="nil"/>
            </w:tcBorders>
          </w:tcPr>
          <w:p w14:paraId="7DBFF6DF"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K-7</w:t>
            </w:r>
            <w:r w:rsidRPr="003D2D46">
              <w:rPr>
                <w:rFonts w:ascii="Times New Roman" w:hAnsi="Times New Roman" w:cs="Times New Roman"/>
                <w:color w:val="000000" w:themeColor="text1"/>
                <w:vertAlign w:val="superscript"/>
              </w:rPr>
              <w:t>th</w:t>
            </w:r>
            <w:r w:rsidRPr="003D2D46">
              <w:rPr>
                <w:rFonts w:ascii="Times New Roman" w:hAnsi="Times New Roman" w:cs="Times New Roman"/>
                <w:color w:val="000000" w:themeColor="text1"/>
              </w:rPr>
              <w:t xml:space="preserve"> Grade with Vaccination Exemptions</w:t>
            </w:r>
          </w:p>
        </w:tc>
        <w:tc>
          <w:tcPr>
            <w:tcW w:w="1057" w:type="dxa"/>
          </w:tcPr>
          <w:p w14:paraId="486ED18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7.1</w:t>
            </w:r>
          </w:p>
        </w:tc>
        <w:tc>
          <w:tcPr>
            <w:tcW w:w="1146" w:type="dxa"/>
          </w:tcPr>
          <w:p w14:paraId="5E692672"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4.9</w:t>
            </w:r>
          </w:p>
        </w:tc>
        <w:tc>
          <w:tcPr>
            <w:tcW w:w="1146" w:type="dxa"/>
          </w:tcPr>
          <w:p w14:paraId="02F4CDA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10.1</w:t>
            </w:r>
          </w:p>
        </w:tc>
        <w:tc>
          <w:tcPr>
            <w:tcW w:w="1411" w:type="dxa"/>
          </w:tcPr>
          <w:p w14:paraId="0482BBF7"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0.240</w:t>
            </w:r>
          </w:p>
        </w:tc>
        <w:tc>
          <w:tcPr>
            <w:tcW w:w="969" w:type="dxa"/>
          </w:tcPr>
          <w:p w14:paraId="2671B7F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0.000</w:t>
            </w:r>
          </w:p>
        </w:tc>
        <w:tc>
          <w:tcPr>
            <w:tcW w:w="969" w:type="dxa"/>
          </w:tcPr>
          <w:p w14:paraId="73AB6944"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0.108</w:t>
            </w:r>
          </w:p>
        </w:tc>
        <w:tc>
          <w:tcPr>
            <w:tcW w:w="969" w:type="dxa"/>
            <w:tcBorders>
              <w:right w:val="nil"/>
            </w:tcBorders>
          </w:tcPr>
          <w:p w14:paraId="11F251E6"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0.051</w:t>
            </w:r>
          </w:p>
        </w:tc>
      </w:tr>
      <w:tr w:rsidR="00396BE3" w:rsidRPr="003D2D46" w14:paraId="7E874E47" w14:textId="77777777" w:rsidTr="004F0890">
        <w:trPr>
          <w:trHeight w:val="281"/>
        </w:trPr>
        <w:tc>
          <w:tcPr>
            <w:tcW w:w="4767" w:type="dxa"/>
            <w:tcBorders>
              <w:left w:val="nil"/>
              <w:bottom w:val="nil"/>
            </w:tcBorders>
          </w:tcPr>
          <w:p w14:paraId="6AE896D0"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K-7</w:t>
            </w:r>
            <w:r w:rsidRPr="003D2D46">
              <w:rPr>
                <w:rFonts w:ascii="Times New Roman" w:hAnsi="Times New Roman" w:cs="Times New Roman"/>
                <w:color w:val="000000" w:themeColor="text1"/>
                <w:vertAlign w:val="superscript"/>
              </w:rPr>
              <w:t>th</w:t>
            </w:r>
            <w:r w:rsidRPr="003D2D46">
              <w:rPr>
                <w:rFonts w:ascii="Times New Roman" w:hAnsi="Times New Roman" w:cs="Times New Roman"/>
                <w:color w:val="000000" w:themeColor="text1"/>
              </w:rPr>
              <w:t xml:space="preserve"> Grade with Medical Exemptions</w:t>
            </w:r>
          </w:p>
        </w:tc>
        <w:tc>
          <w:tcPr>
            <w:tcW w:w="1057" w:type="dxa"/>
            <w:tcBorders>
              <w:bottom w:val="nil"/>
            </w:tcBorders>
          </w:tcPr>
          <w:p w14:paraId="77EE9B3A"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1.7</w:t>
            </w:r>
          </w:p>
        </w:tc>
        <w:tc>
          <w:tcPr>
            <w:tcW w:w="1146" w:type="dxa"/>
            <w:tcBorders>
              <w:bottom w:val="nil"/>
            </w:tcBorders>
          </w:tcPr>
          <w:p w14:paraId="17C5EF0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0.8</w:t>
            </w:r>
          </w:p>
        </w:tc>
        <w:tc>
          <w:tcPr>
            <w:tcW w:w="1146" w:type="dxa"/>
            <w:tcBorders>
              <w:bottom w:val="nil"/>
            </w:tcBorders>
          </w:tcPr>
          <w:p w14:paraId="1F702CE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2.3</w:t>
            </w:r>
          </w:p>
        </w:tc>
        <w:tc>
          <w:tcPr>
            <w:tcW w:w="1411" w:type="dxa"/>
            <w:tcBorders>
              <w:bottom w:val="nil"/>
            </w:tcBorders>
          </w:tcPr>
          <w:p w14:paraId="2D782ED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0.138</w:t>
            </w:r>
          </w:p>
        </w:tc>
        <w:tc>
          <w:tcPr>
            <w:tcW w:w="969" w:type="dxa"/>
            <w:tcBorders>
              <w:bottom w:val="nil"/>
            </w:tcBorders>
          </w:tcPr>
          <w:p w14:paraId="76AA4838"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-0.084</w:t>
            </w:r>
          </w:p>
        </w:tc>
        <w:tc>
          <w:tcPr>
            <w:tcW w:w="969" w:type="dxa"/>
            <w:tcBorders>
              <w:bottom w:val="nil"/>
            </w:tcBorders>
          </w:tcPr>
          <w:p w14:paraId="7DA1832D"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0.300</w:t>
            </w:r>
          </w:p>
        </w:tc>
        <w:tc>
          <w:tcPr>
            <w:tcW w:w="969" w:type="dxa"/>
            <w:tcBorders>
              <w:bottom w:val="nil"/>
              <w:right w:val="nil"/>
            </w:tcBorders>
          </w:tcPr>
          <w:p w14:paraId="383258D9"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0.265</w:t>
            </w:r>
          </w:p>
        </w:tc>
      </w:tr>
      <w:tr w:rsidR="00396BE3" w:rsidRPr="003D2D46" w14:paraId="3E03AB43" w14:textId="77777777" w:rsidTr="004F0890">
        <w:trPr>
          <w:trHeight w:val="281"/>
        </w:trPr>
        <w:tc>
          <w:tcPr>
            <w:tcW w:w="4767" w:type="dxa"/>
            <w:tcBorders>
              <w:top w:val="nil"/>
              <w:left w:val="nil"/>
              <w:bottom w:val="single" w:sz="12" w:space="0" w:color="000000"/>
            </w:tcBorders>
          </w:tcPr>
          <w:p w14:paraId="27D2E4A4" w14:textId="77777777" w:rsidR="008C52AA" w:rsidRPr="003D2D46" w:rsidRDefault="008C52AA" w:rsidP="00EE2A89">
            <w:pPr>
              <w:rPr>
                <w:rFonts w:ascii="Times New Roman" w:hAnsi="Times New Roman" w:cs="Times New Roman"/>
                <w:color w:val="000000" w:themeColor="text1"/>
              </w:rPr>
            </w:pPr>
            <w:r w:rsidRPr="003D2D46">
              <w:rPr>
                <w:rFonts w:ascii="Times New Roman" w:hAnsi="Times New Roman" w:cs="Times New Roman"/>
                <w:color w:val="000000" w:themeColor="text1"/>
              </w:rPr>
              <w:t>% K-7</w:t>
            </w:r>
            <w:r w:rsidRPr="003D2D46">
              <w:rPr>
                <w:rFonts w:ascii="Times New Roman" w:hAnsi="Times New Roman" w:cs="Times New Roman"/>
                <w:color w:val="000000" w:themeColor="text1"/>
                <w:vertAlign w:val="superscript"/>
              </w:rPr>
              <w:t>th</w:t>
            </w:r>
            <w:r w:rsidRPr="003D2D46">
              <w:rPr>
                <w:rFonts w:ascii="Times New Roman" w:hAnsi="Times New Roman" w:cs="Times New Roman"/>
                <w:color w:val="000000" w:themeColor="text1"/>
              </w:rPr>
              <w:t xml:space="preserve"> Grade with Religious Exemptions</w:t>
            </w:r>
          </w:p>
        </w:tc>
        <w:tc>
          <w:tcPr>
            <w:tcW w:w="1057" w:type="dxa"/>
            <w:tcBorders>
              <w:top w:val="nil"/>
              <w:bottom w:val="single" w:sz="12" w:space="0" w:color="000000"/>
            </w:tcBorders>
          </w:tcPr>
          <w:p w14:paraId="609A4251"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2.4</w:t>
            </w:r>
          </w:p>
        </w:tc>
        <w:tc>
          <w:tcPr>
            <w:tcW w:w="1146" w:type="dxa"/>
            <w:tcBorders>
              <w:top w:val="nil"/>
              <w:bottom w:val="single" w:sz="12" w:space="0" w:color="000000"/>
            </w:tcBorders>
          </w:tcPr>
          <w:p w14:paraId="18EEF5FE"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1.2</w:t>
            </w:r>
          </w:p>
        </w:tc>
        <w:tc>
          <w:tcPr>
            <w:tcW w:w="1146" w:type="dxa"/>
            <w:tcBorders>
              <w:top w:val="nil"/>
              <w:bottom w:val="single" w:sz="12" w:space="0" w:color="000000"/>
            </w:tcBorders>
          </w:tcPr>
          <w:p w14:paraId="225FDF93"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3.5</w:t>
            </w:r>
          </w:p>
        </w:tc>
        <w:tc>
          <w:tcPr>
            <w:tcW w:w="1411" w:type="dxa"/>
            <w:tcBorders>
              <w:top w:val="nil"/>
              <w:bottom w:val="single" w:sz="12" w:space="0" w:color="000000"/>
            </w:tcBorders>
          </w:tcPr>
          <w:p w14:paraId="5310DD1F"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0.178</w:t>
            </w:r>
          </w:p>
        </w:tc>
        <w:tc>
          <w:tcPr>
            <w:tcW w:w="969" w:type="dxa"/>
            <w:tcBorders>
              <w:top w:val="nil"/>
              <w:bottom w:val="single" w:sz="12" w:space="0" w:color="000000"/>
            </w:tcBorders>
          </w:tcPr>
          <w:p w14:paraId="48FFDC7B"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-0.033</w:t>
            </w:r>
          </w:p>
        </w:tc>
        <w:tc>
          <w:tcPr>
            <w:tcW w:w="969" w:type="dxa"/>
            <w:tcBorders>
              <w:top w:val="nil"/>
              <w:bottom w:val="single" w:sz="12" w:space="0" w:color="000000"/>
            </w:tcBorders>
          </w:tcPr>
          <w:p w14:paraId="1ABA3BF1"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0.214</w:t>
            </w:r>
          </w:p>
        </w:tc>
        <w:tc>
          <w:tcPr>
            <w:tcW w:w="969" w:type="dxa"/>
            <w:tcBorders>
              <w:top w:val="nil"/>
              <w:bottom w:val="single" w:sz="12" w:space="0" w:color="000000"/>
              <w:right w:val="nil"/>
            </w:tcBorders>
          </w:tcPr>
          <w:p w14:paraId="759A5D8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0.15</w:t>
            </w:r>
          </w:p>
        </w:tc>
      </w:tr>
    </w:tbl>
    <w:p w14:paraId="2DCDF64B" w14:textId="77777777" w:rsidR="00CF2B3D" w:rsidRPr="003D2D46" w:rsidRDefault="00CF2B3D" w:rsidP="00EE2A89">
      <w:pPr>
        <w:rPr>
          <w:rFonts w:ascii="Times New Roman" w:hAnsi="Times New Roman" w:cs="Times New Roman"/>
          <w:color w:val="000000" w:themeColor="text1"/>
        </w:rPr>
        <w:sectPr w:rsidR="00CF2B3D" w:rsidRPr="003D2D46" w:rsidSect="00B93CBD">
          <w:pgSz w:w="15840" w:h="12240" w:orient="landscape" w:code="1"/>
          <w:pgMar w:top="1800" w:right="1872" w:bottom="1800" w:left="1440" w:header="720" w:footer="1440" w:gutter="0"/>
          <w:cols w:space="720"/>
          <w:noEndnote/>
          <w:docGrid w:linePitch="360"/>
        </w:sectPr>
      </w:pPr>
    </w:p>
    <w:p w14:paraId="12F0DCCD" w14:textId="113CB8F8" w:rsidR="00CF2B3D" w:rsidRPr="003D2D46" w:rsidRDefault="00CF2B3D" w:rsidP="00EE2A89">
      <w:pPr>
        <w:pStyle w:val="Caption"/>
        <w:rPr>
          <w:rFonts w:ascii="Times New Roman" w:hAnsi="Times New Roman" w:cs="Times New Roman"/>
          <w:color w:val="000000" w:themeColor="text1"/>
        </w:rPr>
      </w:pPr>
      <w:bookmarkStart w:id="241" w:name="_Toc83975893"/>
      <w:r w:rsidRPr="003D2D46">
        <w:rPr>
          <w:rFonts w:ascii="Times New Roman" w:hAnsi="Times New Roman" w:cs="Times New Roman"/>
          <w:color w:val="000000" w:themeColor="text1"/>
        </w:rPr>
        <w:lastRenderedPageBreak/>
        <w:t>Table 5.</w:t>
      </w:r>
      <w:r w:rsidRPr="003D2D46">
        <w:rPr>
          <w:rFonts w:ascii="Times New Roman" w:hAnsi="Times New Roman" w:cs="Times New Roman"/>
          <w:color w:val="000000" w:themeColor="text1"/>
        </w:rPr>
        <w:fldChar w:fldCharType="begin"/>
      </w:r>
      <w:r w:rsidRPr="003D2D46">
        <w:rPr>
          <w:rFonts w:ascii="Times New Roman" w:hAnsi="Times New Roman" w:cs="Times New Roman"/>
          <w:color w:val="000000" w:themeColor="text1"/>
        </w:rPr>
        <w:instrText xml:space="preserve"> SEQ Table \* ARABIC \s 1 </w:instrText>
      </w:r>
      <w:r w:rsidRPr="003D2D46">
        <w:rPr>
          <w:rFonts w:ascii="Times New Roman" w:hAnsi="Times New Roman" w:cs="Times New Roman"/>
          <w:color w:val="000000" w:themeColor="text1"/>
        </w:rPr>
        <w:fldChar w:fldCharType="separate"/>
      </w:r>
      <w:r w:rsidR="008A24A0" w:rsidRPr="003D2D46">
        <w:rPr>
          <w:rFonts w:ascii="Times New Roman" w:hAnsi="Times New Roman" w:cs="Times New Roman"/>
          <w:noProof/>
          <w:color w:val="000000" w:themeColor="text1"/>
        </w:rPr>
        <w:t>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Significant predictors of county-level pertussis risk in Florida, 2010-2018</w:t>
      </w:r>
      <w:bookmarkEnd w:id="241"/>
    </w:p>
    <w:tbl>
      <w:tblPr>
        <w:tblW w:w="12197" w:type="dxa"/>
        <w:tblBorders>
          <w:top w:val="single" w:sz="4" w:space="0" w:color="auto"/>
          <w:bottom w:val="single" w:sz="4" w:space="0" w:color="auto"/>
        </w:tblBorders>
        <w:tblLayout w:type="fixed"/>
        <w:tblLook w:val="0400" w:firstRow="0" w:lastRow="0" w:firstColumn="0" w:lastColumn="0" w:noHBand="0" w:noVBand="1"/>
      </w:tblPr>
      <w:tblGrid>
        <w:gridCol w:w="4450"/>
        <w:gridCol w:w="2395"/>
        <w:gridCol w:w="113"/>
        <w:gridCol w:w="1483"/>
        <w:gridCol w:w="113"/>
        <w:gridCol w:w="1483"/>
        <w:gridCol w:w="126"/>
        <w:gridCol w:w="1127"/>
        <w:gridCol w:w="907"/>
      </w:tblGrid>
      <w:tr w:rsidR="00B25C87" w:rsidRPr="003D2D46" w14:paraId="21F775A6" w14:textId="77777777" w:rsidTr="004F0890">
        <w:trPr>
          <w:trHeight w:val="1375"/>
        </w:trPr>
        <w:tc>
          <w:tcPr>
            <w:tcW w:w="4450" w:type="dxa"/>
            <w:tcBorders>
              <w:top w:val="single" w:sz="12" w:space="0" w:color="auto"/>
              <w:bottom w:val="single" w:sz="12" w:space="0" w:color="auto"/>
            </w:tcBorders>
            <w:vAlign w:val="center"/>
          </w:tcPr>
          <w:p w14:paraId="3D5358A0" w14:textId="77777777" w:rsidR="008C52AA" w:rsidRPr="003D2D46" w:rsidRDefault="008C52AA" w:rsidP="00EE2A89">
            <w:pPr>
              <w:rPr>
                <w:rFonts w:ascii="Times New Roman" w:eastAsia="Arial" w:hAnsi="Times New Roman" w:cs="Times New Roman"/>
                <w:b/>
                <w:color w:val="000000" w:themeColor="text1"/>
              </w:rPr>
            </w:pPr>
            <w:bookmarkStart w:id="242" w:name="_Hlk64279451"/>
            <w:bookmarkStart w:id="243" w:name="OLE_LINK10"/>
            <w:r w:rsidRPr="003D2D46">
              <w:rPr>
                <w:rFonts w:ascii="Times New Roman" w:eastAsia="Arial" w:hAnsi="Times New Roman" w:cs="Times New Roman"/>
                <w:b/>
                <w:color w:val="000000" w:themeColor="text1"/>
              </w:rPr>
              <w:t>Variables</w:t>
            </w:r>
          </w:p>
        </w:tc>
        <w:tc>
          <w:tcPr>
            <w:tcW w:w="2395" w:type="dxa"/>
            <w:tcBorders>
              <w:top w:val="single" w:sz="12" w:space="0" w:color="auto"/>
              <w:bottom w:val="single" w:sz="12" w:space="0" w:color="auto"/>
            </w:tcBorders>
            <w:vAlign w:val="center"/>
          </w:tcPr>
          <w:p w14:paraId="417BB5C9"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Exponentiated</w:t>
            </w:r>
          </w:p>
          <w:p w14:paraId="41F9BAAF"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Parameter Estimate</w:t>
            </w:r>
          </w:p>
        </w:tc>
        <w:tc>
          <w:tcPr>
            <w:tcW w:w="1596" w:type="dxa"/>
            <w:gridSpan w:val="2"/>
            <w:tcBorders>
              <w:top w:val="single" w:sz="12" w:space="0" w:color="auto"/>
              <w:bottom w:val="single" w:sz="12" w:space="0" w:color="auto"/>
            </w:tcBorders>
            <w:vAlign w:val="center"/>
          </w:tcPr>
          <w:p w14:paraId="247B9D2C" w14:textId="77777777" w:rsidR="008C52AA" w:rsidRPr="003D2D46" w:rsidRDefault="00D32FDA" w:rsidP="004F0890">
            <w:pPr>
              <w:jc w:val="center"/>
              <w:rPr>
                <w:rFonts w:ascii="Times New Roman" w:eastAsia="Arial" w:hAnsi="Times New Roman" w:cs="Times New Roman"/>
                <w:b/>
                <w:color w:val="000000" w:themeColor="text1"/>
              </w:rPr>
            </w:pPr>
            <w:sdt>
              <w:sdtPr>
                <w:rPr>
                  <w:rFonts w:ascii="Times New Roman" w:hAnsi="Times New Roman" w:cs="Times New Roman"/>
                  <w:color w:val="000000" w:themeColor="text1"/>
                </w:rPr>
                <w:tag w:val="goog_rdk_219"/>
                <w:id w:val="1365632549"/>
              </w:sdtPr>
              <w:sdtEndPr/>
              <w:sdtContent/>
            </w:sdt>
            <w:r w:rsidR="008C52AA" w:rsidRPr="003D2D46">
              <w:rPr>
                <w:rFonts w:ascii="Times New Roman" w:eastAsia="Arial" w:hAnsi="Times New Roman" w:cs="Times New Roman"/>
                <w:b/>
                <w:color w:val="000000" w:themeColor="text1"/>
              </w:rPr>
              <w:t>Lower CI (95%)</w:t>
            </w:r>
          </w:p>
        </w:tc>
        <w:tc>
          <w:tcPr>
            <w:tcW w:w="1596" w:type="dxa"/>
            <w:gridSpan w:val="2"/>
            <w:tcBorders>
              <w:top w:val="single" w:sz="12" w:space="0" w:color="auto"/>
              <w:bottom w:val="single" w:sz="12" w:space="0" w:color="auto"/>
            </w:tcBorders>
            <w:vAlign w:val="center"/>
          </w:tcPr>
          <w:p w14:paraId="3549736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Upper CI (95%)</w:t>
            </w:r>
          </w:p>
        </w:tc>
        <w:tc>
          <w:tcPr>
            <w:tcW w:w="1253" w:type="dxa"/>
            <w:gridSpan w:val="2"/>
            <w:tcBorders>
              <w:top w:val="single" w:sz="12" w:space="0" w:color="auto"/>
              <w:bottom w:val="single" w:sz="12" w:space="0" w:color="auto"/>
            </w:tcBorders>
            <w:vAlign w:val="center"/>
          </w:tcPr>
          <w:p w14:paraId="5DDD2F2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p-value</w:t>
            </w:r>
          </w:p>
        </w:tc>
        <w:tc>
          <w:tcPr>
            <w:tcW w:w="907" w:type="dxa"/>
            <w:tcBorders>
              <w:top w:val="single" w:sz="12" w:space="0" w:color="auto"/>
              <w:bottom w:val="single" w:sz="12" w:space="0" w:color="auto"/>
            </w:tcBorders>
            <w:vAlign w:val="center"/>
          </w:tcPr>
          <w:p w14:paraId="0965D05F" w14:textId="77777777" w:rsidR="008C52AA" w:rsidRPr="003D2D46" w:rsidRDefault="008C52AA" w:rsidP="004F0890">
            <w:pPr>
              <w:ind w:left="-80" w:firstLine="80"/>
              <w:jc w:val="center"/>
              <w:rPr>
                <w:rFonts w:ascii="Times New Roman" w:eastAsia="Arial" w:hAnsi="Times New Roman" w:cs="Times New Roman"/>
                <w:b/>
                <w:color w:val="000000" w:themeColor="text1"/>
              </w:rPr>
            </w:pPr>
            <w:r w:rsidRPr="003D2D46">
              <w:rPr>
                <w:rFonts w:ascii="Times New Roman" w:eastAsia="Arial" w:hAnsi="Times New Roman" w:cs="Times New Roman"/>
                <w:b/>
                <w:color w:val="000000" w:themeColor="text1"/>
              </w:rPr>
              <w:t>VIF</w:t>
            </w:r>
          </w:p>
        </w:tc>
      </w:tr>
      <w:tr w:rsidR="00B25C87" w:rsidRPr="003D2D46" w14:paraId="7F0FF2A9" w14:textId="77777777" w:rsidTr="004F0890">
        <w:trPr>
          <w:trHeight w:val="457"/>
        </w:trPr>
        <w:tc>
          <w:tcPr>
            <w:tcW w:w="4450" w:type="dxa"/>
            <w:tcBorders>
              <w:top w:val="single" w:sz="12" w:space="0" w:color="auto"/>
              <w:bottom w:val="nil"/>
            </w:tcBorders>
            <w:vAlign w:val="center"/>
          </w:tcPr>
          <w:p w14:paraId="2D69306E" w14:textId="77777777" w:rsidR="008C52AA" w:rsidRPr="003D2D46" w:rsidRDefault="008C52AA" w:rsidP="00EE2A89">
            <w:pP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Rural (vs. Urban)</w:t>
            </w:r>
          </w:p>
        </w:tc>
        <w:tc>
          <w:tcPr>
            <w:tcW w:w="2508" w:type="dxa"/>
            <w:gridSpan w:val="2"/>
            <w:tcBorders>
              <w:top w:val="single" w:sz="12" w:space="0" w:color="auto"/>
              <w:bottom w:val="nil"/>
            </w:tcBorders>
            <w:vAlign w:val="center"/>
          </w:tcPr>
          <w:p w14:paraId="3773BE9C"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1.511</w:t>
            </w:r>
          </w:p>
        </w:tc>
        <w:tc>
          <w:tcPr>
            <w:tcW w:w="1596" w:type="dxa"/>
            <w:gridSpan w:val="2"/>
            <w:tcBorders>
              <w:top w:val="single" w:sz="12" w:space="0" w:color="auto"/>
              <w:bottom w:val="nil"/>
            </w:tcBorders>
            <w:vAlign w:val="center"/>
          </w:tcPr>
          <w:p w14:paraId="6E64278F"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1.134</w:t>
            </w:r>
          </w:p>
        </w:tc>
        <w:tc>
          <w:tcPr>
            <w:tcW w:w="1609" w:type="dxa"/>
            <w:gridSpan w:val="2"/>
            <w:tcBorders>
              <w:top w:val="single" w:sz="12" w:space="0" w:color="auto"/>
              <w:bottom w:val="nil"/>
            </w:tcBorders>
            <w:vAlign w:val="center"/>
          </w:tcPr>
          <w:p w14:paraId="134E7E55"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4.540</w:t>
            </w:r>
          </w:p>
        </w:tc>
        <w:tc>
          <w:tcPr>
            <w:tcW w:w="1126" w:type="dxa"/>
            <w:tcBorders>
              <w:top w:val="single" w:sz="12" w:space="0" w:color="auto"/>
              <w:bottom w:val="nil"/>
            </w:tcBorders>
            <w:vAlign w:val="center"/>
          </w:tcPr>
          <w:p w14:paraId="45512D37" w14:textId="77777777" w:rsidR="008C52AA" w:rsidRPr="003D2D46" w:rsidRDefault="008C52AA" w:rsidP="004F0890">
            <w:pPr>
              <w:jc w:val="center"/>
              <w:rPr>
                <w:rFonts w:ascii="Times New Roman" w:eastAsia="Arial" w:hAnsi="Times New Roman" w:cs="Times New Roman"/>
                <w:color w:val="000000" w:themeColor="text1"/>
              </w:rPr>
            </w:pPr>
            <w:r w:rsidRPr="003D2D46">
              <w:rPr>
                <w:rFonts w:ascii="Times New Roman" w:eastAsia="Arial" w:hAnsi="Times New Roman" w:cs="Times New Roman"/>
                <w:color w:val="000000" w:themeColor="text1"/>
              </w:rPr>
              <w:t>0.021</w:t>
            </w:r>
          </w:p>
        </w:tc>
        <w:tc>
          <w:tcPr>
            <w:tcW w:w="907" w:type="dxa"/>
            <w:tcBorders>
              <w:top w:val="single" w:sz="12" w:space="0" w:color="auto"/>
              <w:bottom w:val="nil"/>
            </w:tcBorders>
            <w:vAlign w:val="center"/>
          </w:tcPr>
          <w:p w14:paraId="56406282"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hAnsi="Times New Roman" w:cs="Times New Roman"/>
                <w:color w:val="000000" w:themeColor="text1"/>
              </w:rPr>
              <w:t>2.82</w:t>
            </w:r>
          </w:p>
        </w:tc>
      </w:tr>
      <w:tr w:rsidR="00B25C87" w:rsidRPr="003D2D46" w14:paraId="1641FAED" w14:textId="77777777" w:rsidTr="004F0890">
        <w:trPr>
          <w:trHeight w:val="457"/>
        </w:trPr>
        <w:tc>
          <w:tcPr>
            <w:tcW w:w="4450" w:type="dxa"/>
            <w:tcBorders>
              <w:top w:val="nil"/>
              <w:bottom w:val="nil"/>
            </w:tcBorders>
            <w:vAlign w:val="center"/>
          </w:tcPr>
          <w:p w14:paraId="21DD2AA4"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eastAsia="Arial" w:hAnsi="Times New Roman" w:cs="Times New Roman"/>
                <w:color w:val="000000" w:themeColor="text1"/>
              </w:rPr>
              <w:t>Scaled Median Income ($10,000)</w:t>
            </w:r>
          </w:p>
        </w:tc>
        <w:tc>
          <w:tcPr>
            <w:tcW w:w="2508" w:type="dxa"/>
            <w:gridSpan w:val="2"/>
            <w:tcBorders>
              <w:top w:val="nil"/>
              <w:bottom w:val="nil"/>
            </w:tcBorders>
            <w:vAlign w:val="center"/>
          </w:tcPr>
          <w:p w14:paraId="3CB9A920"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1.317</w:t>
            </w:r>
          </w:p>
        </w:tc>
        <w:tc>
          <w:tcPr>
            <w:tcW w:w="1596" w:type="dxa"/>
            <w:gridSpan w:val="2"/>
            <w:tcBorders>
              <w:top w:val="nil"/>
              <w:bottom w:val="nil"/>
            </w:tcBorders>
            <w:vAlign w:val="center"/>
          </w:tcPr>
          <w:p w14:paraId="3999F868"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1.019</w:t>
            </w:r>
          </w:p>
        </w:tc>
        <w:tc>
          <w:tcPr>
            <w:tcW w:w="1609" w:type="dxa"/>
            <w:gridSpan w:val="2"/>
            <w:tcBorders>
              <w:top w:val="nil"/>
              <w:bottom w:val="nil"/>
            </w:tcBorders>
            <w:vAlign w:val="center"/>
          </w:tcPr>
          <w:p w14:paraId="62DB8811"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2.031</w:t>
            </w:r>
          </w:p>
        </w:tc>
        <w:tc>
          <w:tcPr>
            <w:tcW w:w="1126" w:type="dxa"/>
            <w:tcBorders>
              <w:top w:val="nil"/>
              <w:bottom w:val="nil"/>
            </w:tcBorders>
            <w:vAlign w:val="center"/>
          </w:tcPr>
          <w:p w14:paraId="1AFFEFA9"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eastAsia="Arial" w:hAnsi="Times New Roman" w:cs="Times New Roman"/>
                <w:color w:val="000000" w:themeColor="text1"/>
              </w:rPr>
              <w:t>0.039</w:t>
            </w:r>
          </w:p>
        </w:tc>
        <w:tc>
          <w:tcPr>
            <w:tcW w:w="907" w:type="dxa"/>
            <w:tcBorders>
              <w:top w:val="nil"/>
              <w:bottom w:val="nil"/>
            </w:tcBorders>
            <w:vAlign w:val="center"/>
          </w:tcPr>
          <w:p w14:paraId="6799E70E"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1.57</w:t>
            </w:r>
          </w:p>
        </w:tc>
      </w:tr>
      <w:tr w:rsidR="00B25C87" w:rsidRPr="003D2D46" w14:paraId="6505EE16" w14:textId="77777777" w:rsidTr="004F0890">
        <w:trPr>
          <w:trHeight w:val="457"/>
        </w:trPr>
        <w:tc>
          <w:tcPr>
            <w:tcW w:w="4450" w:type="dxa"/>
            <w:tcBorders>
              <w:top w:val="nil"/>
              <w:bottom w:val="single" w:sz="12" w:space="0" w:color="auto"/>
            </w:tcBorders>
            <w:vAlign w:val="center"/>
          </w:tcPr>
          <w:p w14:paraId="7C440CB8" w14:textId="77777777" w:rsidR="008C52AA" w:rsidRPr="003D2D46" w:rsidRDefault="008C52AA" w:rsidP="00EE2A89">
            <w:pPr>
              <w:rPr>
                <w:rFonts w:ascii="Times New Roman" w:eastAsia="Arial" w:hAnsi="Times New Roman" w:cs="Times New Roman"/>
                <w:b/>
                <w:color w:val="000000" w:themeColor="text1"/>
              </w:rPr>
            </w:pPr>
            <w:r w:rsidRPr="003D2D46">
              <w:rPr>
                <w:rFonts w:ascii="Times New Roman" w:eastAsia="Arial" w:hAnsi="Times New Roman" w:cs="Times New Roman"/>
                <w:color w:val="000000" w:themeColor="text1"/>
              </w:rPr>
              <w:t>Percent Female</w:t>
            </w:r>
          </w:p>
        </w:tc>
        <w:tc>
          <w:tcPr>
            <w:tcW w:w="2508" w:type="dxa"/>
            <w:gridSpan w:val="2"/>
            <w:tcBorders>
              <w:top w:val="nil"/>
              <w:bottom w:val="single" w:sz="12" w:space="0" w:color="auto"/>
            </w:tcBorders>
            <w:vAlign w:val="center"/>
          </w:tcPr>
          <w:p w14:paraId="59A8D8A4"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1.982</w:t>
            </w:r>
          </w:p>
        </w:tc>
        <w:tc>
          <w:tcPr>
            <w:tcW w:w="1596" w:type="dxa"/>
            <w:gridSpan w:val="2"/>
            <w:tcBorders>
              <w:top w:val="nil"/>
              <w:bottom w:val="single" w:sz="12" w:space="0" w:color="auto"/>
            </w:tcBorders>
            <w:vAlign w:val="center"/>
          </w:tcPr>
          <w:p w14:paraId="3D8BF7B3"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1.102</w:t>
            </w:r>
          </w:p>
        </w:tc>
        <w:tc>
          <w:tcPr>
            <w:tcW w:w="1609" w:type="dxa"/>
            <w:gridSpan w:val="2"/>
            <w:tcBorders>
              <w:top w:val="nil"/>
              <w:bottom w:val="single" w:sz="12" w:space="0" w:color="auto"/>
            </w:tcBorders>
            <w:vAlign w:val="center"/>
          </w:tcPr>
          <w:p w14:paraId="3DAA6BFD"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1.293</w:t>
            </w:r>
          </w:p>
        </w:tc>
        <w:tc>
          <w:tcPr>
            <w:tcW w:w="1126" w:type="dxa"/>
            <w:tcBorders>
              <w:top w:val="nil"/>
              <w:bottom w:val="single" w:sz="12" w:space="0" w:color="auto"/>
            </w:tcBorders>
            <w:vAlign w:val="center"/>
          </w:tcPr>
          <w:p w14:paraId="4DFD9A35" w14:textId="77777777" w:rsidR="008C52AA" w:rsidRPr="003D2D46" w:rsidRDefault="008C52AA" w:rsidP="004F0890">
            <w:pPr>
              <w:jc w:val="center"/>
              <w:rPr>
                <w:rFonts w:ascii="Times New Roman" w:hAnsi="Times New Roman" w:cs="Times New Roman"/>
                <w:color w:val="000000" w:themeColor="text1"/>
              </w:rPr>
            </w:pPr>
            <w:r w:rsidRPr="003D2D46">
              <w:rPr>
                <w:rFonts w:ascii="Times New Roman" w:eastAsia="Arial" w:hAnsi="Times New Roman" w:cs="Times New Roman"/>
                <w:color w:val="000000" w:themeColor="text1"/>
              </w:rPr>
              <w:t>0.000</w:t>
            </w:r>
          </w:p>
        </w:tc>
        <w:tc>
          <w:tcPr>
            <w:tcW w:w="907" w:type="dxa"/>
            <w:tcBorders>
              <w:top w:val="nil"/>
              <w:bottom w:val="single" w:sz="12" w:space="0" w:color="auto"/>
            </w:tcBorders>
            <w:vAlign w:val="center"/>
          </w:tcPr>
          <w:p w14:paraId="1511C02B" w14:textId="77777777" w:rsidR="008C52AA" w:rsidRPr="003D2D46" w:rsidRDefault="008C52AA" w:rsidP="004F0890">
            <w:pPr>
              <w:jc w:val="center"/>
              <w:rPr>
                <w:rFonts w:ascii="Times New Roman" w:eastAsia="Arial" w:hAnsi="Times New Roman" w:cs="Times New Roman"/>
                <w:b/>
                <w:color w:val="000000" w:themeColor="text1"/>
              </w:rPr>
            </w:pPr>
            <w:r w:rsidRPr="003D2D46">
              <w:rPr>
                <w:rFonts w:ascii="Times New Roman" w:hAnsi="Times New Roman" w:cs="Times New Roman"/>
                <w:color w:val="000000" w:themeColor="text1"/>
              </w:rPr>
              <w:t>2.17</w:t>
            </w:r>
          </w:p>
        </w:tc>
      </w:tr>
      <w:bookmarkEnd w:id="242"/>
      <w:bookmarkEnd w:id="243"/>
    </w:tbl>
    <w:p w14:paraId="2F8BB23C" w14:textId="77777777" w:rsidR="008C52AA" w:rsidRPr="003D2D46" w:rsidRDefault="008C52AA" w:rsidP="00EE2A89">
      <w:pPr>
        <w:rPr>
          <w:rFonts w:ascii="Times New Roman" w:hAnsi="Times New Roman" w:cs="Times New Roman"/>
          <w:color w:val="000000" w:themeColor="text1"/>
        </w:rPr>
      </w:pPr>
    </w:p>
    <w:p w14:paraId="1D418562" w14:textId="77777777" w:rsidR="00524729" w:rsidRPr="003D2D46" w:rsidRDefault="00524729" w:rsidP="00EE2A89">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C565B64" w14:textId="151F689F" w:rsidR="00CF2B3D" w:rsidRPr="003D2D46" w:rsidRDefault="00CF2B3D" w:rsidP="00580A15">
      <w:pPr>
        <w:spacing w:line="480" w:lineRule="auto"/>
        <w:rPr>
          <w:rFonts w:ascii="Times New Roman" w:hAnsi="Times New Roman" w:cs="Times New Roman"/>
          <w:color w:val="000000" w:themeColor="text1"/>
        </w:rPr>
        <w:sectPr w:rsidR="00CF2B3D" w:rsidRPr="003D2D46" w:rsidSect="004F0890">
          <w:pgSz w:w="15840" w:h="12240" w:orient="landscape" w:code="1"/>
          <w:pgMar w:top="1800" w:right="1440" w:bottom="1800" w:left="1872" w:header="720" w:footer="1440" w:gutter="0"/>
          <w:cols w:space="720"/>
          <w:noEndnote/>
          <w:docGrid w:linePitch="360"/>
        </w:sectPr>
      </w:pPr>
    </w:p>
    <w:p w14:paraId="37FCC5FF" w14:textId="77777777" w:rsidR="00034E09" w:rsidRPr="003D2D46" w:rsidRDefault="00993333" w:rsidP="004F0890">
      <w:pPr>
        <w:jc w:val="both"/>
        <w:rPr>
          <w:rFonts w:ascii="Times New Roman" w:hAnsi="Times New Roman" w:cs="Times New Roman"/>
          <w:color w:val="000000" w:themeColor="text1"/>
        </w:rPr>
      </w:pPr>
      <w:r w:rsidRPr="003D2D46">
        <w:rPr>
          <w:rFonts w:ascii="Times New Roman" w:hAnsi="Times New Roman" w:cs="Times New Roman"/>
          <w:noProof/>
          <w:color w:val="000000" w:themeColor="text1"/>
        </w:rPr>
        <w:lastRenderedPageBreak/>
        <w:drawing>
          <wp:inline distT="0" distB="0" distL="0" distR="0" wp14:anchorId="20322B09" wp14:editId="01FFE3DE">
            <wp:extent cx="7902054" cy="3293311"/>
            <wp:effectExtent l="0" t="0" r="381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863" b="21498"/>
                    <a:stretch/>
                  </pic:blipFill>
                  <pic:spPr bwMode="auto">
                    <a:xfrm>
                      <a:off x="0" y="0"/>
                      <a:ext cx="7923905" cy="3302418"/>
                    </a:xfrm>
                    <a:prstGeom prst="rect">
                      <a:avLst/>
                    </a:prstGeom>
                    <a:noFill/>
                    <a:ln>
                      <a:noFill/>
                    </a:ln>
                    <a:extLst>
                      <a:ext uri="{53640926-AAD7-44D8-BBD7-CCE9431645EC}">
                        <a14:shadowObscured xmlns:a14="http://schemas.microsoft.com/office/drawing/2010/main"/>
                      </a:ext>
                    </a:extLst>
                  </pic:spPr>
                </pic:pic>
              </a:graphicData>
            </a:graphic>
          </wp:inline>
        </w:drawing>
      </w:r>
    </w:p>
    <w:p w14:paraId="203E281F" w14:textId="22EC4E87" w:rsidR="00CF2B3D" w:rsidRPr="003D2D46" w:rsidRDefault="00CF2B3D" w:rsidP="004F0890">
      <w:pPr>
        <w:pStyle w:val="Caption"/>
        <w:ind w:firstLine="270"/>
        <w:rPr>
          <w:rFonts w:ascii="Times New Roman" w:hAnsi="Times New Roman" w:cs="Times New Roman"/>
          <w:b w:val="0"/>
          <w:bCs w:val="0"/>
        </w:rPr>
        <w:sectPr w:rsidR="00CF2B3D" w:rsidRPr="003D2D46" w:rsidSect="00B93CBD">
          <w:pgSz w:w="15840" w:h="12240" w:orient="landscape" w:code="1"/>
          <w:pgMar w:top="1800" w:right="1872" w:bottom="1800" w:left="1440" w:header="720" w:footer="1440" w:gutter="0"/>
          <w:cols w:space="720"/>
          <w:noEndnote/>
          <w:docGrid w:linePitch="360"/>
        </w:sectPr>
      </w:pPr>
      <w:bookmarkStart w:id="244" w:name="_Toc83975900"/>
      <w:r w:rsidRPr="003D2D46">
        <w:rPr>
          <w:rFonts w:ascii="Times New Roman" w:hAnsi="Times New Roman" w:cs="Times New Roman"/>
          <w:color w:val="000000" w:themeColor="text1"/>
        </w:rPr>
        <w:t>Figure 5.</w:t>
      </w:r>
      <w:r w:rsidRPr="003D2D46">
        <w:rPr>
          <w:rFonts w:ascii="Times New Roman" w:hAnsi="Times New Roman" w:cs="Times New Roman"/>
          <w:b w:val="0"/>
          <w:bCs w:val="0"/>
          <w:color w:val="000000" w:themeColor="text1"/>
        </w:rPr>
        <w:fldChar w:fldCharType="begin"/>
      </w:r>
      <w:r w:rsidRPr="003D2D46">
        <w:rPr>
          <w:rFonts w:ascii="Times New Roman" w:hAnsi="Times New Roman" w:cs="Times New Roman"/>
          <w:color w:val="000000" w:themeColor="text1"/>
        </w:rPr>
        <w:instrText xml:space="preserve"> SEQ Figure \* ARABIC \s 1 </w:instrText>
      </w:r>
      <w:r w:rsidRPr="003D2D46">
        <w:rPr>
          <w:rFonts w:ascii="Times New Roman" w:hAnsi="Times New Roman" w:cs="Times New Roman"/>
          <w:b w:val="0"/>
          <w:bCs w:val="0"/>
          <w:color w:val="000000" w:themeColor="text1"/>
        </w:rPr>
        <w:fldChar w:fldCharType="separate"/>
      </w:r>
      <w:r w:rsidR="008A24A0" w:rsidRPr="003D2D46">
        <w:rPr>
          <w:rFonts w:ascii="Times New Roman" w:hAnsi="Times New Roman" w:cs="Times New Roman"/>
          <w:noProof/>
          <w:color w:val="000000" w:themeColor="text1"/>
        </w:rPr>
        <w:t>4</w:t>
      </w:r>
      <w:r w:rsidRPr="003D2D46">
        <w:rPr>
          <w:rFonts w:ascii="Times New Roman" w:hAnsi="Times New Roman" w:cs="Times New Roman"/>
          <w:b w:val="0"/>
          <w:bCs w:val="0"/>
          <w:color w:val="000000" w:themeColor="text1"/>
        </w:rPr>
        <w:fldChar w:fldCharType="end"/>
      </w:r>
      <w:r w:rsidRPr="003D2D46">
        <w:rPr>
          <w:rFonts w:ascii="Times New Roman" w:hAnsi="Times New Roman" w:cs="Times New Roman"/>
          <w:color w:val="000000" w:themeColor="text1"/>
        </w:rPr>
        <w:t xml:space="preserve"> Choropleth maps of significant predictors of pertussis risk in Florida, 2010-2018</w:t>
      </w:r>
      <w:bookmarkEnd w:id="244"/>
    </w:p>
    <w:p w14:paraId="1295DD88" w14:textId="5E8D5E84" w:rsidR="00F404EB" w:rsidRPr="003D2D46" w:rsidRDefault="00F404EB" w:rsidP="00F404EB">
      <w:pPr>
        <w:spacing w:line="480" w:lineRule="auto"/>
        <w:rPr>
          <w:rFonts w:ascii="Times New Roman" w:hAnsi="Times New Roman" w:cs="Times New Roman"/>
        </w:rPr>
      </w:pPr>
      <w:bookmarkStart w:id="245" w:name="_Toc82445587"/>
      <w:r w:rsidRPr="003D2D46">
        <w:rPr>
          <w:rFonts w:ascii="Times New Roman" w:hAnsi="Times New Roman" w:cs="Times New Roman"/>
        </w:rPr>
        <w:lastRenderedPageBreak/>
        <w:t>have high pertussis risk (&gt;8 per 100,000</w:t>
      </w:r>
      <w:r w:rsidR="00A60D1F" w:rsidRPr="003D2D46">
        <w:rPr>
          <w:rFonts w:ascii="Times New Roman" w:hAnsi="Times New Roman" w:cs="Times New Roman"/>
        </w:rPr>
        <w:t xml:space="preserve"> persons</w:t>
      </w:r>
      <w:r w:rsidRPr="003D2D46">
        <w:rPr>
          <w:rFonts w:ascii="Times New Roman" w:hAnsi="Times New Roman" w:cs="Times New Roman"/>
        </w:rPr>
        <w:t>) and many counties with higher female populations were identified in high risk clusters, including Hillsborough, Lee, Escambia, Santa Rosa, Duval, St. John’s, Polk, and Pasco counties. Finally, rural counties, were predominately located in the central and eastern panhandle and the central body of the state (Figure 5.1).</w:t>
      </w:r>
    </w:p>
    <w:p w14:paraId="6DE3DFB2" w14:textId="77777777" w:rsidR="00AB7776" w:rsidRPr="003D2D46" w:rsidRDefault="00AB7776" w:rsidP="00F404EB">
      <w:pPr>
        <w:spacing w:line="480" w:lineRule="auto"/>
        <w:rPr>
          <w:rFonts w:ascii="Times New Roman" w:hAnsi="Times New Roman" w:cs="Times New Roman"/>
        </w:rPr>
      </w:pPr>
    </w:p>
    <w:p w14:paraId="611B629F" w14:textId="075C16FA" w:rsidR="00236E6D" w:rsidRPr="003D2D46" w:rsidRDefault="005529ED" w:rsidP="005F71CB">
      <w:pPr>
        <w:pStyle w:val="Heading2"/>
        <w:spacing w:line="480" w:lineRule="auto"/>
        <w:rPr>
          <w:rFonts w:cs="Times New Roman"/>
          <w:color w:val="000000" w:themeColor="text1"/>
          <w:szCs w:val="24"/>
        </w:rPr>
      </w:pPr>
      <w:bookmarkStart w:id="246" w:name="_Toc87797152"/>
      <w:r w:rsidRPr="003D2D46">
        <w:rPr>
          <w:rFonts w:cs="Times New Roman"/>
          <w:color w:val="000000" w:themeColor="text1"/>
          <w:szCs w:val="24"/>
        </w:rPr>
        <w:t>5</w:t>
      </w:r>
      <w:r w:rsidR="00FF4BED" w:rsidRPr="003D2D46">
        <w:rPr>
          <w:rFonts w:cs="Times New Roman"/>
          <w:color w:val="000000" w:themeColor="text1"/>
          <w:szCs w:val="24"/>
        </w:rPr>
        <w:t>.6</w:t>
      </w:r>
      <w:r w:rsidR="00106487" w:rsidRPr="003D2D46">
        <w:rPr>
          <w:rFonts w:cs="Times New Roman"/>
          <w:color w:val="000000" w:themeColor="text1"/>
          <w:szCs w:val="24"/>
        </w:rPr>
        <w:t xml:space="preserve"> </w:t>
      </w:r>
      <w:r w:rsidR="00EF2015" w:rsidRPr="003D2D46">
        <w:rPr>
          <w:rFonts w:cs="Times New Roman"/>
          <w:color w:val="000000" w:themeColor="text1"/>
          <w:szCs w:val="24"/>
        </w:rPr>
        <w:t>Discussion</w:t>
      </w:r>
      <w:bookmarkEnd w:id="245"/>
      <w:bookmarkEnd w:id="246"/>
    </w:p>
    <w:p w14:paraId="72A36964" w14:textId="679D0770"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This study investigated county-level geographic disparities and temporal changes in, as well as socioeconomic and demographic predictors of, pertussis risk in Florida from 2010 to 2018. Study findings provide information that is useful for guiding resource allocation for disease control programs. There is a dearth of research investigating the geospatial epidemiology of pertussis in the United States and spatial epidemiologic studies of pertussis predominantly explore the uptake of pertussis vaccines.</w:t>
      </w:r>
      <w:r w:rsidR="00254B4E" w:rsidRPr="003D2D46">
        <w:rPr>
          <w:rFonts w:ascii="Times New Roman" w:hAnsi="Times New Roman" w:cs="Times New Roman"/>
          <w:color w:val="000000" w:themeColor="text1"/>
        </w:rPr>
        <w:t xml:space="preserve"> </w:t>
      </w:r>
      <w:r w:rsidR="0040557F" w:rsidRPr="003D2D46">
        <w:rPr>
          <w:rFonts w:ascii="Times New Roman" w:hAnsi="Times New Roman" w:cs="Times New Roman"/>
          <w:color w:val="000000" w:themeColor="text1"/>
        </w:rPr>
        <w:t xml:space="preserve">The information obtained from this study </w:t>
      </w:r>
      <w:r w:rsidR="00033260" w:rsidRPr="003D2D46">
        <w:rPr>
          <w:rFonts w:ascii="Times New Roman" w:hAnsi="Times New Roman" w:cs="Times New Roman"/>
          <w:color w:val="000000" w:themeColor="text1"/>
        </w:rPr>
        <w:t xml:space="preserve">is useful in </w:t>
      </w:r>
      <w:r w:rsidR="00254B4E" w:rsidRPr="003D2D46">
        <w:rPr>
          <w:rFonts w:ascii="Times New Roman" w:hAnsi="Times New Roman" w:cs="Times New Roman"/>
          <w:color w:val="000000" w:themeColor="text1"/>
        </w:rPr>
        <w:t xml:space="preserve">understanding of geographic distribution of </w:t>
      </w:r>
      <w:r w:rsidR="00C54C60" w:rsidRPr="003D2D46">
        <w:rPr>
          <w:rFonts w:ascii="Times New Roman" w:hAnsi="Times New Roman" w:cs="Times New Roman"/>
          <w:color w:val="000000" w:themeColor="text1"/>
        </w:rPr>
        <w:t xml:space="preserve"> pertussis</w:t>
      </w:r>
      <w:r w:rsidR="00254B4E" w:rsidRPr="003D2D46">
        <w:rPr>
          <w:rFonts w:ascii="Times New Roman" w:hAnsi="Times New Roman" w:cs="Times New Roman"/>
          <w:color w:val="000000" w:themeColor="text1"/>
        </w:rPr>
        <w:t xml:space="preserve"> as well as </w:t>
      </w:r>
      <w:r w:rsidR="00C54C60" w:rsidRPr="003D2D46">
        <w:rPr>
          <w:rFonts w:ascii="Times New Roman" w:hAnsi="Times New Roman" w:cs="Times New Roman"/>
          <w:color w:val="000000" w:themeColor="text1"/>
        </w:rPr>
        <w:t xml:space="preserve">its </w:t>
      </w:r>
      <w:r w:rsidR="00254B4E" w:rsidRPr="003D2D46">
        <w:rPr>
          <w:rFonts w:ascii="Times New Roman" w:hAnsi="Times New Roman" w:cs="Times New Roman"/>
          <w:color w:val="000000" w:themeColor="text1"/>
        </w:rPr>
        <w:t>socioeconomic and demographic predictors</w:t>
      </w:r>
      <w:r w:rsidR="00C54C60" w:rsidRPr="003D2D46">
        <w:rPr>
          <w:rFonts w:ascii="Times New Roman" w:hAnsi="Times New Roman" w:cs="Times New Roman"/>
          <w:color w:val="000000" w:themeColor="text1"/>
        </w:rPr>
        <w:t xml:space="preserve">. </w:t>
      </w:r>
      <w:r w:rsidR="00254B4E" w:rsidRPr="003D2D46">
        <w:rPr>
          <w:rFonts w:ascii="Times New Roman" w:hAnsi="Times New Roman" w:cs="Times New Roman"/>
          <w:color w:val="000000" w:themeColor="text1"/>
        </w:rPr>
        <w:t xml:space="preserve"> </w:t>
      </w:r>
      <w:r w:rsidR="00C54C60" w:rsidRPr="003D2D46">
        <w:rPr>
          <w:rFonts w:ascii="Times New Roman" w:hAnsi="Times New Roman" w:cs="Times New Roman"/>
          <w:color w:val="000000" w:themeColor="text1"/>
        </w:rPr>
        <w:t xml:space="preserve">This knowledge is </w:t>
      </w:r>
      <w:r w:rsidR="00254B4E" w:rsidRPr="003D2D46">
        <w:rPr>
          <w:rFonts w:ascii="Times New Roman" w:hAnsi="Times New Roman" w:cs="Times New Roman"/>
          <w:color w:val="000000" w:themeColor="text1"/>
        </w:rPr>
        <w:t xml:space="preserve"> necessary </w:t>
      </w:r>
      <w:r w:rsidR="00C54C60" w:rsidRPr="003D2D46">
        <w:rPr>
          <w:rFonts w:ascii="Times New Roman" w:hAnsi="Times New Roman" w:cs="Times New Roman"/>
          <w:color w:val="000000" w:themeColor="text1"/>
        </w:rPr>
        <w:t>for</w:t>
      </w:r>
      <w:r w:rsidR="00254B4E" w:rsidRPr="003D2D46">
        <w:rPr>
          <w:rFonts w:ascii="Times New Roman" w:hAnsi="Times New Roman" w:cs="Times New Roman"/>
          <w:color w:val="000000" w:themeColor="text1"/>
        </w:rPr>
        <w:t xml:space="preserve"> guid</w:t>
      </w:r>
      <w:r w:rsidR="00C54C60" w:rsidRPr="003D2D46">
        <w:rPr>
          <w:rFonts w:ascii="Times New Roman" w:hAnsi="Times New Roman" w:cs="Times New Roman"/>
          <w:color w:val="000000" w:themeColor="text1"/>
        </w:rPr>
        <w:t>ing</w:t>
      </w:r>
      <w:r w:rsidR="00254B4E" w:rsidRPr="003D2D46">
        <w:rPr>
          <w:rFonts w:ascii="Times New Roman" w:hAnsi="Times New Roman" w:cs="Times New Roman"/>
          <w:color w:val="000000" w:themeColor="text1"/>
        </w:rPr>
        <w:t xml:space="preserve"> public health response, as </w:t>
      </w:r>
      <w:r w:rsidR="009C78DD" w:rsidRPr="003D2D46">
        <w:rPr>
          <w:rFonts w:ascii="Times New Roman" w:hAnsi="Times New Roman" w:cs="Times New Roman"/>
          <w:color w:val="000000" w:themeColor="text1"/>
        </w:rPr>
        <w:t>it helps guide</w:t>
      </w:r>
      <w:r w:rsidR="00254B4E" w:rsidRPr="003D2D46">
        <w:rPr>
          <w:rFonts w:ascii="Times New Roman" w:hAnsi="Times New Roman" w:cs="Times New Roman"/>
          <w:color w:val="000000" w:themeColor="text1"/>
        </w:rPr>
        <w:t xml:space="preserve"> </w:t>
      </w:r>
      <w:r w:rsidR="009C78DD" w:rsidRPr="003D2D46">
        <w:rPr>
          <w:rFonts w:ascii="Times New Roman" w:hAnsi="Times New Roman" w:cs="Times New Roman"/>
          <w:color w:val="000000" w:themeColor="text1"/>
        </w:rPr>
        <w:t xml:space="preserve">health practitioners </w:t>
      </w:r>
      <w:r w:rsidR="00254B4E" w:rsidRPr="003D2D46">
        <w:rPr>
          <w:rFonts w:ascii="Times New Roman" w:hAnsi="Times New Roman" w:cs="Times New Roman"/>
          <w:color w:val="000000" w:themeColor="text1"/>
        </w:rPr>
        <w:t xml:space="preserve">to prioritize areas </w:t>
      </w:r>
      <w:r w:rsidR="009C78DD" w:rsidRPr="003D2D46">
        <w:rPr>
          <w:rFonts w:ascii="Times New Roman" w:hAnsi="Times New Roman" w:cs="Times New Roman"/>
          <w:color w:val="000000" w:themeColor="text1"/>
        </w:rPr>
        <w:t>to ta</w:t>
      </w:r>
      <w:r w:rsidR="00F83833" w:rsidRPr="003D2D46">
        <w:rPr>
          <w:rFonts w:ascii="Times New Roman" w:hAnsi="Times New Roman" w:cs="Times New Roman"/>
          <w:color w:val="000000" w:themeColor="text1"/>
        </w:rPr>
        <w:t xml:space="preserve">rget </w:t>
      </w:r>
      <w:r w:rsidR="00254B4E" w:rsidRPr="003D2D46">
        <w:rPr>
          <w:rFonts w:ascii="Times New Roman" w:hAnsi="Times New Roman" w:cs="Times New Roman"/>
          <w:color w:val="000000" w:themeColor="text1"/>
        </w:rPr>
        <w:t xml:space="preserve">existing public health campaigns as well as develop new programs to reduce </w:t>
      </w:r>
      <w:r w:rsidR="00F83833" w:rsidRPr="003D2D46">
        <w:rPr>
          <w:rFonts w:ascii="Times New Roman" w:hAnsi="Times New Roman" w:cs="Times New Roman"/>
          <w:color w:val="000000" w:themeColor="text1"/>
        </w:rPr>
        <w:t>morbidity and</w:t>
      </w:r>
      <w:r w:rsidR="00254B4E" w:rsidRPr="003D2D46">
        <w:rPr>
          <w:rFonts w:ascii="Times New Roman" w:hAnsi="Times New Roman" w:cs="Times New Roman"/>
          <w:color w:val="000000" w:themeColor="text1"/>
        </w:rPr>
        <w:t xml:space="preserve"> mortality. </w:t>
      </w:r>
      <w:r w:rsidRPr="003D2D46">
        <w:rPr>
          <w:rFonts w:ascii="Times New Roman" w:hAnsi="Times New Roman" w:cs="Times New Roman"/>
          <w:color w:val="000000" w:themeColor="text1"/>
        </w:rPr>
        <w:t>While prevention of pertussis through education campaigns and vaccination efforts is critical, identifying the sociodemographic and economic predictors of pertussis risk cannot be overlooked. Therefore, it is necessary to investigate geographic disparities in risk of the condition and identify socioeconomic and demographic predictors of any identified geographic disparities in pertussis risk.</w:t>
      </w:r>
    </w:p>
    <w:p w14:paraId="020F164C" w14:textId="77777777" w:rsidR="00EF2015" w:rsidRPr="003D2D46" w:rsidRDefault="00EF2015" w:rsidP="00580A15">
      <w:pPr>
        <w:spacing w:line="480" w:lineRule="auto"/>
        <w:rPr>
          <w:rFonts w:ascii="Times New Roman" w:hAnsi="Times New Roman" w:cs="Times New Roman"/>
          <w:color w:val="000000" w:themeColor="text1"/>
        </w:rPr>
      </w:pPr>
    </w:p>
    <w:p w14:paraId="17D7038E" w14:textId="34D9E6BD"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results of this study indicate that spatial patterns of high pertussis risk exist at the county level in Florida. This is consistent with findings from other studies that have reported spatial disparities in pertussis risk in the US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Siegal","given":"C","non-dropping-particle":"","parse-names":false,"suffix":""},{"dropping-particle":"","family":"Davidson","given":"A","non-dropping-particle":"","parse-names":false,"suffix":""},{"dropping-particle":"","family":"Kafadar","given":"K","non-dropping-particle":"","parse-names":false,"suffix":""},{"dropping-particle":"","family":"Norris","given":"JM","non-dropping-particle":"","parse-names":false,"suffix":""},{"dropping-particle":"","family":"Todd","given":"J","non-dropping-particle":"","parse-names":false,"suffix":""},{"dropping-particle":"","family":"Steiner","given":"J","non-dropping-particle":"","parse-names":false,"suffix":""}],"container-title":"American Journal of Public Health","id":"ITEM-1","issued":{"date-parts":[["1997"]]},"page":"2022-2026","title":"Geographic analysis of pertussis infection in an urban area: a tool for health services planning.","type":"article-journal","volume":"87"},"uris":["http://www.mendeley.com/documents/?uuid=986beb02-06e4-442a-876a-f446962520fb"]},{"id":"ITEM-2","itemData":{"DOI":"10.1017/S0950268815002046","ISSN":"14694409","PMID":"26330135","abstract":"The increase in pertussis cases in Minnesota in the last decade has been mainly attributed to the switch from whole cell to acellular pertussis [as part of the diphtheria, tetanus and acellular pertussis vaccine (DTaP)]. It is unclear, however, to what degree community-level risk factors also contribute. Understanding these factors can help inform public health policy-makers about where else to target resources. We performed an ecological analysis within Minnesota to identify risk factors at the county level using a Bayesian Poisson generalized linear areal model to account for spatial dependence. Univariate analyses suggested an association between increased pertussis rates at the county level and white maternal ethnicity, being US born, urban counties and average household size. In the multivariable analysis, the rate of pertussis was 1·79 times greater for urban vs. rural counties and 4·75 times greater for counties with a one-person larger average household size. Pertussis rates in counties with higher (i.e. 4+DTaP) receipt in children were 0·97 times lower. Examining county-level factors associated with varying levels of pertussis may help identify those counties that would most benefit from targeted interventions and increased resource allocation.","author":[{"dropping-particle":"","family":"Iroh Tam","given":"P. Y.","non-dropping-particle":"","parse-names":false,"suffix":""},{"dropping-particle":"","family":"Menk","given":"J. S.","non-dropping-particle":"","parse-names":false,"suffix":""},{"dropping-particle":"","family":"Hughes","given":"J.","non-dropping-particle":"","parse-names":false,"suffix":""},{"dropping-particle":"","family":"Kulasingam","given":"S. L.","non-dropping-particle":"","parse-names":false,"suffix":""}],"container-title":"Epidemiology and Infection","id":"ITEM-2","issue":"4","issued":{"date-parts":[["2016"]]},"page":"847-855","title":"An ecological analysis of pertussis disease in Minnesota, 2009-2013","type":"article-journal","volume":"144"},"uris":["http://www.mendeley.com/documents/?uuid=6b0940fd-4032-4c89-b503-9d178a66f28e","http://www.mendeley.com/documents/?uuid=6d607907-bc62-49ec-a699-6b4734403636","http://www.mendeley.com/documents/?uuid=f16837d8-c59e-4ef5-8cbe-e0ff03755309"]}],"mendeley":{"formattedCitation":"(Siegal et al., 1997; Iroh Tam et al., 2016)","plainTextFormattedCitation":"(Siegal et al., 1997; Iroh Tam et al., 2016)","previouslyFormattedCitation":"(Siegal et al., 1997; Iroh Tam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(Siegal et al., 1997; Iroh Tam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and other countries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{"citationItems":[{"id":"ITEM-1","itemData":{"DOI":"10.1371/journal.pone.0172383","ISSN":"19326203","abstract":"Background: Despite high vaccination coverage, pertussis incidence in the Netherlands is amongst the highest in Europe with a shifting tendency towards adults and elderly. Early detection of outbreaks and preventive actions are necessary to prevent severe complications in infants. Efficient pertussis control requires additional background knowledge about the determinants of testing and possible determinants of the current pertussis incidence. Therefore, the aim of our study is to examine the possibility of locating possible pertussis outbreaks using spacetime cluster detection and to examine the determinants of pertussis testing and incidence using geographically weighted regression models. Methods: We analysed laboratory registry data including all geocoded pertussis tests in the southern area of the Netherlands between 2007 and 2013. Socio-demographic and infrastructurerelated population data were matched to the geo-coded laboratory data. The spatial scan statistic was applied to detect spatial and space-time clusters of testing, incidence and testpositivity. Geographically weighted Poisson regression (GWPR) models were then constructed to model the associations between the age-specific rates of testing and incidence and possible population-based determinants. Results: Space-time clusters for pertussis incidence overlapped with space-time clusters for testing, reflecting a strong relationship between testing and incidence, irrespective of the examined age group. Testing for pertussis itself was overall associated with lower socio-economic status, multi-person-households, proximity to primary school and availability of healthcare. The current incidence in contradiction is mainly determined by testing and is not associated with a lower socioeconomic status. Discussion: Testing for pertussis follows to an extent the general healthcare seeking behaviour for common respiratory infections, whereas the current pertussis incidence is largely the result of testing. More testing would thus not necessarily improve pertussis control. Detecting outbreaks using space-time cluster detection is feasible but needs to adjust for the strong impact of testing on the detection of pertussis cases.","author":[{"dropping-particle":"","family":"Kauhl","given":"Boris","non-dropping-particle":"","parse-names":false,"suffix":""},{"dropping-particle":"","family":"Heil","given":"Jeanne","non-dropping-particle":"","parse-names":false,"suffix":""},{"dropping-particle":"","family":"Hoebe","given":"Christian J.P.A.","non-dropping-particle":"","parse-names":false,"suffix":""},{"dropping-particle":"","family":"Schweikart","given":"Jürgen","non-dropping-particle":"","parse-names":false,"suffix":""},{"dropping-particle":"","family":"Krafft","given":"Thomas","non-dropping-particle":"","parse-names":false,"suffix":""},{"dropping-particle":"","family":"Dukers-Muijrers","given":"Nicole H.T.M.","non-dropping-particle":"","parse-names":false,"suffix":""}],"container-title":"PLoS ONE","id":"ITEM-1","issue":"3","issued":{"date-parts":[["2017"]]},"page":"1-21","title":"Is the current pertussis incidence only the results of testing? A spatial and space-time analysis of pertussis surveillance data using cluster detection methods and geographically weighted regression modelling","type":"article-journal","volume":"12"},"uris":["http://www.mendeley.com/documents/?uuid=acff0ff7-adf8-4135-b0af-4c78ea286830","http://www.mendeley.com/documents/?uuid=2364a7aa-f165-4f6d-a6a6-6400d0b3125c","http://www.mendeley.com/documents/?uuid=8615db08-f127-403b-bbe2-024d20f74415"]},{"id":"ITEM-2","itemData":{"DOI":"10.1016/j.heliyon.2020.e05102","ISSN":"24058440","abstract":"Vaccination is the second most effective health measure to maintain public health and prevent diseases after providing safe drinking water. This study aimed to determine the geographical distribution of vaccine-preventable diseases (VPDs) in Qom Province in four years (2015–2018) using Geographic Information System (GIS). In this cross-sectional study, the indicators of VPDs surveillance were extracted from the VPDs surveillance system at the Centers for Disease Control and Prevention (CDC) in Qom University of Medical Sciences. They were further evaluated, and the incidences of VPDs in the study years were investigated. Finally, the spatial distribution map of VPDs was provided for surveillance quality in each Qom district by Arc GIS 10.3 software. The annual incidence rate (AIR) was estimated to be 18.47 for hepatitis B, 0.29 for measles, 0.13 for rubella, 0.09 for pertussis, 0.29 for diphtheria and 0.91 for acute flaccid paralysis (AFP). The highest incidences of AFP, rubella and measles were observed in Markazi district. Salafchegan was a district with the highest incidence of diphtheria, and the highest incidence rate of hepatitis B was observed in Khalajestan district. In addition, all pertussis cases were reported from Qom city. According to thematic maps of GIS, the annual incidence rate of VPDs in Qom Province was lower than the mean rate in Iran. Nevertheless, it is highly recommended that a high immunization coverage should be done in the childhood and good surveillance indicators such as non-disease discarded rate, and the proportion of suspected cases with an adequate investigation should be used to monitor VPDs.","author":[{"dropping-particle":"","family":"Mohammadbeigi","given":"Abolfazl","non-dropping-particle":"","parse-names":false,"suffix":""},{"dropping-particle":"","family":"Saghafipour","given":"Abedin","non-dropping-particle":"","parse-names":false,"suffix":""},{"dropping-particle":"","family":"Jesri","given":"Nahid","non-dropping-particle":"","parse-names":false,"suffix":""},{"dropping-particle":"","family":"Tarkhan","given":"Fatemeh Zahra","non-dropping-particle":"","parse-names":false,"suffix":""},{"dropping-particle":"","family":"Jooshin","given":"Moharram Karami","non-dropping-particle":"","parse-names":false,"suffix":""}],"container-title":"Heliyon","id":"ITEM-2","issue":"9","issued":{"date-parts":[["2020"]]},"title":"Spatial distribution of vaccine-preventable diseases in central Iran in 2015–2018: A GIS-based study","type":"article-journal","volume":"6"},"uris":["http://www.mendeley.com/documents/?uuid=08daea77-d316-40a5-b15d-81a82bcc056e","http://www.mendeley.com/documents/?uuid=54b37567-0cc2-4cb1-abe5-f6dbf99d2087","http://www.mendeley.com/documents/?uuid=e0dedf5f-e2eb-4fe5-aab2-b4a195cf043c"]}],"mendeley":{"formattedCitation":"(Kauhl et al., 2017; Mohammadbeigi et al., 2020)","plainTextFormattedCitation":"(Kauhl et al., 2017; Mohammadbeigi et al., 2020)","previouslyFormattedCitation":"(Kauhl et al., 2017; Mohammadbeigi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(Kauhl et al., 2017; Mohammadbeigi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 study in Colorado analyzed data for the time period 1986-1994 and identified consistent clusters of high pertussis risk in the state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Siegal","given":"C","non-dropping-particle":"","parse-names":false,"suffix":""},{"dropping-particle":"","family":"Davidson","given":"A","non-dropping-particle":"","parse-names":false,"suffix":""},{"dropping-particle":"","family":"Kafadar","given":"K","non-dropping-particle":"","parse-names":false,"suffix":""},{"dropping-particle":"","family":"Norris","given":"JM","non-dropping-particle":"","parse-names":false,"suffix":""},{"dropping-particle":"","family":"Todd","given":"J","non-dropping-particle":"","parse-names":false,"suffix":""},{"dropping-particle":"","family":"Steiner","given":"J","non-dropping-particle":"","parse-names":false,"suffix":""}],"container-title":"American Journal of Public Health","id":"ITEM-1","issued":{"date-parts":[["1997"]]},"page":"2022-2026","title":"Geographic analysis of pertussis infection in an urban area: a tool for health services planning.","type":"article-journal","volume":"87"},"uris":["http://www.mendeley.com/documents/?uuid=986beb02-06e4-442a-876a-f446962520fb"]}],"mendeley":{"formattedCitation":"(Siegal et al., 1997)","plainTextFormattedCitation":"(Siegal et al., 1997)","previouslyFormattedCitation":"(Siegal et al., 1997)"},"properties":{"noteIndex":0},"schema":"https://github.com/citation-style-language/schema/raw/master/csl-citation.json"}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(Siegal et al., 1997)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 authors reported that high rates of pertussis were associated with census tracts with higher proportions of residents living below the poverty line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Siegal","given":"C","non-dropping-particle":"","parse-names":false,"suffix":""},{"dropping-particle":"","family":"Davidson","given":"A","non-dropping-particle":"","parse-names":false,"suffix":""},{"dropping-particle":"","family":"Kafadar","given":"K","non-dropping-particle":"","parse-names":false,"suffix":""},{"dropping-particle":"","family":"Norris","given":"JM","non-dropping-particle":"","parse-names":false,"suffix":""},{"dropping-particle":"","family":"Todd","given":"J","non-dropping-particle":"","parse-names":false,"suffix":""},{"dropping-particle":"","family":"Steiner","given":"J","non-dropping-particle":"","parse-names":false,"suffix":""}],"container-title":"American Journal of Public Health","id":"ITEM-1","issued":{"date-parts":[["1997"]]},"page":"2022-2026","title":"Geographic analysis of pertussis infection in an urban area: a tool for health services planning.","type":"article-journal","volume":"87"},"uris":["http://www.mendeley.com/documents/?uuid=986beb02-06e4-442a-876a-f446962520fb"]}],"mendeley":{"formattedCitation":"(Siegal et al., 1997)","plainTextFormattedCitation":"(Siegal et al., 1997)","previouslyFormattedCitation":"(Siegal et al., 1997)"},"properties":{"noteIndex":0},"schema":"https://github.com/citation-style-language/schema/raw/master/csl-citation.json"}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(Siegal et al., 1997)</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Iranian study of vaccine-preventable diseases at the district-level using data for the time period 2015-2018, reported that pertussis cases were identified in urban areas exclusively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{"citationItems":[{"id":"ITEM-1","itemData":{"DOI":"10.1016/j.heliyon.2020.e05102","ISSN":"24058440","abstract":"Vaccination is the second most effective health measure to maintain public health and prevent diseases after providing safe drinking water. This study aimed to determine the geographical distribution of vaccine-preventable diseases (VPDs) in Qom Province in four years (2015–2018) using Geographic Information System (GIS). In this cross-sectional study, the indicators of VPDs surveillance were extracted from the VPDs surveillance system at the Centers for Disease Control and Prevention (CDC) in Qom University of Medical Sciences. They were further evaluated, and the incidences of VPDs in the study years were investigated. Finally, the spatial distribution map of VPDs was provided for surveillance quality in each Qom district by Arc GIS 10.3 software. The annual incidence rate (AIR) was estimated to be 18.47 for hepatitis B, 0.29 for measles, 0.13 for rubella, 0.09 for pertussis, 0.29 for diphtheria and 0.91 for acute flaccid paralysis (AFP). The highest incidences of AFP, rubella and measles were observed in Markazi district. Salafchegan was a district with the highest incidence of diphtheria, and the highest incidence rate of hepatitis B was observed in Khalajestan district. In addition, all pertussis cases were reported from Qom city. According to thematic maps of GIS, the annual incidence rate of VPDs in Qom Province was lower than the mean rate in Iran. Nevertheless, it is highly recommended that a high immunization coverage should be done in the childhood and good surveillance indicators such as non-disease discarded rate, and the proportion of suspected cases with an adequate investigation should be used to monitor VPDs.","author":[{"dropping-particle":"","family":"Mohammadbeigi","given":"Abolfazl","non-dropping-particle":"","parse-names":false,"suffix":""},{"dropping-particle":"","family":"Saghafipour","given":"Abedin","non-dropping-particle":"","parse-names":false,"suffix":""},{"dropping-particle":"","family":"Jesri","given":"Nahid","non-dropping-particle":"","parse-names":false,"suffix":""},{"dropping-particle":"","family":"Tarkhan","given":"Fatemeh Zahra","non-dropping-particle":"","parse-names":false,"suffix":""},{"dropping-particle":"","family":"Jooshin","given":"Moharram Karami","non-dropping-particle":"","parse-names":false,"suffix":""}],"container-title":"Heliyon","id":"ITEM-1","issue":"9","issued":{"date-parts":[["2020"]]},"title":"Spatial distribution of vaccine-preventable diseases in central Iran in 2015–2018: A GIS-based study","type":"article-journal","volume":"6"},"uris":["http://www.mendeley.com/documents/?uuid=e0dedf5f-e2eb-4fe5-aab2-b4a195cf043c","http://www.mendeley.com/documents/?uuid=54b37567-0cc2-4cb1-abe5-f6dbf99d2087","http://www.mendeley.com/documents/?uuid=08daea77-d316-40a5-b15d-81a82bcc056e"]}],"mendeley":{"formattedCitation":"(Mohammadbeigi et al., 2020)","plainTextFormattedCitation":"(Mohammadbeigi et al., 2020)","previouslyFormattedCitation":"(Mohammadbeigi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(Mohammadbeigi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2EB01CEE" w14:textId="77777777" w:rsidR="00EF2015" w:rsidRPr="003D2D46" w:rsidRDefault="00EF2015" w:rsidP="00580A15">
      <w:pPr>
        <w:spacing w:line="480" w:lineRule="auto"/>
        <w:rPr>
          <w:rFonts w:ascii="Times New Roman" w:hAnsi="Times New Roman" w:cs="Times New Roman"/>
          <w:color w:val="000000" w:themeColor="text1"/>
        </w:rPr>
      </w:pPr>
    </w:p>
    <w:p w14:paraId="3552A5BC" w14:textId="407C06B2"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Findings from this study indicate that the risk of pertussis was higher during the time period 2010-2012 than any other time within the study period and a greater number of counties had higher risks during this time period. This is consistent with an increase in pertussis risk reported in the United States during this period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{"citationItems":[{"id":"ITEM-1","itemData":{"DOI":"10.1093/infdis/jiu001","ISSN":"15376613","abstract":"Before vaccination, pertussis was a universal disease of early childhood. Although apparent control of the disease in the United States and other countries was achieved through vaccination, pertussis is resurgent. Though acellular vaccines have been in use for 20 years, new data are emerging on their effectiveness and durability of protection and the contribution of these characteristics to the resurgence of pertussis. © The Author 2014.","author":[{"dropping-particle":"","family":"Clark","given":"Thomas A.","non-dropping-particle":"","parse-names":false,"suffix":""}],"container-title":"Journal of Infectious Diseases","id":"ITEM-1","issue":"7","issued":{"date-parts":[["2014"]]},"page":"978-981","title":"Changing pertussis epidemiology: Everything old is new again","type":"article-journal","volume":"209"},"uris":["http://www.mendeley.com/documents/?uuid=19ce94ac-c12c-4c5d-b888-a4f1335a5235"]}],"mendeley":{"formattedCitation":"(Clark, 2014)","plainTextFormattedCitation":"(Clark, 2014)","previouslyFormattedCitation":"(Clark,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(Clark,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Temporal changes and epidemic cycles of pertussis are well documented in the literature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{"citationItems":[{"id":"ITEM-1","itemData":{"DOI":"10.1016/s0140-6736(82)92214-0","ISSN":"01406736","PMID":"6121976","abstract":"Controversy about the efficacy and safety of pertussis vaccines has diverted attention from other aspects of whooping cough epidemiology. One such issue is the timing and mechanism underlying periodic epidemics. An examination stimulated by the epidemic now beginning in England and Wales has raised questions about conventional measures of vaccine efficacy. Though overall pertussis incidence fell in England and Wales subsequent to the introduction of vaccination on a national scale in the 1950s, pertussis epidemics have continued to occur regularly every 3-4 years. Since epidemic frequency is a function of the rate of influx of susceptibles, it is surprising that the interepidemic period did not decrease after the 1974 fall in vaccine uptake. One explanation for this paradox may be that pertussis vaccines are more effective in protecting against disease than in protecting against infection. This distinction should be considered in discussions of the efficacy of any vaccine.","author":[{"dropping-particle":"","family":"Fine","given":"P. E.M.","non-dropping-particle":"","parse-names":false,"suffix":""},{"dropping-particle":"","family":"Clarkson","given":"J. A.","non-dropping-particle":"","parse-names":false,"suffix":""}],"container-title":"Lancet","id":"ITEM-1","issue":"8273","issued":{"date-parts":[["1982"]]},"page":"666-669","title":"The recurrence of whooping cough: Possible implications for assessment of vaccine efficacy","type":"article-journal","volume":"1"},"uris":["http://www.mendeley.com/documents/?uuid=704ddbe1-7179-4ea6-a626-6ce1b8f8e258","http://www.mendeley.com/documents/?uuid=9d18316c-d98f-43e9-a11c-f6cf7ae811d8","http://www.mendeley.com/documents/?uuid=12693b55-335d-4c88-864c-db9f8eda7950"]},{"id":"ITEM-2","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Sciences","id":"ITEM-2","issue":"1698","issued":{"date-parts":[["2010"]]},"page":"3239-3245","title":"Impact of vaccination and birth rate on the epidemiology of pertussis: A comparative study in 64 countries","type":"article-journal","volume":"277"},"uris":["http://www.mendeley.com/documents/?uuid=d8d23c2a-eb68-412e-bd40-423920a405b1","http://www.mendeley.com/documents/?uuid=29635471-f1f9-4ba4-b2d8-cead1f36f59a","http://www.mendeley.com/documents/?uuid=7874d030-0a9f-43f3-bb7c-9eec0debda36","http://www.mendeley.com/documents/?uuid=054678a6-ba8d-4999-924a-9dc719f931de"]},{"id":"ITEM-3","itemData":{"author":[{"dropping-particle":"","family":"Bouchez","given":"Valerie","non-dropping-particle":"","parse-names":false,"suffix":""},{"dropping-particle":"","family":"Guiso","given":"Nicole","non-dropping-particle":"","parse-names":false,"suffix":""}],"container-title":"Pathogens and Disease","id":"ITEM-3","issue":"7","issued":{"date-parts":[["2015"]]},"title":"Bordetella pertussis, B. parapertussis, vaccines and cycles of whooping cough","type":"article-journal","volume":"73"},"uris":["http://www.mendeley.com/documents/?uuid=22641bfe-7b77-4ee1-b83a-0814656ac4f7"]}],"mendeley":{"formattedCitation":"(Fine &amp; Clarkson, 1982; Broutin et al., 2010; Bouchez &amp; Guiso, 2015)","plainTextFormattedCitation":"(Fine &amp; Clarkson, 1982; Broutin et al., 2010; Bouchez &amp; Guiso, 2015)","previouslyFormattedCitation":"(Fine &amp; Clarkson, 1982; Broutin et al., 2010; Bouchez &amp; Guiso,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(Fine &amp; Clarkson, 1982; Broutin et al., 2010; Bouchez &amp; Guiso,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Broutin </w:t>
      </w:r>
      <w:r w:rsidRPr="003D2D46">
        <w:rPr>
          <w:rFonts w:ascii="Times New Roman" w:hAnsi="Times New Roman" w:cs="Times New Roman"/>
          <w:i/>
          <w:color w:val="000000" w:themeColor="text1"/>
        </w:rPr>
        <w:t>et al</w:t>
      </w:r>
      <w:r w:rsidRPr="003D2D46">
        <w:rPr>
          <w:rFonts w:ascii="Times New Roman" w:hAnsi="Times New Roman" w:cs="Times New Roman"/>
          <w:color w:val="000000" w:themeColor="text1"/>
        </w:rPr>
        <w:t xml:space="preserve">.’s comparative study of 64 countries reported that pertussis epidemics were characterized by a 3-5 year cyclical pattern. They suggested that these temporal variations were due to regional variations of demographics, vaccination coverage, surveillance strategies, and </w:t>
      </w:r>
      <w:r w:rsidRPr="003D2D46">
        <w:rPr>
          <w:rFonts w:ascii="Times New Roman" w:hAnsi="Times New Roman" w:cs="Times New Roman"/>
          <w:color w:val="000000" w:themeColor="text1"/>
        </w:rPr>
        <w:lastRenderedPageBreak/>
        <w:t xml:space="preserve">changes in the circulating bacteria subtypes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{"citationItems":[{"id":"ITEM-1","itemData":{"DOI":"10.1098/rspb.2010.0994","ISSN":"14712970","abstract":"Bordetella pertussis infection remains an important public health problem worldwide despite decades of routine vaccination. A key indicator of the impact of vaccination programmes is the inter-epidemic period, which is expected to increase with vaccine uptake if there is significant herd immunity. Based on empirical data from 64 countries across the five continents over the past 30-70 years, we document the observed relationship between the average inter-epidemic period, birth rate and vaccine coverage. We then use a mathematical model to explore the range of scenarios for duration of immunity and transmission resulting from repeat infections that are consistent with empirical evidence. Estimates of pertussis periodicity ranged between 2 and 4.6 years, with a strong association with susceptible recruitment rate, defined as birth rate x (1 - vaccine coverage). Periodicity increased by 1.27 years on average after the introduction of national vaccination programmes (95% CI: 1.13, 1.41 years), indicative of increased herd immunity. Mathematical models suggest that the observed patterns of pertussis periodicity are equally consistent with loss of immunity that is not as rapid as currently thought, or with negligible transmission generated by repeat infections. We conclude that both vaccine coverage and birth rate drive pertussis periodicity globally and that vaccination induces strong herd immunity effects. A better understanding of the role of repeat infections in pertussis transmission is critical to refine existing control strategies. © 2010 The Royal Society.","author":[{"dropping-particle":"","family":"Broutin","given":"H.","non-dropping-particle":"","parse-names":false,"suffix":""},{"dropping-particle":"","family":"Viboud","given":"C.","non-dropping-particle":"","parse-names":false,"suffix":""},{"dropping-particle":"","family":"Grenfell","given":"B. T.","non-dropping-particle":"","parse-names":false,"suffix":""},{"dropping-particle":"","family":"Miller","given":"M. A.","non-dropping-particle":"","parse-names":false,"suffix":""},{"dropping-particle":"","family":"Rohani","given":"P.","non-dropping-particle":"","parse-names":false,"suffix":""}],"container-title":"Proceedings of the Royal Society B: Biological Sciences","id":"ITEM-1","issue":"1698","issued":{"date-parts":[["2010"]]},"page":"3239-3245","title":"Impact of vaccination and birth rate on the epidemiology of pertussis: A comparative study in 64 countries","type":"article-journal","volume":"277"},"uris":["http://www.mendeley.com/documents/?uuid=d8d23c2a-eb68-412e-bd40-423920a405b1","http://www.mendeley.com/documents/?uuid=29635471-f1f9-4ba4-b2d8-cead1f36f59a","http://www.mendeley.com/documents/?uuid=c37ba5ff-ffdd-426e-8528-d1a7b86d68ac"]},{"id":"ITEM-2","itemData":{"author":[{"dropping-particle":"","family":"Bouchez","given":"Valerie","non-dropping-particle":"","parse-names":false,"suffix":""},{"dropping-particle":"","family":"Guiso","given":"Nicole","non-dropping-particle":"","parse-names":false,"suffix":""}],"container-title":"Pathogens and Disease","id":"ITEM-2","issue":"7","issued":{"date-parts":[["2015"]]},"title":"Bordetella pertussis, B. parapertussis, vaccines and cycles of whooping cough","type":"article-journal","volume":"73"},"uris":["http://www.mendeley.com/documents/?uuid=22641bfe-7b77-4ee1-b83a-0814656ac4f7"]}],"mendeley":{"formattedCitation":"(Broutin et al., 2010; Bouchez &amp; Guiso, 2015)","plainTextFormattedCitation":"(Broutin et al., 2010; Bouchez &amp; Guiso, 2015)","previouslyFormattedCitation":"(Broutin et al., 2010; Bouchez &amp; Guiso,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C90BEC" w:rsidRPr="003D2D46">
        <w:rPr>
          <w:rFonts w:ascii="Times New Roman" w:hAnsi="Times New Roman" w:cs="Times New Roman"/>
          <w:noProof/>
          <w:color w:val="000000" w:themeColor="text1"/>
        </w:rPr>
        <w:t>(Broutin et al., 2010; Bouchez &amp; Guiso,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3EACFDE1" w14:textId="77777777" w:rsidR="00ED2834" w:rsidRPr="003D2D46" w:rsidRDefault="00ED2834" w:rsidP="00580A15">
      <w:pPr>
        <w:spacing w:line="480" w:lineRule="auto"/>
        <w:rPr>
          <w:rFonts w:ascii="Times New Roman" w:hAnsi="Times New Roman" w:cs="Times New Roman"/>
          <w:color w:val="000000" w:themeColor="text1"/>
        </w:rPr>
      </w:pPr>
    </w:p>
    <w:p w14:paraId="0D947FC0" w14:textId="2C73E511"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current study also identified high-risk clusters of county-level pertussis risk around some major metropolitan areas in Florida. These findings are consistent with findings from other studies, including an analysis of pertussis in Ohio, which reported geographic clusters of pertussis cases around metropolitan areas </w:t>
      </w:r>
      <w:r w:rsidRPr="003D2D46">
        <w:rPr>
          <w:rFonts w:ascii="Times New Roman" w:hAnsi="Times New Roman" w:cs="Times New Roman"/>
          <w:color w:val="000000" w:themeColor="text1"/>
        </w:rPr>
        <w:fldChar w:fldCharType="begin" w:fldLock="1"/>
      </w:r>
      <w:r w:rsidR="004F4056" w:rsidRPr="003D2D46">
        <w:rPr>
          <w:rFonts w:ascii="Times New Roman" w:hAnsi="Times New Roman" w:cs="Times New Roman"/>
          <w:color w:val="000000" w:themeColor="text1"/>
        </w:rPr>
        <w:instrText>ADDIN CSL_CITATION {"citationItems":[{"id":"ITEM-1","itemData":{"author":[{"dropping-particle":"","family":"Rowe","given":"Shannon A","non-dropping-particle":"","parse-names":false,"suffix":""}],"container-title":"2006 Nationa Immunization Conference. Immunization: The Cuting edge of Public Health","id":"ITEM-1","issued":{"date-parts":[["2006"]]},"title":"Pertussis in Ohio: Using GIS-based analysis to investigate increased incidence","type":"paper-conference"},"uris":["http://www.mendeley.com/documents/?uuid=47f309ec-56a7-40bd-b6ad-dfb23d6b040e","http://www.mendeley.com/documents/?uuid=9695edfd-41f9-4d81-adff-03b8dd56a3ce","http://www.mendeley.com/documents/?uuid=7dd7ee1b-8812-4cab-ab4f-c8bf19db35e4"]}],"mendeley":{"formattedCitation":"(Rowe, 2006)","plainTextFormattedCitation":"(Rowe, 2006)","previouslyFormattedCitation":"(Rowe, 2006)"},"properties":{"noteIndex":0},"schema":"https://github.com/citation-style-language/schema/raw/master/csl-citation.json"}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(Rowe, 2006)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Additionally, a comparative study of two outbreaks in Minnesota reported an association between population density and pertussis case density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{"citationItems":[{"id":"ITEM-1","itemData":{"DOI":"10.1136/bmjopen-2018-025521","ISSN":"20446055","abstract":"Objective Two pertussis outbreaks occurred in Olmsted County, Minnesota, during 2004-2005 and 2012 (5-10 times higher than other years), with significantly higher incidence than for the State. We aimed to assess whether there were similar spatio-temporal patterns between the two outbreaks. Setting Olmsted County, Minnesota, USA Participants We conducted a population-based retrospective cohort study of all Olmsted County residents during the 2004-2005 and 2012 outbreaks, including laboratory-positive pertussis cases. Primary outcome measure For each outbreak, we estimated (1) age-specific incidence rate using laboratory-positive pertussis cases (numerator) and the Rochester Epidemiology Project Census (denominator), a medical record-linkage system for virtually all Olmsted County residents, and (2) pertussis case density using kernel density estimation to identify areas with high case density. To account for population size, we calculated relative difference of observed density and expected density based on age-specific incidence. Results We identified 157 and 195 geocoded cases in 2004-2005 and 2012, respectively. Incidence was the highest among adolescents (ages 11 to &lt;14 years) for both outbreaks (9.6 and 7.9 per 1000). The 2004-2005 pertussis outbreak had higher incidence in winter (52% of cases) versus summer in 2012 (53%). We identified a consistent area with higher incidence at the beginning (ie, first quartile) of two outbreaks, but it was inconsistent for later quartiles. The relative difference maps for the two outbreaks suggest a greater role of neighbourhood population size in 2012 compared with 2004-2005. Conclusions Comparing spatio-temporal patterns between two pertussis outbreaks identified a consistent geographical area with higher incidence of pertussis at the beginning of outbreaks in this community. This finding can be tested in future outbreaks, and, if confirmed, can be used for identifying epidemiological risk factors clustered in such areas for geographically targeted intervention.","author":[{"dropping-particle":"Il","family":"Wi","given":"Chung","non-dropping-particle":"","parse-names":false,"suffix":""},{"dropping-particle":"","family":"Wheeler","given":"Philip H.","non-dropping-particle":"","parse-names":false,"suffix":""},{"dropping-particle":"","family":"Kaur","given":"Harsheen","non-dropping-particle":"","parse-names":false,"suffix":""},{"dropping-particle":"","family":"Ryu","given":"Euijung","non-dropping-particle":"","parse-names":false,"suffix":""},{"dropping-particle":"","family":"Kim","given":"Dohyeong","non-dropping-particle":"","parse-names":false,"suffix":""},{"dropping-particle":"","family":"Juhn","given":"Young","non-dropping-particle":"","parse-names":false,"suffix":""}],"container-title":"BMJ Open","id":"ITEM-1","issue":"5","issued":{"date-parts":[["2019"]]},"page":"1-8","title":"Spatio-temporal comparison of pertussis outbreaks in Olmsted County, Minnesota, 2004-2005 and 2012: A population-based study","type":"article-journal","volume":"9"},"uris":["http://www.mendeley.com/documents/?uuid=8f2ea1fa-5157-4d3f-b85e-cdb594844d19","http://www.mendeley.com/documents/?uuid=dbe17f98-442c-4ca2-a415-f79bd5252aaf","http://www.mendeley.com/documents/?uuid=b83828ab-ca3e-46c0-8540-89102d04cb9d"]}],"mendeley":{"formattedCitation":"(Wi et al., 2019)","plainTextFormattedCitation":"(Wi et al., 2019)","previouslyFormattedCitation":"(Wi et al.,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(Wi et al.,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which is consistent with high risk clusters being identified in large metropolitan areas. Similarly, an ecological analysis of pertussis in Minnesota reported that urban counties had 1.79 times higher risk of the disease than rural counties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{"citationItems":[{"id":"ITEM-1","itemData":{"DOI":"10.1017/S0950268815002046","ISSN":"14694409","PMID":"26330135","abstract":"The increase in pertussis cases in Minnesota in the last decade has been mainly attributed to the switch from whole cell to acellular pertussis [as part of the diphtheria, tetanus and acellular pertussis vaccine (DTaP)]. It is unclear, however, to what degree community-level risk factors also contribute. Understanding these factors can help inform public health policy-makers about where else to target resources. We performed an ecological analysis within Minnesota to identify risk factors at the county level using a Bayesian Poisson generalized linear areal model to account for spatial dependence. Univariate analyses suggested an association between increased pertussis rates at the county level and white maternal ethnicity, being US born, urban counties and average household size. In the multivariable analysis, the rate of pertussis was 1·79 times greater for urban vs. rural counties and 4·75 times greater for counties with a one-person larger average household size. Pertussis rates in counties with higher (i.e. 4+DTaP) receipt in children were 0·97 times lower. Examining county-level factors associated with varying levels of pertussis may help identify those counties that would most benefit from targeted interventions and increased resource allocation.","author":[{"dropping-particle":"","family":"Iroh Tam","given":"P. Y.","non-dropping-particle":"","parse-names":false,"suffix":""},{"dropping-particle":"","family":"Menk","given":"J. S.","non-dropping-particle":"","parse-names":false,"suffix":""},{"dropping-particle":"","family":"Hughes","given":"J.","non-dropping-particle":"","parse-names":false,"suffix":""},{"dropping-particle":"","family":"Kulasingam","given":"S. L.","non-dropping-particle":"","parse-names":false,"suffix":""}],"container-title":"Epidemiology and Infection","id":"ITEM-1","issue":"4","issued":{"date-parts":[["2016"]]},"page":"847-855","title":"An ecological analysis of pertussis disease in Minnesota, 2009-2013","type":"article-journal","volume":"144"},"uris":["http://www.mendeley.com/documents/?uuid=f16837d8-c59e-4ef5-8cbe-e0ff03755309","http://www.mendeley.com/documents/?uuid=6d607907-bc62-49ec-a699-6b4734403636","http://www.mendeley.com/documents/?uuid=6b0940fd-4032-4c89-b503-9d178a66f28e"]}],"mendeley":{"formattedCitation":"(Iroh Tam et al., 2016)","plainTextFormattedCitation":"(Iroh Tam et al., 2016)","previouslyFormattedCitation":"(Iroh Tam et al., 2016)"},"properties":{"noteIndex":0},"schema":"https://github.com/citation-style-language/schema/raw/master/csl-citation.json"}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(Iroh Tam et al., 2016)</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Moreover, population density was also reported as a significant predictive factor, increasing pertussis risk by 6% for every 100 persons/km</w:t>
      </w:r>
      <w:r w:rsidRPr="003D2D46">
        <w:rPr>
          <w:rFonts w:ascii="Times New Roman" w:hAnsi="Times New Roman" w:cs="Times New Roman"/>
          <w:color w:val="000000" w:themeColor="text1"/>
          <w:vertAlign w:val="superscript"/>
        </w:rPr>
        <w:t>2</w:t>
      </w:r>
      <w:r w:rsidRPr="003D2D46">
        <w:rPr>
          <w:rFonts w:ascii="Times New Roman" w:hAnsi="Times New Roman" w:cs="Times New Roman"/>
          <w:color w:val="000000" w:themeColor="text1"/>
        </w:rPr>
        <w:t xml:space="preserve"> increase in population density at the public health unit-level in southern Ontario, Canada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Elghamudi","given":"Taha","non-dropping-particle":"","parse-names":false,"suffix":""},{"dropping-particle":"","family":"Berke","given":"Olaf","non-dropping-particle":"","parse-names":false,"suffix":""}],"id":"ITEM-1","issue":"1","issued":{"date-parts":[["2020"]]},"page":"16-27","title":"A geospatial analysis of pertussis and its risk factors in southern Ontario from 2005 – 2016","type":"article-journal","volume":"17"},"uris":["http://www.mendeley.com/documents/?uuid=2f1270cc-26fd-441c-bee3-ad1c4b3ea192","http://www.mendeley.com/documents/?uuid=7481038f-eba5-4341-b957-a4ad0400c05d","http://www.mendeley.com/documents/?uuid=0fb34d1d-33d8-4d08-815c-c8ae88f5896f"]}],"mendeley":{"formattedCitation":"(Elghamudi &amp; Berke, 2020)","plainTextFormattedCitation":"(Elghamudi &amp; Berke, 2020)","previouslyFormattedCitation":"(Elghamudi &amp; Berke,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(Elghamudi &amp; Berke,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is expected given that pertussis is transmitted through respiratory droplets, and hence has high transmissibility in crowded environments. Given the relatively high reproductive number of 15-17 of pertussis, it stands to reason that the more densely populated an area is, the more effective transmission will be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{"citationItems":[{"id":"ITEM-1","itemData":{"author":[{"dropping-particle":"","family":"European Centre for Disease Prevention and Control","given":"","non-dropping-particle":"","parse-names":false,"suffix":""}],"id":"ITEM-1","issue":"November 2012","issued":{"date-parts":[["2012"]]},"page":"1-11","title":"Meeting Report: Expert consultation on pertussis","type":"article-journal","volume":"375"},"uris":["http://www.mendeley.com/documents/?uuid=bbaa95c5-694b-4980-ade1-67da50011a97","http://www.mendeley.com/documents/?uuid=a82adf66-8caf-4143-8a31-3958de051227","http://www.mendeley.com/documents/?uuid=1d88d54a-c696-4b08-a8f5-ba79d9e148c9"]}],"mendeley":{"formattedCitation":"(European Centre for Disease Prevention and Control, 2012)","plainTextFormattedCitation":"(European Centre for Disease Prevention and Control, 2012)","previouslyFormattedCitation":"(European Centre for Disease Prevention and Control, 2012)"},"properties":{"noteIndex":0},"schema":"https://github.com/citation-style-language/schema/raw/master/csl-citation.json"}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(European Centre for Disease Prevention and Control, 2012)</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w:t>
      </w:r>
    </w:p>
    <w:p w14:paraId="14F5A884" w14:textId="77777777" w:rsidR="00EF2015" w:rsidRPr="003D2D46" w:rsidRDefault="00EF2015" w:rsidP="00580A15">
      <w:pPr>
        <w:spacing w:line="480" w:lineRule="auto"/>
        <w:rPr>
          <w:rFonts w:ascii="Times New Roman" w:hAnsi="Times New Roman" w:cs="Times New Roman"/>
          <w:i/>
          <w:iCs/>
          <w:color w:val="000000" w:themeColor="text1"/>
        </w:rPr>
      </w:pPr>
    </w:p>
    <w:p w14:paraId="2F4E9989" w14:textId="77777777" w:rsidR="00EF2015" w:rsidRPr="003D2D46" w:rsidRDefault="005529ED" w:rsidP="00AC2C5D">
      <w:pPr>
        <w:pStyle w:val="Heading41111"/>
        <w:spacing w:line="480" w:lineRule="auto"/>
        <w:rPr>
          <w:rFonts w:cs="Times New Roman"/>
          <w:color w:val="000000" w:themeColor="text1"/>
        </w:rPr>
      </w:pPr>
      <w:bookmarkStart w:id="247" w:name="_Toc82445588"/>
      <w:bookmarkStart w:id="248" w:name="_Toc87797153"/>
      <w:r w:rsidRPr="003D2D46">
        <w:rPr>
          <w:rFonts w:cs="Times New Roman"/>
          <w:color w:val="000000" w:themeColor="text1"/>
        </w:rPr>
        <w:lastRenderedPageBreak/>
        <w:t>5</w:t>
      </w:r>
      <w:r w:rsidR="00106487" w:rsidRPr="003D2D46">
        <w:rPr>
          <w:rFonts w:cs="Times New Roman"/>
          <w:color w:val="000000" w:themeColor="text1"/>
        </w:rPr>
        <w:t>.</w:t>
      </w:r>
      <w:r w:rsidR="00FF4BED" w:rsidRPr="003D2D46">
        <w:rPr>
          <w:rFonts w:cs="Times New Roman"/>
          <w:color w:val="000000" w:themeColor="text1"/>
        </w:rPr>
        <w:t>6</w:t>
      </w:r>
      <w:r w:rsidR="00106487" w:rsidRPr="003D2D46">
        <w:rPr>
          <w:rFonts w:cs="Times New Roman"/>
          <w:color w:val="000000" w:themeColor="text1"/>
        </w:rPr>
        <w:t xml:space="preserve">.1 </w:t>
      </w:r>
      <w:r w:rsidR="00EF2015" w:rsidRPr="003D2D46">
        <w:rPr>
          <w:rFonts w:cs="Times New Roman"/>
          <w:color w:val="000000" w:themeColor="text1"/>
        </w:rPr>
        <w:t>Predictors of Pertussis Risk</w:t>
      </w:r>
      <w:bookmarkEnd w:id="247"/>
      <w:bookmarkEnd w:id="248"/>
      <w:r w:rsidR="00EF2015" w:rsidRPr="003D2D46">
        <w:rPr>
          <w:rFonts w:cs="Times New Roman"/>
          <w:color w:val="000000" w:themeColor="text1"/>
        </w:rPr>
        <w:t xml:space="preserve"> </w:t>
      </w:r>
    </w:p>
    <w:p w14:paraId="7564DE7B" w14:textId="2134CEAE"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Significant predictors of county-level pertussis risk identified in the current study were percentage of females, median income, and rurality. Counties with high proportions of females tended to have high pertussis risk. This is consistent with findings from individual level studies that reported higher risks of pertussis among females than males in the United States, Canada, and Poland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Paradowska-Stankiewicz","given":"I","non-dropping-particle":"","parse-names":false,"suffix":""},{"dropping-particle":"","family":"Rudowska","given":"J","non-dropping-particle":"","parse-names":false,"suffix":""}],"container-title":"Przegl Epidemiol","id":"ITEM-1","issue":"4","issued":{"date-parts":[["2015"]]},"page":"745-747","title":"Pertussis in Poland, 2013","type":"article-journal","volume":"69"},"uris":["http://www.mendeley.com/documents/?uuid=30a4b944-3445-461c-a0e3-76c9856ec5d8","http://www.mendeley.com/documents/?uuid=aa949980-7b7b-4510-9aa0-6f68121425f5","http://www.mendeley.com/documents/?uuid=026acfd8-52f5-4730-a6c6-c8c57ae4cafe"]},{"id":"ITEM-2","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In","id":"ITEM-2","issued":{"date-parts":[["2000"]]},"page":"174-9","title":"Morditity of Pertussis in Adolescents and Adults","type":"article-journal","volume":"182"},"uris":["http://www.mendeley.com/documents/?uuid=055f654b-7dbf-4727-af79-dddb32cda3d5","http://www.mendeley.com/documents/?uuid=2aa63de9-5c6b-47db-b2bc-3f7e98ead561","http://www.mendeley.com/documents/?uuid=da56572b-c07a-4d08-915b-2ef49dfa3f26"]}],"mendeley":{"formattedCitation":"(De Serres et al., 2000; Paradowska-Stankiewicz &amp; Rudowska, 2015)","plainTextFormattedCitation":"(De Serres et al., 2000; Paradowska-Stankiewicz &amp; Rudowska, 2015)","previouslyFormattedCitation":"(De Serres et al., 2000; Paradowska-Stankiewicz &amp; Rudowska, 2015)"},"properties":{"noteIndex":0},"schema":"https://github.com/citation-style-language/schema/raw/master/csl-citation.json"}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(De Serres et al., 2000; Paradowska-Stankiewicz &amp; Rudowska, 2015)</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An analysis of an outbreak of pertussis in Quebec, Canada, reported that the main risk factors for pertussis were being female and working in an educational or healthcare setting. The authors proposed that the higher risk may be attributed to greater awareness of pertussis among females which could lead them to seek medical care more readily than their male counterparts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{"citationItems":[{"id":"ITEM-1","itemData":{"DOI":"10.1086/425006","ISSN":"10584838","PMID":"15578353","abstract":"The effect of age on the clinical presentation of pertussis was assessed in 664 adolescent and adult cases. Complications were more frequent in adults than in adolescents (28% vs. 16%). Pneumonia occurred in 2% of patients !30 years old but in 5%–9% of older patients. Urinary incontinence occurred in 34% of women ?50 years old. Duration of cough, risk of sinusitis, and number of nights with disturbed sleep increased with smoking and asthma. The secondary attack rate in other household members ?12 years was 11%. Pertussis in secondary case patients was less severe than in index case patients but presented with classic symptoms. The main source of infection in adolescents was schoolmates or friends; in adults it was workplace or their children. Teachers and health care workers had a greater risk of pertussis than did the general population. The burden of disease appears to increase with age, with smoking, and with asthma.","author":[{"dropping-particle":"","family":"Serres","given":"Gaston","non-dropping-particle":"De","parse-names":false,"suffix":""},{"dropping-particle":"","family":"Shadmani","given":"Ramak","non-dropping-particle":"","parse-names":false,"suffix":""},{"dropping-particle":"","family":"Duval","given":"Bernard","non-dropping-particle":"","parse-names":false,"suffix":""},{"dropping-particle":"","family":"Boulianne","given":"Nicole","non-dropping-particle":"","parse-names":false,"suffix":""},{"dropping-particle":"","family":"Dery","given":"Pierre","non-dropping-particle":"","parse-names":false,"suffix":""},{"dropping-particle":"","family":"Douville Fradet","given":"Monique","non-dropping-particle":"","parse-names":false,"suffix":""},{"dropping-particle":"","family":"Rochette","given":"Louis","non-dropping-particle":"","parse-names":false,"suffix":""},{"dropping-particle":"","family":"Halperin","given":"Scott A","non-dropping-particle":"","parse-names":false,"suffix":""}],"container-title":"Journal of In","id":"ITEM-1","issued":{"date-parts":[["2000"]]},"page":"174-9","title":"Morditity of Pertussis in Adolescents and Adults","type":"article-journal","volume":"182"},"uris":["http://www.mendeley.com/documents/?uuid=da56572b-c07a-4d08-915b-2ef49dfa3f26","http://www.mendeley.com/documents/?uuid=2aa63de9-5c6b-47db-b2bc-3f7e98ead561","http://www.mendeley.com/documents/?uuid=055f654b-7dbf-4727-af79-dddb32cda3d5"]}],"mendeley":{"formattedCitation":"(De Serres et al., 2000)","plainTextFormattedCitation":"(De Serres et al., 2000)","previouslyFormattedCitation":"(De Serres et al., 2000)"},"properties":{"noteIndex":0},"schema":"https://github.com/citation-style-language/schema/raw/master/csl-citation.json"}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(De Serres et al., 2000)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Higher pertussis risk and pertussis complications among females have also been reported in the United Kingdom and Canada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{"citationItems":[{"id":"ITEM-1","itemData":{"author":[{"dropping-particle":"","family":"Jenkinson","given":"D","non-dropping-particle":"","parse-names":false,"suffix":""}],"container-title":"BMJ","id":"ITEM-1","issued":{"date-parts":[["1995"]]},"page":"299-302","title":"Natural course of 500 consecutive cases of whooping cough: a general practive population study","type":"article-journal","volume":"310"},"uris":["http://www.mendeley.com/documents/?uuid=48f7f31d-4f07-4736-bdbe-2cc7dc3b61fa","http://www.mendeley.com/documents/?uuid=f4403bdd-9655-4836-be1f-eb3e789992eb","http://www.mendeley.com/documents/?uuid=05e72edb-503e-4598-8b6c-47cab1ebb81d"]},{"id":"ITEM-2","itemData":{"DOI":"10.1093/jpids/piy128","ISSN":"20487207","PMID":"30535079","abstract":"BACKGROUND: Recent increases in pertussis morbidity and mortality rates among young infants have led to a recommendation in some countries for vaccination against pertussis during pregnancy. Having data on the burden of pediatric pertussis in a large population over time is important for establishing the true burden of disease in the acellular pertussis (aP) vaccine era. Here, we describe age-specific epidemiology and morbidity and mortality rates in children hospitalized with pertussis over 17 years across Canada in the aP vaccine era. METHODS: Patients aged ≤16 years who were admitted to 1 of 12 pediatric tertiary-care hospitals across Canada between 1999 and 2015 with confirmed (laboratory-confirmed or epidemiologically linked) or probable (clinically diagnosed) pertussis were included. RESULTS: Overall, 1402 patients with pertussis were included. Infants aged &lt;2 months had the highest mean annual incidences of pertussis hospitalization and intensive care unit (ICU) admission (116.40 [95% confidence interval (CI), 85.32-147.49] and 33.48 [95% CI, 26.35-40.62] per 100 000 population, respectively). The overall proportion of children who required ICU admission was 25.46%, and the proportion was highest in infants aged &lt;2 months (37.90%). Over the span of this study, 21 deaths occurred. Age of &lt;16 weeks, prematurity, encephalopathy, and a confirmed pertussis diagnosis were independent risk factors for ICU admission. Age of &lt;4 weeks, prematurity, and female sex were independent risk factors for death. CONCLUSIONS: In the aP vaccine era, endemic pertussis still contributes considerably to childhood morbidity and death, particularly in infants aged &lt;2 months. Vaccination against pertussis during pregnancy has the potential to reduce this disease burden.","author":[{"dropping-particle":"","family":"Abu-Raya","given":"Bahaa","non-dropping-particle":"","parse-names":false,"suffix":""},{"dropping-particle":"","family":"Bettinger","given":"Julie A.","non-dropping-particle":"","parse-names":false,"suffix":""},{"dropping-particle":"","family":"Vanderkooi","given":"Otto G.","non-dropping-particle":"","parse-names":false,"suffix":""},{"dropping-particle":"","family":"Vaudry","given":"Wendy","non-dropping-particle":"","parse-names":false,"suffix":""},{"dropping-particle":"","family":"Halperin","given":"Scott A.","non-dropping-particle":"","parse-names":false,"suffix":""},{"dropping-particle":"","family":"Sadarangani","given":"Manish","non-dropping-particle":"","parse-names":false,"suffix":""}],"container-title":"Journal of the Pediatric Infectious Diseases Society","id":"ITEM-2","issue":"2","issued":{"date-parts":[["2020"]]},"page":"118-127","title":"Burden of Children Hospitalized With Pertussis in Canada in the Acellular Pertussis Vaccine Era, 1999-2015","type":"article-journal","volume":"9"},"uris":["http://www.mendeley.com/documents/?uuid=faef4d31-3221-4d41-b141-1c1f7234f1e6","http://www.mendeley.com/documents/?uuid=80b9d0a0-a369-49e5-b56c-6f815388bbe2","http://www.mendeley.com/documents/?uuid=19856655-1c40-41f1-8d6f-524f6fca3a9f"]}],"mendeley":{"formattedCitation":"(Jenkinson, 1995; Abu-Raya et al., 2020)","plainTextFormattedCitation":"(Jenkinson, 1995; Abu-Raya et al., 2020)","previouslyFormattedCitation":"(Jenkinson, 1995; Abu-Raya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(Jenkinson, 1995; Abu-Raya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Since the current study is not an individual-level study, the findings of the above individual-level studies cannot be directly implied to it. However, it is possible that the associations seen at the individual-level may apply at the county-level as well. Suffice it to say that this is the first ecological study that has investigated sex as a potential sociodemographic predictor of pertussis risk despite evidence at the individual level that sex is an important predictor of pertussis risk </w:t>
      </w:r>
      <w:r w:rsidRPr="003D2D46">
        <w:rPr>
          <w:rFonts w:ascii="Times New Roman" w:hAnsi="Times New Roman" w:cs="Times New Roman"/>
          <w:color w:val="000000" w:themeColor="text1"/>
        </w:rPr>
        <w:fldChar w:fldCharType="begin" w:fldLock="1"/>
      </w:r>
      <w:r w:rsidR="00C90BEC" w:rsidRPr="003D2D46">
        <w:rPr>
          <w:rFonts w:ascii="Times New Roman" w:hAnsi="Times New Roman" w:cs="Times New Roman"/>
          <w:color w:val="000000" w:themeColor="text1"/>
        </w:rPr>
        <w:instrText>ADDIN CSL_CITATION {"citationItems":[{"id":"ITEM-1","itemData":{"DOI":"10.1017/S0950268816003289","ISSN":"14694409","PMID":"28091337","abstract":"Pertussis epidemics have displayed substantial spatial heterogeneity in countries with high socioeconomic conditions and high vaccine coverage. This study aims to investigate the relationship between pertussis risk and socio-environmental factors on the spatio-temporal variation underlying pertussis infection. We obtained daily case numbers of pertussis notifications from Queensland Health, Australia by postal area, for the period January 2006 to December 2012. A Bayesian spatio-temporal model was used to quantify the relationship between monthly pertussis incidence and socio-environmental factors. The socio-environmental factors included monthly mean minimum temperature (MIT), monthly mean vapour pressure (VAP), Queensland school calendar pattern (SCP), and socioeconomic index for area (SEIFA). An increase in pertussis incidence was observed from 2006 to 2010 and a slight decrease from 2011 to 2012. Spatial analyses showed pertussis incidence across Queensland postal area to be low and more spatially homogeneous during 2006-2008; incidence was higher and more spatially heterogeneous after 2009. The results also showed that the average decrease in monthly pertussis incidence was 3·1% [95% credible interval (CrI) 1·3-4·8] for each 1 °C increase in monthly MIT, while average increase in monthly pertussis incidences were 6·2% (95% CrI 0·4-12·4) and 2% (95% CrI 1-3) for SCP periods and for each 10-unit increase in SEIFA, respectively. This study demonstrated that pertussis transmission is significantly associated with MIT, SEIFA, and SCP. Mapping derived from this work highlights the potential for future investigation and areas for focusing future control strategies.","author":[{"dropping-particle":"","family":"Huang","given":"X.","non-dropping-particle":"","parse-names":false,"suffix":""},{"dropping-particle":"","family":"Lambert","given":"S.","non-dropping-particle":"","parse-names":false,"suffix":""},{"dropping-particle":"","family":"Lau","given":"C.","non-dropping-particle":"","parse-names":false,"suffix":""},{"dropping-particle":"","family":"Soares Magalhaes","given":"R. J.","non-dropping-particle":"","parse-names":false,"suffix":""},{"dropping-particle":"","family":"Marquess","given":"J.","non-dropping-particle":"","parse-names":false,"suffix":""},{"dropping-particle":"","family":"Rajmokan","given":"M.","non-dropping-particle":"","parse-names":false,"suffix":""},{"dropping-particle":"","family":"Milinovich","given":"G.","non-dropping-particle":"","parse-names":false,"suffix":""},{"dropping-particle":"","family":"Hu","given":"W.","non-dropping-particle":"","parse-names":false,"suffix":""}],"container-title":"Epidemiology and Infection","id":"ITEM-1","issue":"6","issued":{"date-parts":[["2017"]]},"page":"1221-1230","title":"Assessing the social and environmental determinants of pertussis epidemics in Queensland, Australia: A Bayesian spatio-temporal analysis","type":"article-journal","volume":"145"},"uris":["http://www.mendeley.com/documents/?uuid=40413653-5977-4654-babc-1f82544e49f2","http://www.mendeley.com/documents/?uuid=67e60e52-07bc-4d09-b85e-61c933135714","http://www.mendeley.com/documents/?uuid=2eaba8cf-9dc8-4629-9b54-0242d5cf2186"]},{"id":"ITEM-2","itemData":{"DOI":"10.34171/mjiri.34.22","ISSN":"22516840","abstract":"Background: In spite of existing vaccination programs in many countries, outbreaks of pertussis are still reported. In Iran, the suspected and confirmed cases of pertussis are reported annually. Due to the lack of similar studies, the purpose of the current study was to determine the Spatio-temporal distribution of Pertussis using Geographic Information System (GIS) to identify high-risk areas in Iran during 2012-2018. Methods: In the current cross-sectional study, registered data in the department of vaccine-preventable diseases in the Iranian ministry of health were used. To assess the temporal trend, the Cochran-Armitage test was used. To show the spatial distribution and to identify hotspot areas, Choropleth map and Getis-Ord Gi statistics were used. All analyses performed by Arc. map10.5, Stata 15 and Excel 2010. Results: The incidence of suspect pertussis cases had an increasing trend but did not have a linear trend (p=0.06). Most of the cases happened in under 1 year infants (62.66%). The incidence of reported cases in northern areas was higher than in the Southern areas. The Zanjan had the most reported cases during the understudied period with a median of 7.63 reported cases per 100,000. The clustering of infection and hotspots were identified in northern areas of Iran including Qazvin, Qom, Markazi, and Hamadan. Conclusion: Our results showed that the cumulative incidence of reported cases is increasing. The northern provinces had the highest incidence of Pertussis. Therefore, the causes of this spatio-temporal pattern of pertussis should be determined. Also, supervision on vaccination programs in high-risk areas is recommended.","author":[{"dropping-particle":"","family":"Alimohamadi","given":"Yousef","non-dropping-particle":"","parse-names":false,"suffix":""},{"dropping-particle":"","family":"Zahraei","given":"Seyed Mohsen","non-dropping-particle":"","parse-names":false,"suffix":""},{"dropping-particle":"","family":"Karami","given":"Manoochehr","non-dropping-particle":"","parse-names":false,"suffix":""},{"dropping-particle":"","family":"Yaseri","given":"Mehdi","non-dropping-particle":"","parse-names":false,"suffix":""},{"dropping-particle":"","family":"Lotfizad","given":"Mojtaba","non-dropping-particle":"","parse-names":false,"suffix":""},{"dropping-particle":"","family":"Holakouie-Naieni","given":"Kourosh","non-dropping-particle":"","parse-names":false,"suffix":""}],"container-title":"Medical Journal of the Islamic Republic of Iran","id":"ITEM-2","issue":"1","issued":{"date-parts":[["2020"]]},"title":"Spatio-temporal analysis of pertussis using geographic information system among iranian population during 2012-2018","type":"article-journal","volume":"34"},"uris":["http://www.mendeley.com/documents/?uuid=f12eaa87-62de-48fe-a79f-aafce3f5e7da","http://www.mendeley.com/documents/?uuid=15f6e70c-7588-4285-a13b-452551e87787","http://www.mendeley.com/documents/?uuid=15b94faa-69cd-4c0b-b529-66c4e3cc1b48"]},{"id":"ITEM-3","itemData":{"DOI":"10.1098/rspb.2004.2847","ISSN":"14712970","abstract":"Extended time-series analysis of infectious diseases raises two issues: the spread of disease, and its persistence in space and time. Most studies are based on both data and models, corresponding to conditions encountered in developed countries. The present work sought to determine the impact of local heterogeneity on these two issues, regarding pertussis in tropical conditions. First, we tested the 'cities and villages' model in a small community of 30 villages in rural Senegal. Second, we focused on the impact of population size and density, as well as geographic distance, on population dynamics of pertussis. Results showed that pertussis initially arrived in urban centres, and then spread to surrounding areas. Both population size and density are implicated in the persistence of pertussis within the study area, whereas geographical distance between villages is not. This is the first study on pertussis in a developing country carried out on a very fine spatial scale. Furthermore, it confirms previous results for measles in England and Wales. © 2004 The Royal Society.","author":[{"dropping-particle":"","family":"Broutin","given":"Hélène","non-dropping-particle":"","parse-names":false,"suffix":""},{"dropping-particle":"","family":"Elguero","given":"Eric","non-dropping-particle":"","parse-names":false,"suffix":""},{"dropping-particle":"","family":"Simondon","given":"François","non-dropping-particle":"","parse-names":false,"suffix":""},{"dropping-particle":"","family":"Guégan","given":"Jean François","non-dropping-particle":"","parse-names":false,"suffix":""}],"container-title":"Proceedings of the Royal Society B: Biological Sciences","id":"ITEM-3","issue":"1553","issued":{"date-parts":[["2004"]]},"page":"2091-2098","title":"Spatial dynamics of pertussis in a small region of Senegal","type":"article-journal","volume":"271"},"uris":["http://www.mendeley.com/documents/?uuid=6c71a8c6-e4ce-43f5-b26c-0ce34dd30caf","http://www.mendeley.com/documents/?uuid=5cea91f3-a68c-40d9-ab2a-ed2520bbb6da","http://www.mendeley.com/documents/?uuid=faef1fd2-5cbe-48fe-9074-6fc9d1ecfc99"]}],"mendeley":{"formattedCitation":"(Broutin et al., 2004; Huang et al., 2017; Alimohamadi et al., 2020)","plainTextFormattedCitation":"(Broutin et al., 2004; Huang et al., 2017; Alimohamadi et al., 2020)","previouslyFormattedCitation":"(Broutin et al., 2004; Huang et al., 2017; Alimohamadi et al., 2020)"},"properties":{"noteIndex":0},"schema":"https://github.com/citation-style-language/schema/raw/master/csl-citation.json"}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(Broutin et al., 2004; Huang et al., 2017; Alimohamadi et al., 2020)</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w:t>
      </w:r>
    </w:p>
    <w:p w14:paraId="39B7F9FD" w14:textId="77777777" w:rsidR="00EF2015" w:rsidRPr="003D2D46" w:rsidRDefault="00EF2015" w:rsidP="00580A15">
      <w:pPr>
        <w:spacing w:line="480" w:lineRule="auto"/>
        <w:rPr>
          <w:rFonts w:ascii="Times New Roman" w:hAnsi="Times New Roman" w:cs="Times New Roman"/>
          <w:color w:val="000000" w:themeColor="text1"/>
        </w:rPr>
      </w:pPr>
    </w:p>
    <w:p w14:paraId="61FE2890" w14:textId="77777777"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 association between higher median income and higher county-level pertussis risk may be related to vaccine refusal since higher median income has been well-documented </w:t>
      </w:r>
      <w:r w:rsidRPr="003D2D46">
        <w:rPr>
          <w:rFonts w:ascii="Times New Roman" w:hAnsi="Times New Roman" w:cs="Times New Roman"/>
          <w:color w:val="000000" w:themeColor="text1"/>
        </w:rPr>
        <w:lastRenderedPageBreak/>
        <w:t xml:space="preserve">as associated with vaccine refusal for ideological reasons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{"citationItems":[{"id":"ITEM-1","itemData":{"DOI":"10.1186/1471-2458-14-1047","ISSN":"14712458","PMID":"25297055","abstract":"Background: Studies on the determinants of human papillomavirus (HPV) vaccine use have generally focused on individual-level characteristics, despite the potentially important influence of regional-level characteristics. Therefore, we undertook a population-based, retrospective cohort study to identify individual- and regional-level determinants of HPV vaccine refusal (non-receipt) in Ontario's (Canada) Grade 8 HPV Immunization Program. Methods: Ontario's administrative health and immunization databases were used to identify girls eligible for free HPV vaccination in 2007-2011 and to ascertain individual-level characteristics of cohort members (socio-demographics, vaccination history, health care utilization, medical history). The social and material characteristics of the girl's region (health unit) were derived from the 2006 Canadian Census. Generalized estimating equations (binomial distribution, logit link) were used to estimate the population-average effects of individual- and regional-level characteristics on HPV vaccine refusal. Results: Our cohort consisted of 144,047 girls, 49.3% of whom refused HPV vaccination. Factors associated with refusal included a previous diagnosis of Down's syndrome (OR = 1.37, 95% CI 1.16-1.63) or autism (OR = 1.60, 95% CI 1.34-1.90), few physician visits (OR = 1.45, 95% CI 1.35-1.55), and previous refusal of mandatory (OR = 2.23, 95% CI 2.07-2.40) and optional (OR = 3.96, 95% CI 3.87-4.05) vaccines. Refusal was highest among the lowest and highest income levels. Finally, a previous diagnosis of obesity and living in an area of high deprivation were associated with lower refusal (OR = 0.87, 95% CI 0.83-0.92 and OR = 0.82 95%, CI 0.79-0.86, respectively). Conclusions: Studies on HPV vaccine determinants should consider regional-level factors. Efforts to increase HPV vaccine acceptance should include vulnerable populations (such as girls of low income) and girls with limited contact with the healthcare system.","author":[{"dropping-particle":"","family":"Remes","given":"Olivia","non-dropping-particle":"","parse-names":false,"suffix":""},{"dropping-particle":"","family":"Smith","given":"Leah M.","non-dropping-particle":"","parse-names":false,"suffix":""},{"dropping-particle":"","family":"Alvarado-Llano","given":"Beatriz E.","non-dropping-particle":"","parse-names":false,"suffix":""},{"dropping-particle":"","family":"Colley","given":"Lindsey","non-dropping-particle":"","parse-names":false,"suffix":""},{"dropping-particle":"","family":"Lévesque","given":"Linda E.","non-dropping-particle":"","parse-names":false,"suffix":""}],"container-title":"BMC Public Health","id":"ITEM-1","issue":"1","issued":{"date-parts":[["2014"]]},"page":"1-9","title":"Individual- and Regional-level determinants of Human Papillomavirus (HPV) vaccine refusal: The Ontario Grade 8 HPV vaccine cohort study","type":"article-journal","volume":"14"},"uris":["http://www.mendeley.com/documents/?uuid=742cb4a2-3f47-4f40-aaa0-1888abff0267","http://www.mendeley.com/documents/?uuid=9a963461-429a-47dc-be99-e0e923281df2","http://www.mendeley.com/documents/?uuid=784b3ee8-7f8c-40a4-a7da-05254cafde02"]},{"id":"ITEM-2","itemData":{"DOI":"10.1186/1471-2431-9-18","ISSN":"14712431","PMID":"19261196","abstract":"Background: This study evaluated the utility of immunization registries in identifying vaccine refusals among children. Among refusers, we studied their socioeconomic characteristics and health care utilization patterns. Methods: Medical records were reviewed to validate refusal status in the immunization registries of two health plans. Racial, education, and income characteristics of children claiming refusal were collected based on the census tract of each child. Health care utilization was identified using both electronic medical record and insurance claims. Within the immunization registries of two HMOs in the study, some providers use refusal and medical contraindication interchangeably, and some providers tend to always use \"ever refusal.\" Therefore, we combined medical contraindication and refusal together and treated them all as \"refusal\" in this study. Results: The immunization registry, compared to chart review, had negative predictive values of 85-92% and 90-97% for 2- and 6-year olds, and positive predictive values of only 52-74% and 59-62% to identify vaccine refusals. Refusers were more likely to reside in well-educated, higher income areas than non-refusers. Refusers had not opted out of health care system and continued, although less frequently for the age 2 and under group, to use services. Conclusion: Without enhancements to immunization registries, identifying children with immunization refusal would be time consuming. Since communities where refusers live are well educated, interventions should target these communities to communicate vaccine adverse events and consequences of vaccine preventable diseases. © 2009 Wei et al; licensee BioMed Central Ltd.","author":[{"dropping-particle":"","family":"Wei","given":"Feifei","non-dropping-particle":"","parse-names":false,"suffix":""},{"dropping-particle":"","family":"Mullooly","given":"John P.","non-dropping-particle":"","parse-names":false,"suffix":""},{"dropping-particle":"","family":"Goodman","given":"Mike","non-dropping-particle":"","parse-names":false,"suffix":""},{"dropping-particle":"","family":"McCarty","given":"Maribet C.","non-dropping-particle":"","parse-names":false,"suffix":""},{"dropping-particle":"","family":"Hanson","given":"Ann M.","non-dropping-particle":"","parse-names":false,"suffix":""},{"dropping-particle":"","family":"Crane","given":"Bradley","non-dropping-particle":"","parse-names":false,"suffix":""},{"dropping-particle":"","family":"Nordin","given":"James D.","non-dropping-particle":"","parse-names":false,"suffix":""}],"container-title":"BMC Pediatrics","id":"ITEM-2","issue":"1","issued":{"date-parts":[["2009"]]},"page":"1-9","title":"Identification and characteristics of vaccine refusers","type":"article-journal","volume":"9"},"uris":["http://www.mendeley.com/documents/?uuid=39709f61-2d5b-4a51-99fd-b367bfb2e64f","http://www.mendeley.com/documents/?uuid=5a87b92f-9c6e-4284-b355-edf4f90e0d64","http://www.mendeley.com/documents/?uuid=17a327eb-1c4c-4fd2-8e41-f22cd6981b3c"]}],"mendeley":{"formattedCitation":"(Wei et al., 2009; Remes et al., 2014)","plainTextFormattedCitation":"(Wei et al., 2009; Remes et al., 2014)","previouslyFormattedCitation":"(Wei et al., 2009; Remes et al., 2014)"},"properties":{"noteIndex":0},"schema":"https://github.com/citation-style-language/schema/raw/master/csl-citation.json"}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(Wei et al., 2009; Remes et al., 2014)</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However, it is worth noting that vaccination delay has also been identified as a significant contributor to disparities in vaccination coverage and often occurs along socioeconomic and demographic lines. Children from economically disadvantaged families, with poor access to healthcare services, often have delays in their vaccination schedules. This is of particular interest because this delay can increase risk of not only pertussis illness but other vaccine-preventable diseases as well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{"citationItems":[{"id":"ITEM-1","itemData":{"DOI":"10.1016/j.jhealeco.2019.05.009","ISSN":"18791646","PMID":"31323339","abstract":"This paper examines the determinants of parental decisions about infant immunization. Using the exact timing of vaccination relative to birth, we estimate the effects of local pertussis outbreaks occurring in utero and during the first two months of life on the likelihood of on-time initial immunization for pertussis and other diseases. We find that parents respond to changes in perceived disease risk: pertussis outbreaks within a state increase the rate of on-time receipt of the pertussis vaccine at two months of age, particularly among low-socioeconomic status (SES) subgroups. In addition, we find that pertussis outbreaks increase the likelihood of immunization against other vaccine-preventable diseases. Spillover effects in low-SES subgroups are as large as direct effects and are present only for vaccines given during the same visit as the pertussis vaccine, which suggests that provider contact may be a key factor in infant vaccination decisions in poor families.","author":[{"dropping-particle":"","family":"Schaller","given":"Jessamyn","non-dropping-particle":"","parse-names":false,"suffix":""},{"dropping-particle":"","family":"Schulkind","given":"Lisa","non-dropping-particle":"","parse-names":false,"suffix":""},{"dropping-particle":"","family":"Shapiro","given":"Teny","non-dropping-particle":"","parse-names":false,"suffix":""}],"container-title":"Journal of Health Economics","id":"ITEM-1","issued":{"date-parts":[["2019"]]},"page":"102212","publisher":"Elsevier B.V.","title":"Disease outbreaks, healthcare utilization, and on-time immunization in the first year of life","type":"article-journal","volume":"67"},"uris":["http://www.mendeley.com/documents/?uuid=35908887-6dec-473a-b277-4645c5581978","http://www.mendeley.com/documents/?uuid=a59f8d9f-ddf6-490b-889c-5706701a2d94","http://www.mendeley.com/documents/?uuid=812fdc8e-f016-4101-bbd9-3e64f36e8ff0"]},{"id":"ITEM-2","itemData":{"DOI":"10.1177/003335490912400108","ISSN":"14682877","PMID":"19413027","abstract":"Objective. We identified maternal, provider, and community predictors among infants for late initiation of immunizations. Methods. We performed a retrospective cohort study of infants born between January 1, 2002, and December 31, 2004, in Philadelphia, Pennsylvania. Primary outcomes were age in days at first office-based immunization and status as a late starter (i.e., initiating office-based immunizations after 90 days of age). Candidate predictors included sociodemographic and prenatal characteristics, immunization provider practice type and size, and neighborhood factors. We performed hierarchical logistic regression and Cox regression models to identify independent predictors for being a late starter and prolonged time to first immunization. Results. Of the 65,519 infants from this birth cohort in Philadelphia's immunization registry, 54,429 (88.1%) were included in analysis and 12.6% of these were late starters. Infants whose mothers were younger, received less than five prenatal visits, had less than a high school education, had more than two children, and who smoked cigarettes prenatally were significantly more likely to be late starters. Receiving care at hospital/university-based or public health clinics was also significantly associated with likelihood of being a late starter. Neither distance between infant's residence and practice nor neighborhood socioeconomic indicators was independently associated with the outcomes. Common risk factor profiles based on practice type and four maternal characteristics were found to reliably identify infant risk. Conclusions. Maternal receipt of fewer prenatal care visits, younger maternal age, higher birth order, and receiving care at public health clinics were the strongest predictors of being a late starter and time to first immunization. Risk factor profiles based on information already collected at birth can be used to identify higher-risk infants. Early intervention and potentially partnering with prenatal care providers may be key strategies for preventing underimmunization. ©2009 Association of Schools of Public Health.","author":[{"dropping-particle":"","family":"Feemster","given":"Kristen A.","non-dropping-particle":"","parse-names":false,"suffix":""},{"dropping-particle":"","family":"Spain","given":"C. Victor","non-dropping-particle":"","parse-names":false,"suffix":""},{"dropping-particle":"","family":"Eberhart","given":"Michael","non-dropping-particle":"","parse-names":false,"suffix":""},{"dropping-particle":"","family":"Pati","given":"Susmita","non-dropping-particle":"","parse-names":false,"suffix":""},{"dropping-particle":"","family":"Watson","given":"Barbara","non-dropping-particle":"","parse-names":false,"suffix":""}],"container-title":"Public Health Reports","id":"ITEM-2","issue":"1","issued":{"date-parts":[["2009"]]},"page":"42-53","title":"Identifying infants at increased risk for late initiation of immunizations: maternal and provider characteristics","type":"article-journal","volume":"124"},"uris":["http://www.mendeley.com/documents/?uuid=0f1d63bb-ed0c-4e4c-9c82-bd57c51564c9","http://www.mendeley.com/documents/?uuid=8629bf1c-1798-44f8-8a29-a63826ae4365","http://www.mendeley.com/documents/?uuid=f7d2f4a3-219d-4cac-811e-59dede0b59e9"]},{"id":"ITEM-3","itemData":{"DOI":"10.1001/jama.293.10.1204","ISSN":"00987484","PMID":"15755943","abstract":"Context: Only 18% of children in the United States receive all vaccinations at the recommended times or acceptably early. Objective: To determine the extent of delay of vaccination during the first 24 months of life. Design, Setting, and Participants: The 2003 National Immunization Survey was conducted by random-digit dialing of households and mailings to vaccination providers to estimate vaccination coverage rates for US children aged 19 to 35 months. Data for this study were limited to 14810 children aged 24 to 35 months. Main Outcome Measures: Cumulative days undervaccinated during the first 24 months of life for each of 6 vaccines (diphtheria and tetanus toxoids and acellular pertussis; poliovirus; measles, mumps, and rubella; Haemophilus influenzae type b; hepatitis B; and varicella) and all vaccines combined, number of late vaccines, and risk factors for severe delay of vaccination. Results: Children were undervaccinated a mean of 172 days (median, 126 days) for all vaccines combined during their first 24 months of life. Approximately 34% were undervaccinated for less than 1 month and 29% for 1 to 6 months, while 37% were undervaccinated for more than 6 months. Vaccine-specific undervaccination of more than 6 months ranged from 9% for poliovirus vaccine to 21% for Haemophilus influenzae type b vaccine. An estimated 25% of children had delays in receipt of 4 or more of the 6 vaccines. Approximately 21% of children were severely delayed (undervaccinated for more than 6 months and for ≥4 vaccines). Factors associated with severe delay included having a mother who was unmarried or who did not have a college degree, living in a household with 2 or more children, being non-Hispanic black, having 2 or more vaccination providers, and using public vaccination provider(s). Conclusions: More than 1 in 3 children were undervaccinated for more than 6 months during their first 24 months of life and 1 in 4 children were delayed for at least 4 vaccines. Standard measures of vaccination coverage mask substantial shortfalls in ensuring that recommendations are followed regarding age at vaccination throughout the first 24 months of life.","author":[{"dropping-particle":"","family":"Luman","given":"Elizabeth T.","non-dropping-particle":"","parse-names":false,"suffix":""},{"dropping-particle":"","family":"Barker","given":"Lawrence E.","non-dropping-particle":"","parse-names":false,"suffix":""},{"dropping-particle":"","family":"Shaw","given":"Kate M.","non-dropping-particle":"","parse-names":false,"suffix":""},{"dropping-particle":"","family":"McCauley","given":"Mary Mason","non-dropping-particle":"","parse-names":false,"suffix":""},{"dropping-particle":"","family":"Buehler","given":"James W.","non-dropping-particle":"","parse-names":false,"suffix":""},{"dropping-particle":"","family":"Pickering","given":"Larry K.","non-dropping-particle":"","parse-names":false,"suffix":""}],"container-title":"Journal of the American Medical Association","id":"ITEM-3","issue":"10","issued":{"date-parts":[["2005"]]},"page":"1204-1211","title":"Timeliness of childhood vaccinations in the United States: Days undervaccinated and number of vaccines delayed","type":"article-journal","volume":"293"},"uris":["http://www.mendeley.com/documents/?uuid=ffd62b0d-1cb1-4cd6-ad15-7111733e9a7f","http://www.mendeley.com/documents/?uuid=c2074512-91bd-4133-ae71-dccb9280d2f6","http://www.mendeley.com/documents/?uuid=bc927bdd-43d0-4088-abf5-b6c84f701a91"]}],"mendeley":{"formattedCitation":"(Luman et al., 2005; Feemster et al., 2009; Schaller, Schulkind &amp; Shapiro, 2019)","plainTextFormattedCitation":"(Luman et al., 2005; Feemster et al., 2009; Schaller, Schulkind &amp; Shapiro, 2019)","previouslyFormattedCitation":"(Luman et al., 2005; Feemster et al., 2009; Schaller, Schulkind &amp; Shapiro,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(Luman et al., 2005; Feemster et al., 2009; Schaller, Schulkind &amp; Shapiro,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However, children with vaccine delays are usually fully vaccinated by the time they begin attending school since it is required unless an exemption has been approved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{"citationItems":[{"id":"ITEM-1","itemData":{"DOI":"10.1016/j.jhealeco.2019.05.009","ISSN":"18791646","PMID":"31323339","abstract":"This paper examines the determinants of parental decisions about infant immunization. Using the exact timing of vaccination relative to birth, we estimate the effects of local pertussis outbreaks occurring in utero and during the first two months of life on the likelihood of on-time initial immunization for pertussis and other diseases. We find that parents respond to changes in perceived disease risk: pertussis outbreaks within a state increase the rate of on-time receipt of the pertussis vaccine at two months of age, particularly among low-socioeconomic status (SES) subgroups. In addition, we find that pertussis outbreaks increase the likelihood of immunization against other vaccine-preventable diseases. Spillover effects in low-SES subgroups are as large as direct effects and are present only for vaccines given during the same visit as the pertussis vaccine, which suggests that provider contact may be a key factor in infant vaccination decisions in poor families.","author":[{"dropping-particle":"","family":"Schaller","given":"Jessamyn","non-dropping-particle":"","parse-names":false,"suffix":""},{"dropping-particle":"","family":"Schulkind","given":"Lisa","non-dropping-particle":"","parse-names":false,"suffix":""},{"dropping-particle":"","family":"Shapiro","given":"Teny","non-dropping-particle":"","parse-names":false,"suffix":""}],"container-title":"Journal of Health Economics","id":"ITEM-1","issued":{"date-parts":[["2019"]]},"page":"102212","publisher":"Elsevier B.V.","title":"Disease outbreaks, healthcare utilization, and on-time immunization in the first year of life","type":"article-journal","volume":"67"},"uris":["http://www.mendeley.com/documents/?uuid=812fdc8e-f016-4101-bbd9-3e64f36e8ff0","http://www.mendeley.com/documents/?uuid=a59f8d9f-ddf6-490b-889c-5706701a2d94","http://www.mendeley.com/documents/?uuid=35908887-6dec-473a-b277-4645c5581978"]}],"mendeley":{"formattedCitation":"(Schaller, Schulkind &amp; Shapiro, 2019)","plainTextFormattedCitation":"(Schaller, Schulkind &amp; Shapiro, 2019)","previouslyFormattedCitation":"(Schaller, Schulkind &amp; Shapiro, 2019)"},"properties":{"noteIndex":0},"schema":"https://github.com/citation-style-language/schema/raw/master/csl-citation.json"}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(Schaller, Schulkind &amp; Shapiro, 2019)</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This may explain why the current study did not identify an association between vaccination coverage and county-level pertussis risk, since we could not assess the vaccination coverage of children prior to starting compulsory kindergarten education. </w:t>
      </w:r>
    </w:p>
    <w:p w14:paraId="6E670B5B" w14:textId="77777777" w:rsidR="00EF2015" w:rsidRPr="003D2D46" w:rsidRDefault="00EF2015" w:rsidP="00580A15">
      <w:pPr>
        <w:spacing w:line="480" w:lineRule="auto"/>
        <w:rPr>
          <w:rFonts w:ascii="Times New Roman" w:hAnsi="Times New Roman" w:cs="Times New Roman"/>
          <w:color w:val="000000" w:themeColor="text1"/>
        </w:rPr>
      </w:pPr>
    </w:p>
    <w:p w14:paraId="022B833F" w14:textId="77777777"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While high-risk clusters were identified around metropolitan areas, the final multivariable model indicated that risk of pertussis was higher in rural counties than urban counties. These contradictory findings may be the result of distortion effects of percent females in the model. However, our finding that rurality is a predictor of higher county-level pertussis risk is consistent with reports of a geospatial analysis of pertussis in Saskatchewan, Canada, that rural areas had higher pertussis risk than non-rural areas </w:t>
      </w:r>
      <w:r w:rsidRPr="003D2D46">
        <w:rPr>
          <w:rFonts w:ascii="Times New Roman" w:hAnsi="Times New Roman" w:cs="Times New Roman"/>
          <w:color w:val="000000" w:themeColor="text1"/>
        </w:rPr>
        <w:fldChar w:fldCharType="begin" w:fldLock="1"/>
      </w:r>
      <w:r w:rsidR="00667C77" w:rsidRPr="003D2D46">
        <w:rPr>
          <w:rFonts w:ascii="Times New Roman" w:hAnsi="Times New Roman" w:cs="Times New Roman"/>
          <w:color w:val="000000" w:themeColor="text1"/>
        </w:rPr>
        <w:instrText>ADDIN CSL_CITATION {"citationItems":[{"id":"ITEM-1","itemData":{"DOI":"10.17269/s41997-018-0074-1","ISSN":"19207476","PMID":"29981084","abstract":"Objectives: Increased numbers of pertussis cases in September 2015 led to the declaration of an outbreak in the Saskatoon Health Region (SHR). SHR (population approximately 350,000) is a geographic area in central Saskatchewan consisting of both urban and rural municipalities. The purpose of this study was to describe the epidemiology and identify possible predictors of the outbreak. Methods: Confirmed cases of pertussis in SHR from 2010 to 2015 were extracted from the integrated Public Health Information System (iPHIS) database. Univariate and bivariate analyses and a comparison of the two outbreaks were conducted. Poisson regression modelling was used to estimate incidence rate ratios (IRRs) of factors associated with pertussis infection. Outcomes: Two outbreaks between 2010 and 2015. Factors associated with the 2015 outbreak were residence in rural areas (IRR = 18.67, 95% CI 11.82–29.49; 11.37, 95% CI 6.40–20.21; and 6.31, 95% CI 3.43–11.62) for Humboldt, Watrous, and Rosthern areas, respectively, compared to the City of Saskatoon, and among children 11–14 years of age (IRR = 3.11, 95% CI 1.67–5.79) compared to children under 5 years of age. Unvaccinated persons had increased risk (IRR = 1.60, 95% CI 1.07–2.38). Multiple interventions, including enhanced contact tracing, supplemental immunization clinics, and cocooning, were employed in the 2015 outbreak. Conclusion: Pertussis is a cyclical disease with outbreaks occurring every 3 to 5 years. Teenagers have increased risk of disease compared to younger children, likely due to waning immunity. Rural residents had a higher incidence of disease, possibly due to clusters of conscientious objectors. Control efforts require recognition of waning immunity and unvaccinated susceptibles.","author":[{"dropping-particle":"","family":"Medu","given":"Olanrewaju","non-dropping-particle":"","parse-names":false,"suffix":""},{"dropping-particle":"","family":"Anderson","given":"Maureen","non-dropping-particle":"","parse-names":false,"suffix":""},{"dropping-particle":"","family":"Enns","given":"Andrea","non-dropping-particle":"","parse-names":false,"suffix":""},{"dropping-particle":"","family":"Wright","given":"Judith","non-dropping-particle":"","parse-names":false,"suffix":""},{"dropping-particle":"","family":"Dunlop","given":"Terry","non-dropping-particle":"","parse-names":false,"suffix":""},{"dropping-particle":"","family":"Kapaj","given":"Simon","non-dropping-particle":"","parse-names":false,"suffix":""},{"dropping-particle":"","family":"Opondo","given":"John Mark","non-dropping-particle":"","parse-names":false,"suffix":""}],"container-title":"Canadian Journal of Public Health","id":"ITEM-1","issue":"3","issued":{"date-parts":[["2018"]]},"page":"362-368","publisher":"Canadian Journal of Public Health","title":"Predictors of pertussis outbreak in urban and rural municipalities of Saskatchewan, Canada","type":"article-journal","volume":"109"},"uris":["http://www.mendeley.com/documents/?uuid=1787fc5d-c7ba-47e5-a60a-2ebdc0d736a4","http://www.mendeley.com/documents/?uuid=eda4facf-5cc2-469c-908b-3dd677e4e876","http://www.mendeley.com/documents/?uuid=4407d9e8-a0af-4ad2-9a07-8e070576a1de"]}],"mendeley":{"formattedCitation":"(Medu et al., 2018)","plainTextFormattedCitation":"(Medu et al., 2018)","previouslyFormattedCitation":"(Medu et al., 2018)"},"properties":{"noteIndex":0},"schema":"https://github.com/citation-style-language/schema/raw/master/csl-citation.json"}</w:instrText>
      </w:r>
      <w:r w:rsidRPr="003D2D46">
        <w:rPr>
          <w:rFonts w:ascii="Times New Roman" w:hAnsi="Times New Roman" w:cs="Times New Roman"/>
          <w:color w:val="000000" w:themeColor="text1"/>
        </w:rPr>
        <w:fldChar w:fldCharType="separate"/>
      </w:r>
      <w:r w:rsidR="001636D5" w:rsidRPr="003D2D46">
        <w:rPr>
          <w:rFonts w:ascii="Times New Roman" w:hAnsi="Times New Roman" w:cs="Times New Roman"/>
          <w:noProof/>
          <w:color w:val="000000" w:themeColor="text1"/>
        </w:rPr>
        <w:t>(Medu et al., 2018)</w:t>
      </w:r>
      <w:r w:rsidRPr="003D2D46">
        <w:rPr>
          <w:rFonts w:ascii="Times New Roman" w:hAnsi="Times New Roman" w:cs="Times New Roman"/>
          <w:color w:val="000000" w:themeColor="text1"/>
        </w:rPr>
        <w:fldChar w:fldCharType="end"/>
      </w:r>
      <w:r w:rsidRPr="003D2D46">
        <w:rPr>
          <w:rFonts w:ascii="Times New Roman" w:hAnsi="Times New Roman" w:cs="Times New Roman"/>
          <w:color w:val="000000" w:themeColor="text1"/>
        </w:rPr>
        <w:t xml:space="preserve">. There is a clear need to explore the relationship between population density, rurality, and risk of pertussis more deeply, as there is conflict not only in this </w:t>
      </w:r>
      <w:r w:rsidRPr="003D2D46">
        <w:rPr>
          <w:rFonts w:ascii="Times New Roman" w:hAnsi="Times New Roman" w:cs="Times New Roman"/>
          <w:color w:val="000000" w:themeColor="text1"/>
        </w:rPr>
        <w:lastRenderedPageBreak/>
        <w:t>study but also in the literature. Possible explanations for these findings include lower vaccination rates due to lack of access to healthcare services or geographical differences related to objections to vaccinations.</w:t>
      </w:r>
    </w:p>
    <w:p w14:paraId="5A56ABA0" w14:textId="77777777" w:rsidR="00A04662" w:rsidRPr="003D2D46" w:rsidRDefault="00A04662" w:rsidP="00580A15">
      <w:pPr>
        <w:spacing w:line="480" w:lineRule="auto"/>
        <w:rPr>
          <w:rFonts w:ascii="Times New Roman" w:hAnsi="Times New Roman" w:cs="Times New Roman"/>
          <w:color w:val="000000" w:themeColor="text1"/>
        </w:rPr>
      </w:pPr>
    </w:p>
    <w:p w14:paraId="4A030B9E" w14:textId="77777777" w:rsidR="00EF2015" w:rsidRPr="003D2D46" w:rsidRDefault="005529ED" w:rsidP="00AC2C5D">
      <w:pPr>
        <w:pStyle w:val="Heading41111"/>
        <w:spacing w:line="480" w:lineRule="auto"/>
        <w:rPr>
          <w:rFonts w:cs="Times New Roman"/>
          <w:color w:val="000000" w:themeColor="text1"/>
        </w:rPr>
      </w:pPr>
      <w:bookmarkStart w:id="249" w:name="_Toc82445589"/>
      <w:bookmarkStart w:id="250" w:name="_Toc87797154"/>
      <w:r w:rsidRPr="003D2D46">
        <w:rPr>
          <w:rFonts w:cs="Times New Roman"/>
          <w:color w:val="000000" w:themeColor="text1"/>
        </w:rPr>
        <w:t>5</w:t>
      </w:r>
      <w:r w:rsidR="00106487" w:rsidRPr="003D2D46">
        <w:rPr>
          <w:rFonts w:cs="Times New Roman"/>
          <w:color w:val="000000" w:themeColor="text1"/>
        </w:rPr>
        <w:t>.</w:t>
      </w:r>
      <w:r w:rsidR="00FF4BED" w:rsidRPr="003D2D46">
        <w:rPr>
          <w:rFonts w:cs="Times New Roman"/>
          <w:color w:val="000000" w:themeColor="text1"/>
        </w:rPr>
        <w:t>6</w:t>
      </w:r>
      <w:r w:rsidR="00106487" w:rsidRPr="003D2D46">
        <w:rPr>
          <w:rFonts w:cs="Times New Roman"/>
          <w:color w:val="000000" w:themeColor="text1"/>
        </w:rPr>
        <w:t xml:space="preserve">.2 </w:t>
      </w:r>
      <w:r w:rsidR="00EF2015" w:rsidRPr="003D2D46">
        <w:rPr>
          <w:rFonts w:cs="Times New Roman"/>
          <w:color w:val="000000" w:themeColor="text1"/>
        </w:rPr>
        <w:t>Strengths and Limitations</w:t>
      </w:r>
      <w:bookmarkEnd w:id="249"/>
      <w:bookmarkEnd w:id="250"/>
    </w:p>
    <w:p w14:paraId="78937AF2" w14:textId="12F6E606" w:rsidR="00F404EB" w:rsidRPr="003D2D46" w:rsidRDefault="00DC4B25">
      <w:pPr>
        <w:spacing w:line="480" w:lineRule="auto"/>
        <w:rPr>
          <w:rFonts w:ascii="Times New Roman" w:hAnsi="Times New Roman" w:cs="Times New Roman"/>
          <w:shd w:val="clear" w:color="auto" w:fill="FFFFFF"/>
        </w:rPr>
      </w:pPr>
      <w:r w:rsidRPr="003D2D46">
        <w:rPr>
          <w:rFonts w:ascii="Times New Roman" w:hAnsi="Times New Roman" w:cs="Times New Roman"/>
          <w:shd w:val="clear" w:color="auto" w:fill="FFFFFF"/>
        </w:rPr>
        <w:t>To our knowledge, this is the first study to investigate spatial patterns and clusters of pertussis in Florida using rigorous spatial epidemiologic methods. The FSSS has several strengths, over other methods such as the Kulldorff’s spatial scan statistics and local indicators of spatial associations (LISA) methods such as Moran’s I: (a) it does not have the problem of multiple comparisons associated with LISA; (b) does not have pre-selection bias; (c) it is able to detect irregularly shaped clusters since it identifies all cluster shapes as opposed to Kulldorff’s spatial scan statistics which only identifies circular or elliptical clusters</w:t>
      </w:r>
      <w:r w:rsidR="000C5C0C" w:rsidRPr="003D2D46">
        <w:rPr>
          <w:rFonts w:ascii="Times New Roman" w:hAnsi="Times New Roman" w:cs="Times New Roman"/>
          <w:shd w:val="clear" w:color="auto" w:fill="FFFFFF"/>
        </w:rPr>
        <w:t xml:space="preserve"> </w:t>
      </w:r>
      <w:r w:rsidR="003F65B4" w:rsidRPr="003D2D46">
        <w:rPr>
          <w:rFonts w:ascii="Times New Roman" w:hAnsi="Times New Roman" w:cs="Times New Roman"/>
          <w:shd w:val="clear" w:color="auto" w:fill="FFFFFF"/>
        </w:rPr>
        <w:fldChar w:fldCharType="begin" w:fldLock="1"/>
      </w:r>
      <w:r w:rsidR="00C90BEC" w:rsidRPr="003D2D46">
        <w:rPr>
          <w:rFonts w:ascii="Times New Roman" w:hAnsi="Times New Roman" w:cs="Times New Roman"/>
          <w:shd w:val="clear" w:color="auto" w:fill="FFFFFF"/>
        </w:rPr>
        <w:instrText>ADDIN CSL_CITATION {"citationItems":[{"id":"ITEM-1","itemData":{"DOI":"10.1186/1476-072X-4-11","ISSN":"1476-072X","abstract":"The spatial scan statistic proposed by Kulldorff has been applied to a wide variety of epidemiological studies for cluster detection. This scan statistic, however, uses a circular window to define the potential cluster areas and thus has difficulty in correctly detecting actual noncircular clusters. A recent proposal by Duczmal and Assunção for detecting noncircular clusters is shown to detect a cluster of very irregular shape that is much larger than the true cluster in our experiences.","author":[{"dropping-particle":"","family":"Tango","given":"Toshiro","non-dropping-particle":"","parse-names":false,"suffix":""},{"dropping-particle":"","family":"Takahashi","given":"Kunihiko","non-dropping-particle":"","parse-names":false,"suffix":""}],"container-title":"International Journal of Health Geographics","id":"ITEM-1","issue":"1","issued":{"date-parts":[["2005"]]},"page":"11","title":"A flexibly shaped spatial scan statistic for detecting clusters","type":"article-journal","volume":"4"},"uris":["http://www.mendeley.com/documents/?uuid=d2308bc5-d891-4242-8a20-c77429602f00"]}],"mendeley":{"formattedCitation":"(Tango &amp; Takahashi, 2005)","plainTextFormattedCitation":"(Tango &amp; Takahashi, 2005)","previouslyFormattedCitation":"(Tango &amp; Takahashi, 2005)"},"properties":{"noteIndex":0},"schema":"https://github.com/citation-style-language/schema/raw/master/csl-citation.json"}</w:instrText>
      </w:r>
      <w:r w:rsidR="003F65B4" w:rsidRPr="003D2D46">
        <w:rPr>
          <w:rFonts w:ascii="Times New Roman" w:hAnsi="Times New Roman" w:cs="Times New Roman"/>
          <w:shd w:val="clear" w:color="auto" w:fill="FFFFFF"/>
        </w:rPr>
        <w:fldChar w:fldCharType="separate"/>
      </w:r>
      <w:r w:rsidR="003F65B4" w:rsidRPr="003D2D46">
        <w:rPr>
          <w:rFonts w:ascii="Times New Roman" w:hAnsi="Times New Roman" w:cs="Times New Roman"/>
          <w:noProof/>
          <w:shd w:val="clear" w:color="auto" w:fill="FFFFFF"/>
        </w:rPr>
        <w:t>(Tango &amp; Takahashi, 2005)</w:t>
      </w:r>
      <w:r w:rsidR="003F65B4" w:rsidRPr="003D2D46">
        <w:rPr>
          <w:rFonts w:ascii="Times New Roman" w:hAnsi="Times New Roman" w:cs="Times New Roman"/>
          <w:shd w:val="clear" w:color="auto" w:fill="FFFFFF"/>
        </w:rPr>
        <w:fldChar w:fldCharType="end"/>
      </w:r>
      <w:r w:rsidR="003F65B4" w:rsidRPr="003D2D46">
        <w:rPr>
          <w:rFonts w:ascii="Times New Roman" w:hAnsi="Times New Roman" w:cs="Times New Roman"/>
          <w:shd w:val="clear" w:color="auto" w:fill="FFFFFF"/>
        </w:rPr>
        <w:t xml:space="preserve">. </w:t>
      </w:r>
      <w:r w:rsidRPr="003D2D46">
        <w:rPr>
          <w:rFonts w:ascii="Times New Roman" w:hAnsi="Times New Roman" w:cs="Times New Roman"/>
          <w:shd w:val="clear" w:color="auto" w:fill="FFFFFF"/>
        </w:rPr>
        <w:t>Moreover, the Tango’s FSSS has been shown to work better than Kulldorff’s scan statistic for identifying small clusters</w:t>
      </w:r>
      <w:r w:rsidR="003F65B4" w:rsidRPr="003D2D46">
        <w:rPr>
          <w:rFonts w:ascii="Times New Roman" w:hAnsi="Times New Roman" w:cs="Times New Roman"/>
          <w:shd w:val="clear" w:color="auto" w:fill="FFFFFF"/>
        </w:rPr>
        <w:t xml:space="preserve"> </w:t>
      </w:r>
      <w:r w:rsidR="003F65B4" w:rsidRPr="003D2D46">
        <w:rPr>
          <w:rFonts w:ascii="Times New Roman" w:hAnsi="Times New Roman" w:cs="Times New Roman"/>
          <w:shd w:val="clear" w:color="auto" w:fill="FFFFFF"/>
        </w:rPr>
        <w:fldChar w:fldCharType="begin" w:fldLock="1"/>
      </w:r>
      <w:r w:rsidR="00C90BEC" w:rsidRPr="003D2D46">
        <w:rPr>
          <w:rFonts w:ascii="Times New Roman" w:hAnsi="Times New Roman" w:cs="Times New Roman"/>
          <w:shd w:val="clear" w:color="auto" w:fill="FFFFFF"/>
        </w:rPr>
        <w:instrText>ADDIN CSL_CITATION {"citationItems":[{"id":"ITEM-1","itemData":{"DOI":"10.1186/1476-072X-4-11","ISSN":"1476-072X","abstract":"The spatial scan statistic proposed by Kulldorff has been applied to a wide variety of epidemiological studies for cluster detection. This scan statistic, however, uses a circular window to define the potential cluster areas and thus has difficulty in correctly detecting actual noncircular clusters. A recent proposal by Duczmal and Assunção for detecting noncircular clusters is shown to detect a cluster of very irregular shape that is much larger than the true cluster in our experiences.","author":[{"dropping-particle":"","family":"Tango","given":"Toshiro","non-dropping-particle":"","parse-names":false,"suffix":""},{"dropping-particle":"","family":"Takahashi","given":"Kunihiko","non-dropping-particle":"","parse-names":false,"suffix":""}],"container-title":"International Journal of Health Geographics","id":"ITEM-1","issue":"1","issued":{"date-parts":[["2005"]]},"page":"11","title":"A flexibly shaped spatial scan statistic for detecting clusters","type":"article-journal","volume":"4"},"uris":["http://www.mendeley.com/documents/?uuid=d2308bc5-d891-4242-8a20-c77429602f00"]}],"mendeley":{"formattedCitation":"(Tango &amp; Takahashi, 2005)","plainTextFormattedCitation":"(Tango &amp; Takahashi, 2005)","previouslyFormattedCitation":"(Tango &amp; Takahashi, 2005)"},"properties":{"noteIndex":0},"schema":"https://github.com/citation-style-language/schema/raw/master/csl-citation.json"}</w:instrText>
      </w:r>
      <w:r w:rsidR="003F65B4" w:rsidRPr="003D2D46">
        <w:rPr>
          <w:rFonts w:ascii="Times New Roman" w:hAnsi="Times New Roman" w:cs="Times New Roman"/>
          <w:shd w:val="clear" w:color="auto" w:fill="FFFFFF"/>
        </w:rPr>
        <w:fldChar w:fldCharType="separate"/>
      </w:r>
      <w:r w:rsidR="003F65B4" w:rsidRPr="003D2D46">
        <w:rPr>
          <w:rFonts w:ascii="Times New Roman" w:hAnsi="Times New Roman" w:cs="Times New Roman"/>
          <w:noProof/>
          <w:shd w:val="clear" w:color="auto" w:fill="FFFFFF"/>
        </w:rPr>
        <w:t>(Tango &amp; Takahashi, 2005)</w:t>
      </w:r>
      <w:r w:rsidR="003F65B4" w:rsidRPr="003D2D46">
        <w:rPr>
          <w:rFonts w:ascii="Times New Roman" w:hAnsi="Times New Roman" w:cs="Times New Roman"/>
          <w:shd w:val="clear" w:color="auto" w:fill="FFFFFF"/>
        </w:rPr>
        <w:fldChar w:fldCharType="end"/>
      </w:r>
      <w:r w:rsidR="003F65B4" w:rsidRPr="003D2D46">
        <w:rPr>
          <w:rFonts w:ascii="Times New Roman" w:hAnsi="Times New Roman" w:cs="Times New Roman"/>
          <w:shd w:val="clear" w:color="auto" w:fill="FFFFFF"/>
        </w:rPr>
        <w:t xml:space="preserve">. </w:t>
      </w:r>
      <w:r w:rsidRPr="003D2D46">
        <w:rPr>
          <w:rFonts w:ascii="Times New Roman" w:hAnsi="Times New Roman" w:cs="Times New Roman"/>
          <w:shd w:val="clear" w:color="auto" w:fill="FFFFFF"/>
        </w:rPr>
        <w:t xml:space="preserve">County level spatial analysis was necessary to avoid the small number problem associated with analysis at lower geographical scales because of the small numbers of cases of pertussis. The identified spatial clusters and predictors are useful for guiding health planning and policy. In addition to identifying county-level predictors of pertussis risk, this study has demonstrated the usefulness of using spatial scan statistic to identify areas where preventive resources are needed through the identification of high-risk clusters of pertussis. However, this study is not without limitations. Pertussis is an under-reported disease and, therefore, the county-level </w:t>
      </w:r>
      <w:r w:rsidRPr="003D2D46">
        <w:rPr>
          <w:rFonts w:ascii="Times New Roman" w:hAnsi="Times New Roman" w:cs="Times New Roman"/>
          <w:shd w:val="clear" w:color="auto" w:fill="FFFFFF"/>
        </w:rPr>
        <w:lastRenderedPageBreak/>
        <w:t>pertussis risk reported in this study is likely lower than the true risk. Due to the small number of cases and to protect anonymity and confidentiality of cases, only yearly pertussis data were used. These data were further aggregated into 3-year time periods for descriptive investigation to ensure stable estimates due to the small yearly case counts. Future studies will need to investigate individual level data covering longer study periods. These limitations notwithstanding, the findings of this study are important for guiding and planning public health programs.</w:t>
      </w:r>
      <w:bookmarkStart w:id="251" w:name="_Toc82445590"/>
    </w:p>
    <w:p w14:paraId="24E33BB3" w14:textId="77777777" w:rsidR="000C5C0C" w:rsidRPr="003D2D46" w:rsidRDefault="000C5C0C" w:rsidP="004F0890">
      <w:pPr>
        <w:spacing w:line="480" w:lineRule="auto"/>
        <w:rPr>
          <w:rFonts w:ascii="Times New Roman" w:hAnsi="Times New Roman" w:cs="Times New Roman"/>
        </w:rPr>
      </w:pPr>
    </w:p>
    <w:p w14:paraId="672601A4" w14:textId="1E3BD628" w:rsidR="00EF2015" w:rsidRPr="003D2D46" w:rsidRDefault="005529ED" w:rsidP="005043F7">
      <w:pPr>
        <w:pStyle w:val="Heading2"/>
        <w:spacing w:before="0" w:after="0" w:line="480" w:lineRule="auto"/>
        <w:rPr>
          <w:rFonts w:cs="Times New Roman"/>
          <w:color w:val="000000" w:themeColor="text1"/>
          <w:szCs w:val="24"/>
        </w:rPr>
      </w:pPr>
      <w:bookmarkStart w:id="252" w:name="_Toc87797155"/>
      <w:r w:rsidRPr="003D2D46">
        <w:rPr>
          <w:rFonts w:cs="Times New Roman"/>
          <w:color w:val="000000" w:themeColor="text1"/>
          <w:szCs w:val="24"/>
        </w:rPr>
        <w:t>5</w:t>
      </w:r>
      <w:r w:rsidR="00106487" w:rsidRPr="003D2D46">
        <w:rPr>
          <w:rFonts w:cs="Times New Roman"/>
          <w:color w:val="000000" w:themeColor="text1"/>
          <w:szCs w:val="24"/>
        </w:rPr>
        <w:t>.</w:t>
      </w:r>
      <w:r w:rsidR="00FF4BED" w:rsidRPr="003D2D46">
        <w:rPr>
          <w:rFonts w:cs="Times New Roman"/>
          <w:color w:val="000000" w:themeColor="text1"/>
          <w:szCs w:val="24"/>
        </w:rPr>
        <w:t>7</w:t>
      </w:r>
      <w:r w:rsidR="00106487" w:rsidRPr="003D2D46">
        <w:rPr>
          <w:rFonts w:cs="Times New Roman"/>
          <w:color w:val="000000" w:themeColor="text1"/>
          <w:szCs w:val="24"/>
        </w:rPr>
        <w:t xml:space="preserve"> </w:t>
      </w:r>
      <w:r w:rsidR="00EF2015" w:rsidRPr="003D2D46">
        <w:rPr>
          <w:rFonts w:cs="Times New Roman"/>
          <w:color w:val="000000" w:themeColor="text1"/>
          <w:szCs w:val="24"/>
        </w:rPr>
        <w:t>Conclusions</w:t>
      </w:r>
      <w:bookmarkEnd w:id="251"/>
      <w:bookmarkEnd w:id="252"/>
    </w:p>
    <w:p w14:paraId="3819E1F2" w14:textId="77777777" w:rsidR="00EF2015" w:rsidRPr="003D2D46" w:rsidRDefault="00EF2015"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There is evidence that geographic disparities exist and have persisted over time in Florida. This study highlights the importance and application of GIS technology and spatial statistical/epidemiological tools in identifying areas of highest disease risk so as to guide targeting of resource allocation to reduce health disparities and improve health for all. </w:t>
      </w:r>
    </w:p>
    <w:p w14:paraId="53FDD3EF" w14:textId="77777777" w:rsidR="00236E6D" w:rsidRPr="003D2D46" w:rsidRDefault="00F710F9"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203B3954" w14:textId="77777777" w:rsidR="005F1783" w:rsidRPr="003D2D46" w:rsidRDefault="00CF36A2" w:rsidP="00580A15">
      <w:pPr>
        <w:pStyle w:val="Heading1"/>
        <w:spacing w:line="480" w:lineRule="auto"/>
        <w:rPr>
          <w:rFonts w:ascii="Times New Roman" w:hAnsi="Times New Roman" w:cs="Times New Roman"/>
          <w:color w:val="000000" w:themeColor="text1"/>
          <w:sz w:val="24"/>
        </w:rPr>
      </w:pPr>
      <w:bookmarkStart w:id="253" w:name="_Toc87797156"/>
      <w:bookmarkStart w:id="254" w:name="_Toc289175843"/>
      <w:bookmarkStart w:id="255" w:name="_Toc82445591"/>
      <w:r w:rsidRPr="003D2D46">
        <w:rPr>
          <w:rFonts w:ascii="Times New Roman" w:hAnsi="Times New Roman" w:cs="Times New Roman"/>
          <w:color w:val="000000" w:themeColor="text1"/>
          <w:sz w:val="24"/>
        </w:rPr>
        <w:lastRenderedPageBreak/>
        <w:t xml:space="preserve">CHAPTER </w:t>
      </w:r>
      <w:r w:rsidR="00FF4BED" w:rsidRPr="003D2D46">
        <w:rPr>
          <w:rFonts w:ascii="Times New Roman" w:hAnsi="Times New Roman" w:cs="Times New Roman"/>
          <w:color w:val="000000" w:themeColor="text1"/>
          <w:sz w:val="24"/>
        </w:rPr>
        <w:t>6</w:t>
      </w:r>
      <w:bookmarkEnd w:id="253"/>
      <w:r w:rsidR="00A04662" w:rsidRPr="003D2D46">
        <w:rPr>
          <w:rFonts w:ascii="Times New Roman" w:hAnsi="Times New Roman" w:cs="Times New Roman"/>
          <w:color w:val="000000" w:themeColor="text1"/>
          <w:sz w:val="24"/>
        </w:rPr>
        <w:t xml:space="preserve"> </w:t>
      </w:r>
      <w:r w:rsidR="00E56352" w:rsidRPr="003D2D46">
        <w:rPr>
          <w:rFonts w:ascii="Times New Roman" w:hAnsi="Times New Roman" w:cs="Times New Roman"/>
          <w:color w:val="000000" w:themeColor="text1"/>
          <w:sz w:val="24"/>
        </w:rPr>
        <w:t xml:space="preserve"> </w:t>
      </w:r>
    </w:p>
    <w:p w14:paraId="43C17CF4" w14:textId="77777777" w:rsidR="005F1783" w:rsidRPr="003D2D46" w:rsidRDefault="005F1783" w:rsidP="00580A15">
      <w:pPr>
        <w:pStyle w:val="Heading1"/>
        <w:spacing w:line="480" w:lineRule="auto"/>
        <w:rPr>
          <w:rFonts w:ascii="Times New Roman" w:hAnsi="Times New Roman" w:cs="Times New Roman"/>
          <w:color w:val="000000" w:themeColor="text1"/>
          <w:sz w:val="24"/>
        </w:rPr>
      </w:pPr>
    </w:p>
    <w:p w14:paraId="4BB85B8E" w14:textId="1B13055D" w:rsidR="00A87D62" w:rsidRPr="003D2D46" w:rsidRDefault="00AC2C5D" w:rsidP="00580A15">
      <w:pPr>
        <w:pStyle w:val="Heading1"/>
        <w:spacing w:line="480" w:lineRule="auto"/>
        <w:rPr>
          <w:rFonts w:ascii="Times New Roman" w:hAnsi="Times New Roman" w:cs="Times New Roman"/>
          <w:color w:val="000000" w:themeColor="text1"/>
          <w:sz w:val="24"/>
        </w:rPr>
      </w:pPr>
      <w:bookmarkStart w:id="256" w:name="_Toc87797157"/>
      <w:r w:rsidRPr="003D2D46">
        <w:rPr>
          <w:rFonts w:ascii="Times New Roman" w:hAnsi="Times New Roman" w:cs="Times New Roman"/>
          <w:color w:val="000000" w:themeColor="text1"/>
          <w:sz w:val="24"/>
        </w:rPr>
        <w:t xml:space="preserve">SUMMARY, </w:t>
      </w:r>
      <w:r w:rsidR="00526151" w:rsidRPr="003D2D46">
        <w:rPr>
          <w:rFonts w:ascii="Times New Roman" w:hAnsi="Times New Roman" w:cs="Times New Roman"/>
          <w:color w:val="000000" w:themeColor="text1"/>
          <w:sz w:val="24"/>
        </w:rPr>
        <w:t>CONCLUSION</w:t>
      </w:r>
      <w:bookmarkEnd w:id="254"/>
      <w:bookmarkEnd w:id="255"/>
      <w:r w:rsidRPr="003D2D46">
        <w:rPr>
          <w:rFonts w:ascii="Times New Roman" w:hAnsi="Times New Roman" w:cs="Times New Roman"/>
          <w:color w:val="000000" w:themeColor="text1"/>
          <w:sz w:val="24"/>
        </w:rPr>
        <w:t>S, AND RECOMMENDATIONS</w:t>
      </w:r>
      <w:bookmarkEnd w:id="256"/>
    </w:p>
    <w:p w14:paraId="6FB6444A" w14:textId="77777777" w:rsidR="00A87D62" w:rsidRPr="003D2D46" w:rsidRDefault="00A87D62">
      <w:pPr>
        <w:rPr>
          <w:rFonts w:ascii="Times New Roman" w:hAnsi="Times New Roman" w:cs="Times New Roman"/>
          <w:b/>
          <w:bCs/>
          <w:caps/>
          <w:color w:val="000000" w:themeColor="text1"/>
        </w:rPr>
      </w:pPr>
      <w:r w:rsidRPr="003D2D46">
        <w:rPr>
          <w:rFonts w:ascii="Times New Roman" w:hAnsi="Times New Roman" w:cs="Times New Roman"/>
          <w:color w:val="000000" w:themeColor="text1"/>
        </w:rPr>
        <w:br w:type="page"/>
      </w:r>
    </w:p>
    <w:p w14:paraId="79FBC6EA" w14:textId="7902104E" w:rsidR="00CE7F01" w:rsidRPr="003D2D46" w:rsidRDefault="00CE7F01" w:rsidP="00580A15">
      <w:pPr>
        <w:spacing w:line="480" w:lineRule="auto"/>
        <w:rPr>
          <w:rFonts w:ascii="Times New Roman" w:hAnsi="Times New Roman" w:cs="Times New Roman"/>
          <w:color w:val="000000" w:themeColor="text1"/>
        </w:rPr>
      </w:pPr>
      <w:bookmarkStart w:id="257" w:name="_Toc289175844"/>
      <w:r w:rsidRPr="003D2D46">
        <w:rPr>
          <w:rFonts w:ascii="Times New Roman" w:hAnsi="Times New Roman" w:cs="Times New Roman"/>
          <w:color w:val="000000" w:themeColor="text1"/>
        </w:rPr>
        <w:lastRenderedPageBreak/>
        <w:t xml:space="preserve">The objectives of this project were to: (a) investigate attitudes towards vaccines and vaccinations; (b) identify county-level geographic disparities and socioeconomic and demographic predictors of vaccination exemptions in Florida; and (c) identify geographic and temporal changes as well as county-level socioeconomic and demographic predictors of pertussis risk in Florida. </w:t>
      </w:r>
    </w:p>
    <w:p w14:paraId="4B0AFEC3" w14:textId="77777777" w:rsidR="00CE7F01" w:rsidRPr="003D2D46" w:rsidRDefault="00CE7F01" w:rsidP="00580A15">
      <w:pPr>
        <w:spacing w:line="480" w:lineRule="auto"/>
        <w:rPr>
          <w:rFonts w:ascii="Times New Roman" w:hAnsi="Times New Roman" w:cs="Times New Roman"/>
          <w:color w:val="000000" w:themeColor="text1"/>
        </w:rPr>
      </w:pPr>
    </w:p>
    <w:p w14:paraId="7FDC4D23" w14:textId="1A09F971" w:rsidR="00CE7F01" w:rsidRPr="003D2D46" w:rsidRDefault="00CE7F01" w:rsidP="004F0890">
      <w:pPr>
        <w:spacing w:line="480" w:lineRule="auto"/>
        <w:rPr>
          <w:rFonts w:ascii="Times New Roman" w:hAnsi="Times New Roman" w:cs="Times New Roman"/>
        </w:rPr>
      </w:pPr>
      <w:r w:rsidRPr="003D2D46">
        <w:rPr>
          <w:rFonts w:ascii="Times New Roman" w:eastAsia="Calibri" w:hAnsi="Times New Roman" w:cs="Times New Roman"/>
          <w:color w:val="000000" w:themeColor="text1"/>
        </w:rPr>
        <w:t>To my knowledge, this study is the first</w:t>
      </w:r>
      <w:r w:rsidRPr="003D2D46">
        <w:rPr>
          <w:rFonts w:ascii="Times New Roman" w:hAnsi="Times New Roman" w:cs="Times New Roman"/>
          <w:color w:val="000000" w:themeColor="text1"/>
        </w:rPr>
        <w:t xml:space="preserve"> of its kind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utilize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Theory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Triadic</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Influence</w:t>
      </w:r>
      <w:r w:rsidR="002572DD" w:rsidRPr="003D2D46">
        <w:rPr>
          <w:rFonts w:ascii="Times New Roman" w:eastAsia="Calibri" w:hAnsi="Times New Roman" w:cs="Times New Roman"/>
          <w:color w:val="000000" w:themeColor="text1"/>
        </w:rPr>
        <w:t xml:space="preserve"> (TTI)</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investigate behaviors and attitudes towards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vaccines and vaccinations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This theoretical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framework</w:t>
      </w:r>
      <w:r w:rsidRPr="003D2D46">
        <w:rPr>
          <w:rFonts w:ascii="Times New Roman" w:hAnsi="Times New Roman" w:cs="Times New Roman"/>
          <w:color w:val="000000" w:themeColor="text1"/>
        </w:rPr>
        <w:t xml:space="preserve"> considers the</w:t>
      </w:r>
      <w:r w:rsidRPr="003D2D46">
        <w:rPr>
          <w:rFonts w:ascii="Times New Roman" w:eastAsia="Calibri" w:hAnsi="Times New Roman" w:cs="Times New Roman"/>
          <w:color w:val="000000" w:themeColor="text1"/>
        </w:rPr>
        <w:t xml:space="preserve"> interplay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social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cultural,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contextual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factors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behaviors and attitudes towards </w:t>
      </w:r>
      <w:r w:rsidRPr="003D2D46">
        <w:rPr>
          <w:rFonts w:ascii="Times New Roman" w:eastAsia="Calibri" w:hAnsi="Times New Roman" w:cs="Times New Roman"/>
          <w:color w:val="000000" w:themeColor="text1"/>
        </w:rPr>
        <w:t>vaccines and vaccinations</w:t>
      </w:r>
      <w:r w:rsidRPr="003D2D46">
        <w:rPr>
          <w:rFonts w:ascii="Times New Roman" w:hAnsi="Times New Roman" w:cs="Times New Roman"/>
          <w:color w:val="000000" w:themeColor="text1"/>
        </w:rPr>
        <w:t>. R</w:t>
      </w:r>
      <w:r w:rsidRPr="003D2D46">
        <w:rPr>
          <w:rFonts w:ascii="Times New Roman" w:eastAsia="Calibri" w:hAnsi="Times New Roman" w:cs="Times New Roman"/>
          <w:color w:val="000000" w:themeColor="text1"/>
        </w:rPr>
        <w:t>isk perception, safety, and family and social group attitudes were the primary considerations regarding vaccination decision-making for both individuals, regarding their own vaccinations, and for parents when considering vaccinating their children. Increasing trust in and improving access to accurate information about vaccination is critical when making vaccination decisions. The importance of the role played by physicians and other medical professionals in actively addressing vaccine hesitancy in clinical settings is also highlighted by the findings of this study. Knowledge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of</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local</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attitudes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and</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barriers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towards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vaccinations</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are</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necessary</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to</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 xml:space="preserve">guide health education programs aimed at </w:t>
      </w:r>
      <w:r w:rsidRPr="003D2D46">
        <w:rPr>
          <w:rFonts w:ascii="Times New Roman" w:hAnsi="Times New Roman" w:cs="Times New Roman"/>
          <w:color w:val="000000" w:themeColor="text1"/>
        </w:rPr>
        <w:t xml:space="preserve">increasing awareness of the importance of vaccinations and improving </w:t>
      </w:r>
      <w:r w:rsidRPr="003D2D46">
        <w:rPr>
          <w:rFonts w:ascii="Times New Roman" w:eastAsia="Calibri" w:hAnsi="Times New Roman" w:cs="Times New Roman"/>
          <w:color w:val="000000" w:themeColor="text1"/>
        </w:rPr>
        <w:t>vaccination</w:t>
      </w:r>
      <w:r w:rsidRPr="003D2D46">
        <w:rPr>
          <w:rFonts w:ascii="Times New Roman" w:hAnsi="Times New Roman" w:cs="Times New Roman"/>
          <w:color w:val="000000" w:themeColor="text1"/>
        </w:rPr>
        <w:t xml:space="preserve"> </w:t>
      </w:r>
      <w:r w:rsidRPr="003D2D46">
        <w:rPr>
          <w:rFonts w:ascii="Times New Roman" w:eastAsia="Calibri" w:hAnsi="Times New Roman" w:cs="Times New Roman"/>
          <w:color w:val="000000" w:themeColor="text1"/>
        </w:rPr>
        <w:t>coverage</w:t>
      </w:r>
      <w:r w:rsidRPr="003D2D46">
        <w:rPr>
          <w:rFonts w:ascii="Times New Roman" w:hAnsi="Times New Roman" w:cs="Times New Roman"/>
          <w:color w:val="000000" w:themeColor="text1"/>
        </w:rPr>
        <w:t xml:space="preserve">. Unfortunately, this study covered </w:t>
      </w:r>
      <w:r w:rsidRPr="003D2D46">
        <w:rPr>
          <w:rFonts w:ascii="Times New Roman" w:eastAsia="Calibri" w:hAnsi="Times New Roman" w:cs="Times New Roman"/>
          <w:color w:val="000000" w:themeColor="text1"/>
        </w:rPr>
        <w:t xml:space="preserve">a predominantly white population with relatively high education. Therefore, future studies will need to include individuals with broader racial, educational as well as economic backgrounds. Additionally, better </w:t>
      </w:r>
      <w:r w:rsidRPr="003D2D46">
        <w:rPr>
          <w:rFonts w:ascii="Times New Roman" w:eastAsia="Calibri" w:hAnsi="Times New Roman" w:cs="Times New Roman"/>
          <w:color w:val="000000" w:themeColor="text1"/>
        </w:rPr>
        <w:lastRenderedPageBreak/>
        <w:t>understanding of perspectives of individuals who hold explicit anti-vaccination attitudes should be pursued to gather information that can better guide strategies to improve vaccination coverage and curb vaccine-preventable diseases.</w:t>
      </w:r>
      <w:r w:rsidR="00254B4E" w:rsidRPr="003D2D46">
        <w:rPr>
          <w:rFonts w:ascii="Times New Roman" w:hAnsi="Times New Roman" w:cs="Times New Roman"/>
        </w:rPr>
        <w:t xml:space="preserve"> Finally, it is necessary to </w:t>
      </w:r>
      <w:r w:rsidR="00F90188" w:rsidRPr="003D2D46">
        <w:rPr>
          <w:rFonts w:ascii="Times New Roman" w:hAnsi="Times New Roman" w:cs="Times New Roman"/>
        </w:rPr>
        <w:t>bear in mind</w:t>
      </w:r>
      <w:r w:rsidR="00254B4E" w:rsidRPr="003D2D46">
        <w:rPr>
          <w:rFonts w:ascii="Times New Roman" w:hAnsi="Times New Roman" w:cs="Times New Roman"/>
        </w:rPr>
        <w:t xml:space="preserve"> the political and social context</w:t>
      </w:r>
      <w:r w:rsidR="006064B3" w:rsidRPr="003D2D46">
        <w:rPr>
          <w:rFonts w:ascii="Times New Roman" w:hAnsi="Times New Roman" w:cs="Times New Roman"/>
        </w:rPr>
        <w:t>s</w:t>
      </w:r>
      <w:r w:rsidR="00254B4E" w:rsidRPr="003D2D46">
        <w:rPr>
          <w:rFonts w:ascii="Times New Roman" w:hAnsi="Times New Roman" w:cs="Times New Roman"/>
        </w:rPr>
        <w:t xml:space="preserve"> of health behaviors, as individuals</w:t>
      </w:r>
      <w:r w:rsidR="000E0572" w:rsidRPr="003D2D46">
        <w:rPr>
          <w:rFonts w:ascii="Times New Roman" w:hAnsi="Times New Roman" w:cs="Times New Roman"/>
        </w:rPr>
        <w:t xml:space="preserve">’ perceptions </w:t>
      </w:r>
      <w:r w:rsidR="006064B3" w:rsidRPr="003D2D46">
        <w:rPr>
          <w:rFonts w:ascii="Times New Roman" w:hAnsi="Times New Roman" w:cs="Times New Roman"/>
        </w:rPr>
        <w:t xml:space="preserve">regarding vaccinations and vaccine preventable diseases </w:t>
      </w:r>
      <w:r w:rsidR="00562A5D" w:rsidRPr="003D2D46">
        <w:rPr>
          <w:rFonts w:ascii="Times New Roman" w:hAnsi="Times New Roman" w:cs="Times New Roman"/>
        </w:rPr>
        <w:t>may be driven by their political and social</w:t>
      </w:r>
      <w:r w:rsidR="000F23E9" w:rsidRPr="003D2D46">
        <w:rPr>
          <w:rFonts w:ascii="Times New Roman" w:hAnsi="Times New Roman" w:cs="Times New Roman"/>
        </w:rPr>
        <w:t xml:space="preserve"> beliefs</w:t>
      </w:r>
      <w:r w:rsidR="00254B4E" w:rsidRPr="003D2D46">
        <w:rPr>
          <w:rFonts w:ascii="Times New Roman" w:hAnsi="Times New Roman" w:cs="Times New Roman"/>
        </w:rPr>
        <w:t xml:space="preserve">. </w:t>
      </w:r>
      <w:r w:rsidR="004268F8" w:rsidRPr="003D2D46">
        <w:rPr>
          <w:rFonts w:ascii="Times New Roman" w:hAnsi="Times New Roman" w:cs="Times New Roman"/>
        </w:rPr>
        <w:t xml:space="preserve">Therefore, </w:t>
      </w:r>
      <w:r w:rsidR="000F23E9" w:rsidRPr="003D2D46">
        <w:rPr>
          <w:rFonts w:ascii="Times New Roman" w:hAnsi="Times New Roman" w:cs="Times New Roman"/>
        </w:rPr>
        <w:t>p</w:t>
      </w:r>
      <w:r w:rsidR="00254B4E" w:rsidRPr="003D2D46">
        <w:rPr>
          <w:rFonts w:ascii="Times New Roman" w:hAnsi="Times New Roman" w:cs="Times New Roman"/>
        </w:rPr>
        <w:t xml:space="preserve">olitical ideologies and how they influence health decisions </w:t>
      </w:r>
      <w:r w:rsidR="000F23E9" w:rsidRPr="003D2D46">
        <w:rPr>
          <w:rFonts w:ascii="Times New Roman" w:hAnsi="Times New Roman" w:cs="Times New Roman"/>
        </w:rPr>
        <w:t>should be</w:t>
      </w:r>
      <w:r w:rsidR="00254B4E" w:rsidRPr="003D2D46">
        <w:rPr>
          <w:rFonts w:ascii="Times New Roman" w:hAnsi="Times New Roman" w:cs="Times New Roman"/>
        </w:rPr>
        <w:t xml:space="preserve"> </w:t>
      </w:r>
      <w:r w:rsidR="004268F8" w:rsidRPr="003D2D46">
        <w:rPr>
          <w:rFonts w:ascii="Times New Roman" w:hAnsi="Times New Roman" w:cs="Times New Roman"/>
        </w:rPr>
        <w:t>considered</w:t>
      </w:r>
      <w:r w:rsidR="00711E65" w:rsidRPr="003D2D46">
        <w:rPr>
          <w:rFonts w:ascii="Times New Roman" w:hAnsi="Times New Roman" w:cs="Times New Roman"/>
        </w:rPr>
        <w:t>.</w:t>
      </w:r>
      <w:r w:rsidR="00C84740" w:rsidRPr="003D2D46">
        <w:rPr>
          <w:rFonts w:ascii="Times New Roman" w:hAnsi="Times New Roman" w:cs="Times New Roman"/>
        </w:rPr>
        <w:t xml:space="preserve"> </w:t>
      </w:r>
      <w:r w:rsidR="00711E65" w:rsidRPr="003D2D46">
        <w:rPr>
          <w:rFonts w:ascii="Times New Roman" w:hAnsi="Times New Roman" w:cs="Times New Roman"/>
        </w:rPr>
        <w:t>F</w:t>
      </w:r>
      <w:r w:rsidR="00254B4E" w:rsidRPr="003D2D46">
        <w:rPr>
          <w:rFonts w:ascii="Times New Roman" w:hAnsi="Times New Roman" w:cs="Times New Roman"/>
        </w:rPr>
        <w:t xml:space="preserve">uture </w:t>
      </w:r>
      <w:r w:rsidR="00711E65" w:rsidRPr="003D2D46">
        <w:rPr>
          <w:rFonts w:ascii="Times New Roman" w:hAnsi="Times New Roman" w:cs="Times New Roman"/>
        </w:rPr>
        <w:t>studies</w:t>
      </w:r>
      <w:r w:rsidR="00254B4E" w:rsidRPr="003D2D46">
        <w:rPr>
          <w:rFonts w:ascii="Times New Roman" w:hAnsi="Times New Roman" w:cs="Times New Roman"/>
        </w:rPr>
        <w:t xml:space="preserve"> should consider </w:t>
      </w:r>
      <w:r w:rsidR="00BA7845" w:rsidRPr="003D2D46">
        <w:rPr>
          <w:rFonts w:ascii="Times New Roman" w:hAnsi="Times New Roman" w:cs="Times New Roman"/>
        </w:rPr>
        <w:t xml:space="preserve">these </w:t>
      </w:r>
      <w:r w:rsidR="00711E65" w:rsidRPr="003D2D46">
        <w:rPr>
          <w:rFonts w:ascii="Times New Roman" w:hAnsi="Times New Roman" w:cs="Times New Roman"/>
        </w:rPr>
        <w:t>issues</w:t>
      </w:r>
      <w:r w:rsidR="00254B4E" w:rsidRPr="003D2D46">
        <w:rPr>
          <w:rFonts w:ascii="Times New Roman" w:hAnsi="Times New Roman" w:cs="Times New Roman"/>
        </w:rPr>
        <w:t xml:space="preserve"> in both qualitative and quantitative </w:t>
      </w:r>
      <w:r w:rsidR="00711E65" w:rsidRPr="003D2D46">
        <w:rPr>
          <w:rFonts w:ascii="Times New Roman" w:hAnsi="Times New Roman" w:cs="Times New Roman"/>
        </w:rPr>
        <w:t>investigations of</w:t>
      </w:r>
      <w:r w:rsidR="00C963D7" w:rsidRPr="003D2D46">
        <w:rPr>
          <w:rFonts w:ascii="Times New Roman" w:hAnsi="Times New Roman" w:cs="Times New Roman"/>
        </w:rPr>
        <w:t xml:space="preserve"> attitudes towards vaccinations and their impact on vaccine preventable diseases</w:t>
      </w:r>
      <w:r w:rsidR="00254B4E" w:rsidRPr="003D2D46">
        <w:rPr>
          <w:rFonts w:ascii="Times New Roman" w:hAnsi="Times New Roman" w:cs="Times New Roman"/>
        </w:rPr>
        <w:t>.</w:t>
      </w:r>
    </w:p>
    <w:p w14:paraId="418830CD" w14:textId="77777777" w:rsidR="00CE7F01" w:rsidRPr="003D2D46" w:rsidRDefault="00CE7F01" w:rsidP="00580A15">
      <w:pPr>
        <w:spacing w:line="480" w:lineRule="auto"/>
        <w:rPr>
          <w:rFonts w:ascii="Times New Roman" w:eastAsia="Calibri" w:hAnsi="Times New Roman" w:cs="Times New Roman"/>
          <w:color w:val="000000" w:themeColor="text1"/>
        </w:rPr>
      </w:pPr>
    </w:p>
    <w:p w14:paraId="20C4F055" w14:textId="7534F2B0" w:rsidR="00CE7F01" w:rsidRPr="003D2D46" w:rsidRDefault="00CE7F01"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This study is also the first of its kind to use rigorous spatial epidemiological techniques to identify geographic disparities of vaccination exemptions in the state of Florida. High total vaccination exemption risks (greater than 10.35 per 10,000 p</w:t>
      </w:r>
      <w:r w:rsidR="00772668" w:rsidRPr="003D2D46">
        <w:rPr>
          <w:rFonts w:ascii="Times New Roman" w:hAnsi="Times New Roman" w:cs="Times New Roman"/>
          <w:color w:val="000000" w:themeColor="text1"/>
        </w:rPr>
        <w:t>ersons</w:t>
      </w:r>
      <w:r w:rsidRPr="003D2D46">
        <w:rPr>
          <w:rFonts w:ascii="Times New Roman" w:hAnsi="Times New Roman" w:cs="Times New Roman"/>
          <w:color w:val="000000" w:themeColor="text1"/>
        </w:rPr>
        <w:t xml:space="preserve">) were observed in four distinct areas of the state: the western panhandle, north central, central, and southeastern coast. High non-medical vaccination exemption risks (greater than 3.71 per 10,000 </w:t>
      </w:r>
      <w:r w:rsidR="00772668" w:rsidRPr="003D2D46">
        <w:rPr>
          <w:rFonts w:ascii="Times New Roman" w:hAnsi="Times New Roman" w:cs="Times New Roman"/>
          <w:color w:val="000000" w:themeColor="text1"/>
        </w:rPr>
        <w:t>persons</w:t>
      </w:r>
      <w:r w:rsidRPr="003D2D46">
        <w:rPr>
          <w:rFonts w:ascii="Times New Roman" w:hAnsi="Times New Roman" w:cs="Times New Roman"/>
          <w:color w:val="000000" w:themeColor="text1"/>
        </w:rPr>
        <w:t xml:space="preserve">) were observed in seven distinct areas of the state: the western and central panhandle, north central, northeastern coast, central eastern and western coasts, and the southwestern coast. </w:t>
      </w:r>
    </w:p>
    <w:p w14:paraId="3E44A7C6" w14:textId="77777777" w:rsidR="00CE7F01" w:rsidRPr="003D2D46" w:rsidRDefault="00CE7F01" w:rsidP="00580A15">
      <w:pPr>
        <w:spacing w:line="480" w:lineRule="auto"/>
        <w:rPr>
          <w:rFonts w:ascii="Times New Roman" w:hAnsi="Times New Roman" w:cs="Times New Roman"/>
          <w:color w:val="000000" w:themeColor="text1"/>
        </w:rPr>
      </w:pPr>
    </w:p>
    <w:p w14:paraId="6AE527ED" w14:textId="77777777" w:rsidR="00CE7F01" w:rsidRPr="003D2D46" w:rsidRDefault="00CE7F01"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High densities of primary care providers, high median income, and high percentages of Hispanic populations were all associated with high risks of total vaccine exemptions at the county level while high county-level percentages of population with college </w:t>
      </w:r>
      <w:r w:rsidRPr="003D2D46">
        <w:rPr>
          <w:rFonts w:ascii="Times New Roman" w:hAnsi="Times New Roman" w:cs="Times New Roman"/>
          <w:color w:val="000000" w:themeColor="text1"/>
        </w:rPr>
        <w:lastRenderedPageBreak/>
        <w:t xml:space="preserve">education were associated with low risks of total vaccine exemptions. On the other hand, high county-level percentages of white populations were associated with high risks of non-medical exemptions.  By contrast, low risks of non-medical exemptions tended to occur in counties with higher percentages of the population living in rural areas and in counties with high percentages of the population with college education, high school education, and less than a high school education. Knowledge of the geographic distribution of high total vaccination exemptions can be used to identify areas that are potentially at high risk of vaccine-preventable diseases. Thus, identifying geographic disparities of both total and non-medical exemptions can provide valuable insight into where risks of vaccine-preventable disease may be higher. These findings can be used to guide disease control initiatives in areas with high exemptions as well as other risk factors. Future studies should investigate geographic disparities and their predictors at finer geographic scales to identify how exemptions and risk factors impact disease risk at the community level for more targeted intervention. Future studies should also consider further examination of the role that educational level and type of primary care provider play in vaccination exemption risk. </w:t>
      </w:r>
    </w:p>
    <w:p w14:paraId="7439967F" w14:textId="77777777" w:rsidR="00CE7F01" w:rsidRPr="003D2D46" w:rsidRDefault="00CE7F01" w:rsidP="00580A15">
      <w:pPr>
        <w:spacing w:line="480" w:lineRule="auto"/>
        <w:rPr>
          <w:rFonts w:ascii="Times New Roman" w:eastAsia="Calibri" w:hAnsi="Times New Roman" w:cs="Times New Roman"/>
          <w:color w:val="000000" w:themeColor="text1"/>
        </w:rPr>
      </w:pPr>
    </w:p>
    <w:p w14:paraId="604F7973" w14:textId="0B4F480C" w:rsidR="00CE7F01" w:rsidRPr="003D2D46" w:rsidRDefault="00CE7F01"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This study has shown the strength of using spatial scan statistics and Geographic Information System </w:t>
      </w:r>
      <w:r w:rsidR="001345E7" w:rsidRPr="003D2D46">
        <w:rPr>
          <w:rFonts w:ascii="Times New Roman" w:hAnsi="Times New Roman" w:cs="Times New Roman"/>
          <w:color w:val="000000" w:themeColor="text1"/>
        </w:rPr>
        <w:t xml:space="preserve">(GIS) </w:t>
      </w:r>
      <w:r w:rsidRPr="003D2D46">
        <w:rPr>
          <w:rFonts w:ascii="Times New Roman" w:hAnsi="Times New Roman" w:cs="Times New Roman"/>
          <w:color w:val="000000" w:themeColor="text1"/>
        </w:rPr>
        <w:t xml:space="preserve">technology for identification of high-risk geographic clusters of pertussis. The geographic distribution of clusters of high pertussis risk remained relatively consistent over time, with areas of high risk persisting in the western panhandle, northeastern coast, and along the western coast. High-risk clusters were also </w:t>
      </w:r>
      <w:r w:rsidRPr="003D2D46">
        <w:rPr>
          <w:rFonts w:ascii="Times New Roman" w:hAnsi="Times New Roman" w:cs="Times New Roman"/>
          <w:color w:val="000000" w:themeColor="text1"/>
        </w:rPr>
        <w:lastRenderedPageBreak/>
        <w:t>consistently identified around some major metropolitan areas of the state. These findings show evidence of geographic disparities of pertussis risk in Florida and is useful for guiding resource allocation to control the disease.  Future studies should explore not only pertussis risk at finer geographic levels</w:t>
      </w:r>
      <w:r w:rsidR="00772668" w:rsidRPr="003D2D46">
        <w:rPr>
          <w:rFonts w:ascii="Times New Roman" w:hAnsi="Times New Roman" w:cs="Times New Roman"/>
          <w:color w:val="000000" w:themeColor="text1"/>
        </w:rPr>
        <w:t xml:space="preserve"> </w:t>
      </w:r>
      <w:r w:rsidRPr="003D2D46">
        <w:rPr>
          <w:rFonts w:ascii="Times New Roman" w:hAnsi="Times New Roman" w:cs="Times New Roman"/>
          <w:color w:val="000000" w:themeColor="text1"/>
        </w:rPr>
        <w:t>but should also include other vaccine-preventable diseases.</w:t>
      </w:r>
    </w:p>
    <w:p w14:paraId="6EBCE36D" w14:textId="77777777" w:rsidR="00772668" w:rsidRPr="003D2D46" w:rsidRDefault="00772668" w:rsidP="00580A15">
      <w:pPr>
        <w:spacing w:line="480" w:lineRule="auto"/>
        <w:rPr>
          <w:rFonts w:ascii="Times New Roman" w:eastAsia="Calibri" w:hAnsi="Times New Roman" w:cs="Times New Roman"/>
          <w:color w:val="000000" w:themeColor="text1"/>
        </w:rPr>
      </w:pPr>
    </w:p>
    <w:p w14:paraId="010FFCDD" w14:textId="77777777" w:rsidR="00CE7F01" w:rsidRPr="003D2D46" w:rsidRDefault="00CE7F01"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Significant predictors of county-level pertussis risk identified in this study included higher percentage of females, higher median income, and rurality. The association between high median income and high county-level pertussis risk may be related to vaccination refusal, as higher median income has been well-documented as associated with vaccination refusal for ideological reasons. There is a clear need for more detailed investigations to explore the relationship between population density, rurality, and risk of pertussis, as there is conflict not only in this study’s findings but also in the literature. It is possible that these findings reflect lower vaccination rates due to lack of access to healthcare services or ideological differences regarding vaccinations. Therefore, better understanding of these issues would be useful for guiding public health interventions. </w:t>
      </w:r>
    </w:p>
    <w:p w14:paraId="5D645A50" w14:textId="77777777" w:rsidR="00CE7F01" w:rsidRPr="003D2D46" w:rsidRDefault="00CE7F01" w:rsidP="00580A15">
      <w:pPr>
        <w:spacing w:line="480" w:lineRule="auto"/>
        <w:rPr>
          <w:rFonts w:ascii="Times New Roman" w:hAnsi="Times New Roman" w:cs="Times New Roman"/>
          <w:color w:val="000000" w:themeColor="text1"/>
        </w:rPr>
      </w:pPr>
    </w:p>
    <w:p w14:paraId="35B12679" w14:textId="7B8B9C71" w:rsidR="00825933" w:rsidRPr="003D2D46" w:rsidRDefault="00CE7F01" w:rsidP="004F0890">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In conclusion, this project identified important disparities in county-level vaccination exemptions and pertussis risk as well as important contributors to vaccination hesitancy. These findings provide useful information for the identification of avenues for further scientific inquiries on vaccination hesitancy, ways to improve vaccination acceptance and coverage as well as strategies to reduce burden and disparities in risk of pertussis. This </w:t>
      </w:r>
      <w:r w:rsidRPr="003D2D46">
        <w:rPr>
          <w:rFonts w:ascii="Times New Roman" w:hAnsi="Times New Roman" w:cs="Times New Roman"/>
          <w:color w:val="000000" w:themeColor="text1"/>
        </w:rPr>
        <w:lastRenderedPageBreak/>
        <w:t>project has demonstrated the value of using geographic epidemiologic methods to identify disparities to guide both public health planning/intervention and future research. It has also demonstrated that a novel application of theoretical frameworks to investigate vaccination attitudes is useful for considering the complexities of influences regarding vaccination hesitancy and vaccination decision-making. Overall, the findings of this project are important for developing evidence-based public health initiatives, prioritizing geographic areas, and focusing efforts to reduce the disparities in and burden of vaccine-preventable diseases at the local level.</w:t>
      </w:r>
      <w:bookmarkEnd w:id="257"/>
      <w:r w:rsidR="008D1444" w:rsidRPr="003D2D46">
        <w:rPr>
          <w:rFonts w:ascii="Times New Roman" w:hAnsi="Times New Roman" w:cs="Times New Roman"/>
          <w:color w:val="000000" w:themeColor="text1"/>
        </w:rPr>
        <w:t xml:space="preserve"> </w:t>
      </w:r>
      <w:r w:rsidR="00236E6D" w:rsidRPr="003D2D46">
        <w:rPr>
          <w:rFonts w:ascii="Times New Roman" w:hAnsi="Times New Roman" w:cs="Times New Roman"/>
          <w:color w:val="000000" w:themeColor="text1"/>
        </w:rPr>
        <w:br w:type="page"/>
      </w:r>
    </w:p>
    <w:p w14:paraId="681DCB4B" w14:textId="77777777" w:rsidR="00C81385" w:rsidRPr="003D2D46" w:rsidRDefault="00C81385" w:rsidP="00EE2A89">
      <w:pPr>
        <w:pStyle w:val="Heading1"/>
        <w:rPr>
          <w:rFonts w:ascii="Times New Roman" w:hAnsi="Times New Roman" w:cs="Times New Roman"/>
          <w:color w:val="000000" w:themeColor="text1"/>
          <w:sz w:val="24"/>
        </w:rPr>
      </w:pPr>
      <w:bookmarkStart w:id="258" w:name="_Toc82445592"/>
      <w:bookmarkStart w:id="259" w:name="_Toc87797158"/>
      <w:r w:rsidRPr="003D2D46">
        <w:rPr>
          <w:rFonts w:ascii="Times New Roman" w:hAnsi="Times New Roman" w:cs="Times New Roman"/>
          <w:color w:val="000000" w:themeColor="text1"/>
          <w:sz w:val="24"/>
        </w:rPr>
        <w:lastRenderedPageBreak/>
        <w:t>REFERENCES</w:t>
      </w:r>
      <w:bookmarkEnd w:id="258"/>
      <w:bookmarkEnd w:id="259"/>
    </w:p>
    <w:p w14:paraId="5A0CE632" w14:textId="77777777" w:rsidR="00C81385" w:rsidRPr="003D2D46" w:rsidRDefault="00C81385" w:rsidP="00EE2A89">
      <w:pPr>
        <w:rPr>
          <w:rFonts w:ascii="Times New Roman" w:hAnsi="Times New Roman" w:cs="Times New Roman"/>
          <w:b/>
          <w:bCs/>
          <w:caps/>
          <w:color w:val="000000" w:themeColor="text1"/>
        </w:rPr>
      </w:pPr>
      <w:r w:rsidRPr="003D2D46">
        <w:rPr>
          <w:rFonts w:ascii="Times New Roman" w:hAnsi="Times New Roman" w:cs="Times New Roman"/>
          <w:color w:val="000000" w:themeColor="text1"/>
        </w:rPr>
        <w:br w:type="page"/>
      </w:r>
    </w:p>
    <w:p w14:paraId="4CB8458E" w14:textId="034BE712" w:rsidR="00C607E9" w:rsidRPr="003D2D46" w:rsidRDefault="00C81385"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color w:val="000000" w:themeColor="text1"/>
        </w:rPr>
        <w:lastRenderedPageBreak/>
        <w:fldChar w:fldCharType="begin" w:fldLock="1"/>
      </w:r>
      <w:r w:rsidRPr="003D2D46">
        <w:rPr>
          <w:rFonts w:ascii="Times New Roman" w:hAnsi="Times New Roman" w:cs="Times New Roman"/>
          <w:color w:val="000000" w:themeColor="text1"/>
        </w:rPr>
        <w:instrText xml:space="preserve">ADDIN Mendeley Bibliography CSL_BIBLIOGRAPHY </w:instrText>
      </w:r>
      <w:r w:rsidRPr="003D2D46">
        <w:rPr>
          <w:rFonts w:ascii="Times New Roman" w:hAnsi="Times New Roman" w:cs="Times New Roman"/>
          <w:color w:val="000000" w:themeColor="text1"/>
        </w:rPr>
        <w:fldChar w:fldCharType="separate"/>
      </w:r>
      <w:r w:rsidR="00C607E9" w:rsidRPr="003D2D46">
        <w:rPr>
          <w:rFonts w:ascii="Times New Roman" w:hAnsi="Times New Roman" w:cs="Times New Roman"/>
          <w:noProof/>
        </w:rPr>
        <w:t xml:space="preserve">Abdelal R, Herrera Y, Johnston A, McDermott R. 2009. Identity as a Variable. In: Abdelal R, Herrera Y, Johnston A, McDermott R eds. </w:t>
      </w:r>
      <w:r w:rsidR="00C607E9" w:rsidRPr="003D2D46">
        <w:rPr>
          <w:rFonts w:ascii="Times New Roman" w:hAnsi="Times New Roman" w:cs="Times New Roman"/>
          <w:i/>
          <w:iCs/>
          <w:noProof/>
        </w:rPr>
        <w:t>Measuring Identity: A Guide for Social Scientists</w:t>
      </w:r>
      <w:r w:rsidR="00C607E9" w:rsidRPr="003D2D46">
        <w:rPr>
          <w:rFonts w:ascii="Times New Roman" w:hAnsi="Times New Roman" w:cs="Times New Roman"/>
          <w:noProof/>
        </w:rPr>
        <w:t>. New York, NY: Cambridge University Press, 17–32.</w:t>
      </w:r>
    </w:p>
    <w:p w14:paraId="5451282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Abu-Raya B, Bettinger JA, Vanderkooi OG, Vaudry W, Halperin SA, Sadarangani M. 2020. Burden of Children Hospitalized With Pertussis in Canada in the Acellular Pertussis Vaccine Era, 1999-2015. </w:t>
      </w:r>
      <w:r w:rsidRPr="003D2D46">
        <w:rPr>
          <w:rFonts w:ascii="Times New Roman" w:hAnsi="Times New Roman" w:cs="Times New Roman"/>
          <w:i/>
          <w:iCs/>
          <w:noProof/>
        </w:rPr>
        <w:t>Journal of the Pediatric Infectious Diseases Society</w:t>
      </w:r>
      <w:r w:rsidRPr="003D2D46">
        <w:rPr>
          <w:rFonts w:ascii="Times New Roman" w:hAnsi="Times New Roman" w:cs="Times New Roman"/>
          <w:noProof/>
        </w:rPr>
        <w:t xml:space="preserve"> 9:118–127. DOI: 10.1093/jpids/piy128.</w:t>
      </w:r>
    </w:p>
    <w:p w14:paraId="487E82F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Alamaw S, Kassa A, Gelaw Y. 2017. Pertussis outbreak investigation of Mekdela district, South Wollo zone, Amhara region, North-West Ethiopia. </w:t>
      </w:r>
      <w:r w:rsidRPr="003D2D46">
        <w:rPr>
          <w:rFonts w:ascii="Times New Roman" w:hAnsi="Times New Roman" w:cs="Times New Roman"/>
          <w:i/>
          <w:iCs/>
          <w:noProof/>
        </w:rPr>
        <w:t>BMC Research Notes</w:t>
      </w:r>
      <w:r w:rsidRPr="003D2D46">
        <w:rPr>
          <w:rFonts w:ascii="Times New Roman" w:hAnsi="Times New Roman" w:cs="Times New Roman"/>
          <w:noProof/>
        </w:rPr>
        <w:t xml:space="preserve"> 10. DOI: https://doi.org/10.1186/s13104-017-2735-1.</w:t>
      </w:r>
    </w:p>
    <w:p w14:paraId="3873F27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Alimohamadi Y, Zahraei SM, Karami M, Yaseri M, Lotfizad M, Holakouie-Naieni K. 2020. Spatio-temporal analysis of pertussis using geographic information system among iranian population during 2012-2018. </w:t>
      </w:r>
      <w:r w:rsidRPr="003D2D46">
        <w:rPr>
          <w:rFonts w:ascii="Times New Roman" w:hAnsi="Times New Roman" w:cs="Times New Roman"/>
          <w:i/>
          <w:iCs/>
          <w:noProof/>
        </w:rPr>
        <w:t>Medical Journal of the Islamic Republic of Iran</w:t>
      </w:r>
      <w:r w:rsidRPr="003D2D46">
        <w:rPr>
          <w:rFonts w:ascii="Times New Roman" w:hAnsi="Times New Roman" w:cs="Times New Roman"/>
          <w:noProof/>
        </w:rPr>
        <w:t xml:space="preserve"> 34. DOI: 10.34171/mjiri.34.22.</w:t>
      </w:r>
    </w:p>
    <w:p w14:paraId="532873F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Aloe C, Kulldorff M, Bloom BR. 2017. Geospatial analysis of nonmedical vaccine exemptions and pertussis outbreaks in the United States. </w:t>
      </w:r>
      <w:r w:rsidRPr="003D2D46">
        <w:rPr>
          <w:rFonts w:ascii="Times New Roman" w:hAnsi="Times New Roman" w:cs="Times New Roman"/>
          <w:i/>
          <w:iCs/>
          <w:noProof/>
        </w:rPr>
        <w:t>Proceedings of the National Academy of Sciences of the United States of America</w:t>
      </w:r>
      <w:r w:rsidRPr="003D2D46">
        <w:rPr>
          <w:rFonts w:ascii="Times New Roman" w:hAnsi="Times New Roman" w:cs="Times New Roman"/>
          <w:noProof/>
        </w:rPr>
        <w:t>:1–5. DOI: 10.1073/pnas.1700240114.</w:t>
      </w:r>
    </w:p>
    <w:p w14:paraId="51F5132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Alvarez J, Godoy P, Plans-rubio P, Camps N, Carol M, Carmona G, Solano R, Rius C, Minguell S, Barrabeig I, Sala-farré MR, Rodriguez R, Garcia-cenoz M, Muñoz-almagro C. 2020. Azithromycin to Prevent Pertussis in Household Contacts , Catalonia. </w:t>
      </w:r>
      <w:r w:rsidRPr="003D2D46">
        <w:rPr>
          <w:rFonts w:ascii="Times New Roman" w:hAnsi="Times New Roman" w:cs="Times New Roman"/>
          <w:i/>
          <w:iCs/>
          <w:noProof/>
        </w:rPr>
        <w:t>Emerging Infectious Diseases</w:t>
      </w:r>
      <w:r w:rsidRPr="003D2D46">
        <w:rPr>
          <w:rFonts w:ascii="Times New Roman" w:hAnsi="Times New Roman" w:cs="Times New Roman"/>
          <w:noProof/>
        </w:rPr>
        <w:t xml:space="preserve"> 26:2678–2684.</w:t>
      </w:r>
    </w:p>
    <w:p w14:paraId="41EBE1B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Andre FE, Booy R, Bock HL, Clemens J, Datta SK, John TJ, Lee BW, Lolekha S, Peltola H, Ruff TA, Santosham M, Schmitt HJ. 2008. Vaccination greatly reduces disease, disability, death and inequity worldwide. </w:t>
      </w:r>
      <w:r w:rsidRPr="003D2D46">
        <w:rPr>
          <w:rFonts w:ascii="Times New Roman" w:hAnsi="Times New Roman" w:cs="Times New Roman"/>
          <w:i/>
          <w:iCs/>
          <w:noProof/>
        </w:rPr>
        <w:t>Bulletin of the World Health Organization</w:t>
      </w:r>
      <w:r w:rsidRPr="003D2D46">
        <w:rPr>
          <w:rFonts w:ascii="Times New Roman" w:hAnsi="Times New Roman" w:cs="Times New Roman"/>
          <w:noProof/>
        </w:rPr>
        <w:t xml:space="preserve"> 86:140–146. DOI: 10.2471/BLT.07.040089.</w:t>
      </w:r>
    </w:p>
    <w:p w14:paraId="113FAFB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Anselin L. 2019. GeoDa version 1.14. Chicago, IL. University of Chicago.</w:t>
      </w:r>
    </w:p>
    <w:p w14:paraId="534568E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Anselin L, Syabri I, Kho Y. 2006. GeoDa: An Introduction to Spatial Data Analysis. </w:t>
      </w:r>
      <w:r w:rsidRPr="003D2D46">
        <w:rPr>
          <w:rFonts w:ascii="Times New Roman" w:hAnsi="Times New Roman" w:cs="Times New Roman"/>
          <w:i/>
          <w:iCs/>
          <w:noProof/>
        </w:rPr>
        <w:t>Geographical Analysis</w:t>
      </w:r>
      <w:r w:rsidRPr="003D2D46">
        <w:rPr>
          <w:rFonts w:ascii="Times New Roman" w:hAnsi="Times New Roman" w:cs="Times New Roman"/>
          <w:noProof/>
        </w:rPr>
        <w:t xml:space="preserve"> 38:5–22. DOI: 10.1111/j.0016-7363.2005.00671.x.</w:t>
      </w:r>
    </w:p>
    <w:p w14:paraId="28D578A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Atwell JE, Van Otterloo J, Zipprich J, Winter K, Harriman K, Salmon DA, Halsey NA, Omer SB. 2013. Nonmedical vaccine exemptions and pertussis in California, 2010. </w:t>
      </w:r>
      <w:r w:rsidRPr="003D2D46">
        <w:rPr>
          <w:rFonts w:ascii="Times New Roman" w:hAnsi="Times New Roman" w:cs="Times New Roman"/>
          <w:i/>
          <w:iCs/>
          <w:noProof/>
        </w:rPr>
        <w:t>Pediatrics</w:t>
      </w:r>
      <w:r w:rsidRPr="003D2D46">
        <w:rPr>
          <w:rFonts w:ascii="Times New Roman" w:hAnsi="Times New Roman" w:cs="Times New Roman"/>
          <w:noProof/>
        </w:rPr>
        <w:t xml:space="preserve"> 132:624–630. DOI: 10.1542/peds.2013-0878.</w:t>
      </w:r>
    </w:p>
    <w:p w14:paraId="20833EC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Baker JP. 2008. Mercury, vaccines, and autism: one controversy, three histories. </w:t>
      </w:r>
      <w:r w:rsidRPr="003D2D46">
        <w:rPr>
          <w:rFonts w:ascii="Times New Roman" w:hAnsi="Times New Roman" w:cs="Times New Roman"/>
          <w:i/>
          <w:iCs/>
          <w:noProof/>
        </w:rPr>
        <w:t>American journal of public health</w:t>
      </w:r>
      <w:r w:rsidRPr="003D2D46">
        <w:rPr>
          <w:rFonts w:ascii="Times New Roman" w:hAnsi="Times New Roman" w:cs="Times New Roman"/>
          <w:noProof/>
        </w:rPr>
        <w:t xml:space="preserve"> 98:244–53. DOI: 10.2105/AJPH.2007.113159.</w:t>
      </w:r>
    </w:p>
    <w:p w14:paraId="660BCEB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Berger F, Njamkepo E, Minaberry S, Mayet A, Haus-cheymol R, Verret C, Massit B. 2010. Investigation on a pertussis outbreak in a military school : Risk factors and approach to vaccine efficacy. </w:t>
      </w:r>
      <w:r w:rsidRPr="003D2D46">
        <w:rPr>
          <w:rFonts w:ascii="Times New Roman" w:hAnsi="Times New Roman" w:cs="Times New Roman"/>
          <w:i/>
          <w:iCs/>
          <w:noProof/>
        </w:rPr>
        <w:t>Vaccine</w:t>
      </w:r>
      <w:r w:rsidRPr="003D2D46">
        <w:rPr>
          <w:rFonts w:ascii="Times New Roman" w:hAnsi="Times New Roman" w:cs="Times New Roman"/>
          <w:noProof/>
        </w:rPr>
        <w:t xml:space="preserve"> 28:5147–5152. DOI: 10.1016/j.vaccine.2010.05.070.</w:t>
      </w:r>
    </w:p>
    <w:p w14:paraId="6E059FA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Bergfors E, Trollfors B, Taranger J, Lagergård T, Sundh V, Zackrisson G. 1999. Parapertussis and pertussis: Differences and similarities in incidence, clinical course, and antibody responses. </w:t>
      </w:r>
      <w:r w:rsidRPr="003D2D46">
        <w:rPr>
          <w:rFonts w:ascii="Times New Roman" w:hAnsi="Times New Roman" w:cs="Times New Roman"/>
          <w:i/>
          <w:iCs/>
          <w:noProof/>
        </w:rPr>
        <w:t>International Journal of Infectious Diseases</w:t>
      </w:r>
      <w:r w:rsidRPr="003D2D46">
        <w:rPr>
          <w:rFonts w:ascii="Times New Roman" w:hAnsi="Times New Roman" w:cs="Times New Roman"/>
          <w:noProof/>
        </w:rPr>
        <w:t xml:space="preserve"> 3:140–146. DOI: 10.1016/S1201-9712(99)90035-8.</w:t>
      </w:r>
    </w:p>
    <w:p w14:paraId="68CA1EA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Bernard H. 2011. </w:t>
      </w:r>
      <w:r w:rsidRPr="003D2D46">
        <w:rPr>
          <w:rFonts w:ascii="Times New Roman" w:hAnsi="Times New Roman" w:cs="Times New Roman"/>
          <w:i/>
          <w:iCs/>
          <w:noProof/>
        </w:rPr>
        <w:t>Research Methods in Anthropology: Qualitative and Quantitative Approaches</w:t>
      </w:r>
      <w:r w:rsidRPr="003D2D46">
        <w:rPr>
          <w:rFonts w:ascii="Times New Roman" w:hAnsi="Times New Roman" w:cs="Times New Roman"/>
          <w:noProof/>
        </w:rPr>
        <w:t>. Lanham, MD: AltaMira Press.</w:t>
      </w:r>
    </w:p>
    <w:p w14:paraId="2D07095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Birnbaum MS, Jacobs ET, Ralston-King J, Ernst KC. 2013. Correlates of high vaccination exemption rates among kindergartens. </w:t>
      </w:r>
      <w:r w:rsidRPr="003D2D46">
        <w:rPr>
          <w:rFonts w:ascii="Times New Roman" w:hAnsi="Times New Roman" w:cs="Times New Roman"/>
          <w:i/>
          <w:iCs/>
          <w:noProof/>
        </w:rPr>
        <w:t>Vaccine</w:t>
      </w:r>
      <w:r w:rsidRPr="003D2D46">
        <w:rPr>
          <w:rFonts w:ascii="Times New Roman" w:hAnsi="Times New Roman" w:cs="Times New Roman"/>
          <w:noProof/>
        </w:rPr>
        <w:t xml:space="preserve"> 31:750–756. DOI: 10.1016/j.vaccine.2012.11.092.</w:t>
      </w:r>
    </w:p>
    <w:p w14:paraId="01FE478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Blank NR, Caplan AL, Constable C. 2013. Exempting schoolchildren from immunizations: States with few barriers had highest rates of nonmedical exemptions. </w:t>
      </w:r>
      <w:r w:rsidRPr="003D2D46">
        <w:rPr>
          <w:rFonts w:ascii="Times New Roman" w:hAnsi="Times New Roman" w:cs="Times New Roman"/>
          <w:i/>
          <w:iCs/>
          <w:noProof/>
        </w:rPr>
        <w:t>Health Affairs</w:t>
      </w:r>
      <w:r w:rsidRPr="003D2D46">
        <w:rPr>
          <w:rFonts w:ascii="Times New Roman" w:hAnsi="Times New Roman" w:cs="Times New Roman"/>
          <w:noProof/>
        </w:rPr>
        <w:t xml:space="preserve"> 32:1282–1290. DOI: 10.1377/hlthaff.2013.0239.</w:t>
      </w:r>
    </w:p>
    <w:p w14:paraId="130B596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Blue CL, Valley JM. 2002. Predictors of influenza vaccine. Acceptance among healthy adult workers. </w:t>
      </w:r>
      <w:r w:rsidRPr="003D2D46">
        <w:rPr>
          <w:rFonts w:ascii="Times New Roman" w:hAnsi="Times New Roman" w:cs="Times New Roman"/>
          <w:i/>
          <w:iCs/>
          <w:noProof/>
        </w:rPr>
        <w:t>AAOHN journal : official journal of the American Association of Occupational Health Nurses</w:t>
      </w:r>
      <w:r w:rsidRPr="003D2D46">
        <w:rPr>
          <w:rFonts w:ascii="Times New Roman" w:hAnsi="Times New Roman" w:cs="Times New Roman"/>
          <w:noProof/>
        </w:rPr>
        <w:t xml:space="preserve"> 50:227–233. DOI: 10.1177/216507990205000509.</w:t>
      </w:r>
    </w:p>
    <w:p w14:paraId="3572210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Bouchez V, Guiso N. 2015. Bordetella pertussis, B. parapertussis, vaccines and cycles of whooping cough. </w:t>
      </w:r>
      <w:r w:rsidRPr="003D2D46">
        <w:rPr>
          <w:rFonts w:ascii="Times New Roman" w:hAnsi="Times New Roman" w:cs="Times New Roman"/>
          <w:i/>
          <w:iCs/>
          <w:noProof/>
        </w:rPr>
        <w:t>Pathogens and Disease</w:t>
      </w:r>
      <w:r w:rsidRPr="003D2D46">
        <w:rPr>
          <w:rFonts w:ascii="Times New Roman" w:hAnsi="Times New Roman" w:cs="Times New Roman"/>
          <w:noProof/>
        </w:rPr>
        <w:t xml:space="preserve"> 73.</w:t>
      </w:r>
    </w:p>
    <w:p w14:paraId="766930F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Boyatzis RE. 1998. </w:t>
      </w:r>
      <w:r w:rsidRPr="003D2D46">
        <w:rPr>
          <w:rFonts w:ascii="Times New Roman" w:hAnsi="Times New Roman" w:cs="Times New Roman"/>
          <w:i/>
          <w:iCs/>
          <w:noProof/>
        </w:rPr>
        <w:t>Transforming Qualitative Information: Thematic Analysis and Code Development</w:t>
      </w:r>
      <w:r w:rsidRPr="003D2D46">
        <w:rPr>
          <w:rFonts w:ascii="Times New Roman" w:hAnsi="Times New Roman" w:cs="Times New Roman"/>
          <w:noProof/>
        </w:rPr>
        <w:t>. Thousand Oaks, CA: SAGE.</w:t>
      </w:r>
    </w:p>
    <w:p w14:paraId="3C88CC3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Brady H, Kaplan C. 2009. Conceptualizing and Measuring Ethnic Identity. In: Abdelal R, Herrera Y, Johnston A, McDermott R eds. </w:t>
      </w:r>
      <w:r w:rsidRPr="003D2D46">
        <w:rPr>
          <w:rFonts w:ascii="Times New Roman" w:hAnsi="Times New Roman" w:cs="Times New Roman"/>
          <w:i/>
          <w:iCs/>
          <w:noProof/>
        </w:rPr>
        <w:t>Measuring Identity: A Guide for Social Scientists</w:t>
      </w:r>
      <w:r w:rsidRPr="003D2D46">
        <w:rPr>
          <w:rFonts w:ascii="Times New Roman" w:hAnsi="Times New Roman" w:cs="Times New Roman"/>
          <w:noProof/>
        </w:rPr>
        <w:t>. New York, NY: Cambridge University Press,.</w:t>
      </w:r>
    </w:p>
    <w:p w14:paraId="670E913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Brennan M, Strebel P, George H, Yih WK, Tachdjian R, Lett SM, Cassiday P, Sanden G, Wharton M. 2000. Evidence for Transmission of Pertussis in Schools, Massachusetts, 1996: Epidemiologic Data Supported by Pulsed-Field Gel Electrophoresis Studies. </w:t>
      </w:r>
      <w:r w:rsidRPr="003D2D46">
        <w:rPr>
          <w:rFonts w:ascii="Times New Roman" w:hAnsi="Times New Roman" w:cs="Times New Roman"/>
          <w:i/>
          <w:iCs/>
          <w:noProof/>
        </w:rPr>
        <w:t>The Journal of Infectious Diseases</w:t>
      </w:r>
      <w:r w:rsidRPr="003D2D46">
        <w:rPr>
          <w:rFonts w:ascii="Times New Roman" w:hAnsi="Times New Roman" w:cs="Times New Roman"/>
          <w:noProof/>
        </w:rPr>
        <w:t xml:space="preserve"> 181:210–215.</w:t>
      </w:r>
    </w:p>
    <w:p w14:paraId="049ACFBF"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34E62999" w14:textId="0FEFFBC8"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Briand V, Bonmarin I, Lévy-Bruhl D. 2007. Study of the risk factors for severe childhood pertussis based on hospital surveillance data. </w:t>
      </w:r>
      <w:r w:rsidRPr="003D2D46">
        <w:rPr>
          <w:rFonts w:ascii="Times New Roman" w:hAnsi="Times New Roman" w:cs="Times New Roman"/>
          <w:i/>
          <w:iCs/>
          <w:noProof/>
        </w:rPr>
        <w:t>Vaccine</w:t>
      </w:r>
      <w:r w:rsidRPr="003D2D46">
        <w:rPr>
          <w:rFonts w:ascii="Times New Roman" w:hAnsi="Times New Roman" w:cs="Times New Roman"/>
          <w:noProof/>
        </w:rPr>
        <w:t xml:space="preserve"> 25:7224–7232. DOI: 10.1016/j.vaccine.2007.07.020.</w:t>
      </w:r>
    </w:p>
    <w:p w14:paraId="7CD6B00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Broutin H, Elguero E, Simondon F, Guégan JF. 2004. Spatial dynamics of pertussis in a small region of Senegal. </w:t>
      </w:r>
      <w:r w:rsidRPr="003D2D46">
        <w:rPr>
          <w:rFonts w:ascii="Times New Roman" w:hAnsi="Times New Roman" w:cs="Times New Roman"/>
          <w:i/>
          <w:iCs/>
          <w:noProof/>
        </w:rPr>
        <w:t>Proceedings of the Royal Society B: Biological Sciences</w:t>
      </w:r>
      <w:r w:rsidRPr="003D2D46">
        <w:rPr>
          <w:rFonts w:ascii="Times New Roman" w:hAnsi="Times New Roman" w:cs="Times New Roman"/>
          <w:noProof/>
        </w:rPr>
        <w:t xml:space="preserve"> 271:2091–2098. DOI: 10.1098/rspb.2004.2847.</w:t>
      </w:r>
    </w:p>
    <w:p w14:paraId="532B76B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Broutin H, Viboud C, Grenfell BT, Miller MA, Rohani P. 2010. Impact of vaccination and birth rate on the epidemiology of pertussis: A comparative study in 64 countries. </w:t>
      </w:r>
      <w:r w:rsidRPr="003D2D46">
        <w:rPr>
          <w:rFonts w:ascii="Times New Roman" w:hAnsi="Times New Roman" w:cs="Times New Roman"/>
          <w:i/>
          <w:iCs/>
          <w:noProof/>
        </w:rPr>
        <w:t>Proceedings of the Royal Society B: Biological Sciences</w:t>
      </w:r>
      <w:r w:rsidRPr="003D2D46">
        <w:rPr>
          <w:rFonts w:ascii="Times New Roman" w:hAnsi="Times New Roman" w:cs="Times New Roman"/>
          <w:noProof/>
        </w:rPr>
        <w:t xml:space="preserve"> 277:3239–3245. DOI: 10.1098/rspb.2010.0994.</w:t>
      </w:r>
    </w:p>
    <w:p w14:paraId="4575849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Brunson EK. 2013. The impact of social networks on parents’ vaccination decisions. </w:t>
      </w:r>
      <w:r w:rsidRPr="003D2D46">
        <w:rPr>
          <w:rFonts w:ascii="Times New Roman" w:hAnsi="Times New Roman" w:cs="Times New Roman"/>
          <w:i/>
          <w:iCs/>
          <w:noProof/>
        </w:rPr>
        <w:t>Pediatrics</w:t>
      </w:r>
      <w:r w:rsidRPr="003D2D46">
        <w:rPr>
          <w:rFonts w:ascii="Times New Roman" w:hAnsi="Times New Roman" w:cs="Times New Roman"/>
          <w:noProof/>
        </w:rPr>
        <w:t xml:space="preserve"> 131. DOI: 10.1542/peds.2012-2452.</w:t>
      </w:r>
    </w:p>
    <w:p w14:paraId="486BC32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Bryden G, Browne M, Rockloff M, Unsworth C. 2019. The privilege paradox: Geographic areas with highest socio-economic advantage have the lowest rates of vaccination. </w:t>
      </w:r>
      <w:r w:rsidRPr="003D2D46">
        <w:rPr>
          <w:rFonts w:ascii="Times New Roman" w:hAnsi="Times New Roman" w:cs="Times New Roman"/>
          <w:i/>
          <w:iCs/>
          <w:noProof/>
        </w:rPr>
        <w:t>Vaccine</w:t>
      </w:r>
      <w:r w:rsidRPr="003D2D46">
        <w:rPr>
          <w:rFonts w:ascii="Times New Roman" w:hAnsi="Times New Roman" w:cs="Times New Roman"/>
          <w:noProof/>
        </w:rPr>
        <w:t xml:space="preserve"> 37:4525–4532.</w:t>
      </w:r>
    </w:p>
    <w:p w14:paraId="692BBC5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Centers for Disease Control and Prevention. 2005.Recommended Antimicrobial Agents for the Treatment and Postexposure Prophylaxis of Pertussis</w:t>
      </w:r>
    </w:p>
    <w:p w14:paraId="4DE610E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2014. </w:t>
      </w:r>
      <w:r w:rsidRPr="003D2D46">
        <w:rPr>
          <w:rFonts w:ascii="Times New Roman" w:hAnsi="Times New Roman" w:cs="Times New Roman"/>
          <w:i/>
          <w:iCs/>
          <w:noProof/>
        </w:rPr>
        <w:t>Manual for the Surveillance of Vaccine-Preventable Diseases</w:t>
      </w:r>
      <w:r w:rsidRPr="003D2D46">
        <w:rPr>
          <w:rFonts w:ascii="Times New Roman" w:hAnsi="Times New Roman" w:cs="Times New Roman"/>
          <w:noProof/>
        </w:rPr>
        <w:t>. Centers for Disease Control and Prevention.</w:t>
      </w:r>
    </w:p>
    <w:p w14:paraId="0E2354F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2015a. </w:t>
      </w:r>
      <w:r w:rsidRPr="003D2D46">
        <w:rPr>
          <w:rFonts w:ascii="Times New Roman" w:hAnsi="Times New Roman" w:cs="Times New Roman"/>
          <w:i/>
          <w:iCs/>
          <w:noProof/>
        </w:rPr>
        <w:t>Epidemiology and Prevention of Vaccine-Preventable Diseases</w:t>
      </w:r>
      <w:r w:rsidRPr="003D2D46">
        <w:rPr>
          <w:rFonts w:ascii="Times New Roman" w:hAnsi="Times New Roman" w:cs="Times New Roman"/>
          <w:noProof/>
        </w:rPr>
        <w:t>. Washington, D.C.: Public Health Foundation.</w:t>
      </w:r>
    </w:p>
    <w:p w14:paraId="75C1D52F"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7C7E9862" w14:textId="42208CAE"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Centers for Disease Control and Prevention. 2015b. </w:t>
      </w:r>
      <w:r w:rsidRPr="003D2D46">
        <w:rPr>
          <w:rFonts w:ascii="Times New Roman" w:hAnsi="Times New Roman" w:cs="Times New Roman"/>
          <w:i/>
          <w:iCs/>
          <w:noProof/>
        </w:rPr>
        <w:t>Epidemiology and Prevention of Vaccine-Preventable Diseases</w:t>
      </w:r>
      <w:r w:rsidRPr="003D2D46">
        <w:rPr>
          <w:rFonts w:ascii="Times New Roman" w:hAnsi="Times New Roman" w:cs="Times New Roman"/>
          <w:noProof/>
        </w:rPr>
        <w:t>. Washington, D.C.: Public Health Foundation.</w:t>
      </w:r>
    </w:p>
    <w:p w14:paraId="1FA8EAF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Centers for Disease Control and Prevention. 2020.Vaccination Coverage and Exemptions Among Kindergartners: DT/DTaP/DT Vaccination Coverage among Kindergartners, 2019-2020 School Year</w:t>
      </w:r>
    </w:p>
    <w:p w14:paraId="2E4A562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(CDC). 2019a.Pertussis (Whooping Cough): Diagnosis Confirmation.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https://www.cdc.gov/pertussis/clinical/diagnostic-testing/diagnosis-confirmation.html</w:t>
      </w:r>
      <w:r w:rsidRPr="003D2D46">
        <w:rPr>
          <w:rFonts w:ascii="Times New Roman" w:hAnsi="Times New Roman" w:cs="Times New Roman"/>
          <w:noProof/>
        </w:rPr>
        <w:t xml:space="preserve"> (accessed November 14, 2021).</w:t>
      </w:r>
    </w:p>
    <w:p w14:paraId="74D7E2E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(CDC). 2019b.2019 Final Pertussis Surveillance Report.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https://www.cdc.gov/pertussis/downloads/pertuss-surv-report-2019-508.pdf</w:t>
      </w:r>
      <w:r w:rsidRPr="003D2D46">
        <w:rPr>
          <w:rFonts w:ascii="Times New Roman" w:hAnsi="Times New Roman" w:cs="Times New Roman"/>
          <w:noProof/>
        </w:rPr>
        <w:t xml:space="preserve"> (accessed November 14, 2021).</w:t>
      </w:r>
    </w:p>
    <w:p w14:paraId="1928450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(CDC). 2019c. </w:t>
      </w:r>
      <w:r w:rsidRPr="003D2D46">
        <w:rPr>
          <w:rFonts w:ascii="Times New Roman" w:hAnsi="Times New Roman" w:cs="Times New Roman"/>
          <w:i/>
          <w:iCs/>
          <w:noProof/>
        </w:rPr>
        <w:t>2019 Provisional Pertussis Surveillance Report</w:t>
      </w:r>
      <w:r w:rsidRPr="003D2D46">
        <w:rPr>
          <w:rFonts w:ascii="Times New Roman" w:hAnsi="Times New Roman" w:cs="Times New Roman"/>
          <w:noProof/>
        </w:rPr>
        <w:t>.</w:t>
      </w:r>
    </w:p>
    <w:p w14:paraId="38ED15A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(CDC). 2020.Pertussis: Summary of Vaccine Recommendations For Healthcare Professionals.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https://www.cdc.gov/vaccines/vpd/pertussis/recs-summary.html</w:t>
      </w:r>
      <w:r w:rsidRPr="003D2D46">
        <w:rPr>
          <w:rFonts w:ascii="Times New Roman" w:hAnsi="Times New Roman" w:cs="Times New Roman"/>
          <w:noProof/>
        </w:rPr>
        <w:t xml:space="preserve"> (accessed November 14, 2021).</w:t>
      </w:r>
    </w:p>
    <w:p w14:paraId="7A64880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Centers for Disease Control and Prevention (CDC). 2021.Pertussis in Other Countries.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https://www.cdc.gov/pertussis/countries/index.html</w:t>
      </w:r>
      <w:r w:rsidRPr="003D2D46">
        <w:rPr>
          <w:rFonts w:ascii="Times New Roman" w:hAnsi="Times New Roman" w:cs="Times New Roman"/>
          <w:noProof/>
        </w:rPr>
        <w:t xml:space="preserve"> (accessed November 14, 2021).</w:t>
      </w:r>
    </w:p>
    <w:p w14:paraId="66AC035E"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7DC33EA5" w14:textId="281C7472"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Cherry JD. 1999. Pertussis in the preantibiotic and prevaccine era, with emphasis on adult pertussis.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28:107–111. DOI: 10.1086/515057.</w:t>
      </w:r>
    </w:p>
    <w:p w14:paraId="4647328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Cherry JD. 2015. The History of Pertussis (Whooping Cough); 1906–2015: Facts, Myths, and Misconceptions. </w:t>
      </w:r>
      <w:r w:rsidRPr="003D2D46">
        <w:rPr>
          <w:rFonts w:ascii="Times New Roman" w:hAnsi="Times New Roman" w:cs="Times New Roman"/>
          <w:i/>
          <w:iCs/>
          <w:noProof/>
        </w:rPr>
        <w:t>Current Epidemiology Reports</w:t>
      </w:r>
      <w:r w:rsidRPr="003D2D46">
        <w:rPr>
          <w:rFonts w:ascii="Times New Roman" w:hAnsi="Times New Roman" w:cs="Times New Roman"/>
          <w:noProof/>
        </w:rPr>
        <w:t xml:space="preserve"> 2:120–130. DOI: 10.1007/s40471-015-0041-9.</w:t>
      </w:r>
    </w:p>
    <w:p w14:paraId="346974B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Cherry J, Heininger U. 2009. Pertussis and other Bordetella infections. In: Feigin R, Cherry J, Demmler-Harrison G, Kaplan S eds. </w:t>
      </w:r>
      <w:r w:rsidRPr="003D2D46">
        <w:rPr>
          <w:rFonts w:ascii="Times New Roman" w:hAnsi="Times New Roman" w:cs="Times New Roman"/>
          <w:i/>
          <w:iCs/>
          <w:noProof/>
        </w:rPr>
        <w:t>Pediatric Infectious Diseases</w:t>
      </w:r>
      <w:r w:rsidRPr="003D2D46">
        <w:rPr>
          <w:rFonts w:ascii="Times New Roman" w:hAnsi="Times New Roman" w:cs="Times New Roman"/>
          <w:noProof/>
        </w:rPr>
        <w:t>. Philadelphia, PA: WB Saunders, 1683–1706.</w:t>
      </w:r>
    </w:p>
    <w:p w14:paraId="4CAFD2B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Cherry JD, Seaton BL. 2012. Patterns of Bordetella parapertussis respiratory illnesses: 2008-2010.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54:534–537. DOI: 10.1093/cid/cir860.</w:t>
      </w:r>
    </w:p>
    <w:p w14:paraId="1032C95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Cherry JD, Tan T, Wirsing Von König CH, Forsyth KD, Thisyakorn U, Greenberg D, Johnson D, Marchant C, Plotkin S. 2012. Clinical definitions of pertussis: Summary of a global pertussis initiative roundtable meeting, February 2011.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54:1756–1764. DOI: 10.1093/cid/cis302.</w:t>
      </w:r>
    </w:p>
    <w:p w14:paraId="0761C2F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Chiappini E, Stival A, Galli L, de Martino M. 2013. Pertussis re-emergence in the post-vaccination era. </w:t>
      </w:r>
      <w:r w:rsidRPr="003D2D46">
        <w:rPr>
          <w:rFonts w:ascii="Times New Roman" w:hAnsi="Times New Roman" w:cs="Times New Roman"/>
          <w:i/>
          <w:iCs/>
          <w:noProof/>
        </w:rPr>
        <w:t>BMC Infectious Diseases</w:t>
      </w:r>
      <w:r w:rsidRPr="003D2D46">
        <w:rPr>
          <w:rFonts w:ascii="Times New Roman" w:hAnsi="Times New Roman" w:cs="Times New Roman"/>
          <w:noProof/>
        </w:rPr>
        <w:t xml:space="preserve"> 13. DOI: 10.1186/1471-2334-13-151.</w:t>
      </w:r>
    </w:p>
    <w:p w14:paraId="4C80C9A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Chitkara AJ, Pujadas M, Forsyth K, Guiso N, Heininger U, Flavia D, Muloiwa R, Tan TQ, König CHW Von. 2020. Pertussis vaccination in mixed markets : Recommendations from the Global Pertussis Initiative. </w:t>
      </w:r>
      <w:r w:rsidRPr="003D2D46">
        <w:rPr>
          <w:rFonts w:ascii="Times New Roman" w:hAnsi="Times New Roman" w:cs="Times New Roman"/>
          <w:i/>
          <w:iCs/>
          <w:noProof/>
        </w:rPr>
        <w:t>International Journal of Infectious Diseases</w:t>
      </w:r>
      <w:r w:rsidRPr="003D2D46">
        <w:rPr>
          <w:rFonts w:ascii="Times New Roman" w:hAnsi="Times New Roman" w:cs="Times New Roman"/>
          <w:noProof/>
        </w:rPr>
        <w:t xml:space="preserve"> 96:482–488. DOI: 10.1016/j.ijid.2020.04.081.</w:t>
      </w:r>
    </w:p>
    <w:p w14:paraId="03C502A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Clark TA. 2014. Changing pertussis epidemiology: Everything old is new again. </w:t>
      </w:r>
      <w:r w:rsidRPr="003D2D46">
        <w:rPr>
          <w:rFonts w:ascii="Times New Roman" w:hAnsi="Times New Roman" w:cs="Times New Roman"/>
          <w:i/>
          <w:iCs/>
          <w:noProof/>
        </w:rPr>
        <w:t>Journal of Infectious Diseases</w:t>
      </w:r>
      <w:r w:rsidRPr="003D2D46">
        <w:rPr>
          <w:rFonts w:ascii="Times New Roman" w:hAnsi="Times New Roman" w:cs="Times New Roman"/>
          <w:noProof/>
        </w:rPr>
        <w:t xml:space="preserve"> 209:978–981. DOI: 10.1093/infdis/jiu001.</w:t>
      </w:r>
    </w:p>
    <w:p w14:paraId="3803AB9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Clarke M, Rasiah K, Copland J, Watson M, Koehler A, Dowling K, Marshall H. 2013. The pertussis epidemic : informing strategies for prevention of severe disease. </w:t>
      </w:r>
      <w:r w:rsidRPr="003D2D46">
        <w:rPr>
          <w:rFonts w:ascii="Times New Roman" w:hAnsi="Times New Roman" w:cs="Times New Roman"/>
          <w:i/>
          <w:iCs/>
          <w:noProof/>
        </w:rPr>
        <w:t>Epidemiol Infect</w:t>
      </w:r>
      <w:r w:rsidRPr="003D2D46">
        <w:rPr>
          <w:rFonts w:ascii="Times New Roman" w:hAnsi="Times New Roman" w:cs="Times New Roman"/>
          <w:noProof/>
        </w:rPr>
        <w:t xml:space="preserve"> 141:463–471. DOI: 10.1017/S095026881200091X.</w:t>
      </w:r>
    </w:p>
    <w:p w14:paraId="7FDAA16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Commitee on Infectious Diseases. 1999. Combination Vaccines for Childhood Immunization : Recommendations of the Advisory Committee on Immunization Practices (ACIP), the American Academy of Pediatric (AAP), an the American Academy of Family Physicians (AAFP). </w:t>
      </w:r>
      <w:r w:rsidRPr="003D2D46">
        <w:rPr>
          <w:rFonts w:ascii="Times New Roman" w:hAnsi="Times New Roman" w:cs="Times New Roman"/>
          <w:i/>
          <w:iCs/>
          <w:noProof/>
        </w:rPr>
        <w:t>Pediatrics</w:t>
      </w:r>
      <w:r w:rsidRPr="003D2D46">
        <w:rPr>
          <w:rFonts w:ascii="Times New Roman" w:hAnsi="Times New Roman" w:cs="Times New Roman"/>
          <w:noProof/>
        </w:rPr>
        <w:t xml:space="preserve"> 103.</w:t>
      </w:r>
    </w:p>
    <w:p w14:paraId="016F260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Conde-Glez C, Lazcano-Ponce E, Rojas R, DeAntonio R, Romano-Mazzotti L, Cervantes Y, Ortega-Barria E. 2013. Seroprevalence of Bordetella pertussis in the Mexican population : a cross-sectional study. </w:t>
      </w:r>
      <w:r w:rsidRPr="003D2D46">
        <w:rPr>
          <w:rFonts w:ascii="Times New Roman" w:hAnsi="Times New Roman" w:cs="Times New Roman"/>
          <w:i/>
          <w:iCs/>
          <w:noProof/>
        </w:rPr>
        <w:t>Epidemiology and Infection</w:t>
      </w:r>
      <w:r w:rsidRPr="003D2D46">
        <w:rPr>
          <w:rFonts w:ascii="Times New Roman" w:hAnsi="Times New Roman" w:cs="Times New Roman"/>
          <w:noProof/>
        </w:rPr>
        <w:t xml:space="preserve"> 142:706–713. DOI: 10.1017/S0950268813001313.</w:t>
      </w:r>
    </w:p>
    <w:p w14:paraId="20123E7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Constable C, Blank NR, Caplan AL. 2014. Rising rates of vaccine exemptions: Problems with current policy and more promising remedies. </w:t>
      </w:r>
      <w:r w:rsidRPr="003D2D46">
        <w:rPr>
          <w:rFonts w:ascii="Times New Roman" w:hAnsi="Times New Roman" w:cs="Times New Roman"/>
          <w:i/>
          <w:iCs/>
          <w:noProof/>
        </w:rPr>
        <w:t>Vaccine</w:t>
      </w:r>
      <w:r w:rsidRPr="003D2D46">
        <w:rPr>
          <w:rFonts w:ascii="Times New Roman" w:hAnsi="Times New Roman" w:cs="Times New Roman"/>
          <w:noProof/>
        </w:rPr>
        <w:t xml:space="preserve"> 32:1793–1797. DOI: 10.1016/j.vaccine.2014.01.085.</w:t>
      </w:r>
    </w:p>
    <w:p w14:paraId="76F270D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Council of State and Territorial Epidemiologists. 2019.Revision to the Case Definition for National Pertussis Surveillance</w:t>
      </w:r>
    </w:p>
    <w:p w14:paraId="4DDF836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Crowcroft N, Stein C, Duclos P, Birmingham M. 2003. How best to estimate the global burden of pertussis? </w:t>
      </w:r>
      <w:r w:rsidRPr="003D2D46">
        <w:rPr>
          <w:rFonts w:ascii="Times New Roman" w:hAnsi="Times New Roman" w:cs="Times New Roman"/>
          <w:i/>
          <w:iCs/>
          <w:noProof/>
        </w:rPr>
        <w:t>The Lancet Infectious Diseases</w:t>
      </w:r>
      <w:r w:rsidRPr="003D2D46">
        <w:rPr>
          <w:rFonts w:ascii="Times New Roman" w:hAnsi="Times New Roman" w:cs="Times New Roman"/>
          <w:noProof/>
        </w:rPr>
        <w:t xml:space="preserve"> 3:413–418. DOI: https://doi.org/10.1016/S1473-3099(03)00669-8.</w:t>
      </w:r>
    </w:p>
    <w:p w14:paraId="12C16EA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DeStefano F, Bodenstab HM, Offit PA. 2019. Principal Controversies in Vaccine Safety in the United States.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69:726–731. DOI: 10.1093/cid/ciz135.</w:t>
      </w:r>
    </w:p>
    <w:p w14:paraId="21BD9FE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Dodhia H, Crowcroft NS, Bramley JC, Miller E. 2002. UK guidelines for use of erythromycin chemoprophylaxis in persons exposed to pertussis. </w:t>
      </w:r>
      <w:r w:rsidRPr="003D2D46">
        <w:rPr>
          <w:rFonts w:ascii="Times New Roman" w:hAnsi="Times New Roman" w:cs="Times New Roman"/>
          <w:i/>
          <w:iCs/>
          <w:noProof/>
        </w:rPr>
        <w:t>Journal of Public Health Medicine</w:t>
      </w:r>
      <w:r w:rsidRPr="003D2D46">
        <w:rPr>
          <w:rFonts w:ascii="Times New Roman" w:hAnsi="Times New Roman" w:cs="Times New Roman"/>
          <w:noProof/>
        </w:rPr>
        <w:t xml:space="preserve"> 24:200–206.</w:t>
      </w:r>
    </w:p>
    <w:p w14:paraId="02AD42F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Dohoo I, Martin S, Stryhn H. 2012. </w:t>
      </w:r>
      <w:r w:rsidRPr="003D2D46">
        <w:rPr>
          <w:rFonts w:ascii="Times New Roman" w:hAnsi="Times New Roman" w:cs="Times New Roman"/>
          <w:i/>
          <w:iCs/>
          <w:noProof/>
        </w:rPr>
        <w:t>Methods in epidemiologic research</w:t>
      </w:r>
      <w:r w:rsidRPr="003D2D46">
        <w:rPr>
          <w:rFonts w:ascii="Times New Roman" w:hAnsi="Times New Roman" w:cs="Times New Roman"/>
          <w:noProof/>
        </w:rPr>
        <w:t>. Charlottetown, PEI: VER, Inc.</w:t>
      </w:r>
    </w:p>
    <w:p w14:paraId="4BEE6E2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Dubé E, Gagnon D, MacDonald NE, Eskola J, Liang X, Chaudhuri M, Dube E, Gellin B, Goldstein S, Larson H, Manzo ML, Reingold A, Tshering K, Zhou Y, Duclos P, Guirguis S, Hickler B, Schuster M. 2015. Strategies intended to address vaccine hesitancy: Review of published reviews. </w:t>
      </w:r>
      <w:r w:rsidRPr="003D2D46">
        <w:rPr>
          <w:rFonts w:ascii="Times New Roman" w:hAnsi="Times New Roman" w:cs="Times New Roman"/>
          <w:i/>
          <w:iCs/>
          <w:noProof/>
        </w:rPr>
        <w:t>Vaccine</w:t>
      </w:r>
      <w:r w:rsidRPr="003D2D46">
        <w:rPr>
          <w:rFonts w:ascii="Times New Roman" w:hAnsi="Times New Roman" w:cs="Times New Roman"/>
          <w:noProof/>
        </w:rPr>
        <w:t xml:space="preserve"> 33:4191–4203. DOI: 10.1016/j.vaccine.2015.04.041.</w:t>
      </w:r>
    </w:p>
    <w:p w14:paraId="150463A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Dunning D. 2011. The Dunning–Kruger Effect: On Being Ignorant of One’s Own Ignorance. </w:t>
      </w:r>
      <w:r w:rsidRPr="003D2D46">
        <w:rPr>
          <w:rFonts w:ascii="Times New Roman" w:hAnsi="Times New Roman" w:cs="Times New Roman"/>
          <w:i/>
          <w:iCs/>
          <w:noProof/>
        </w:rPr>
        <w:t>Advances in Experimental Social Psychology</w:t>
      </w:r>
      <w:r w:rsidRPr="003D2D46">
        <w:rPr>
          <w:rFonts w:ascii="Times New Roman" w:hAnsi="Times New Roman" w:cs="Times New Roman"/>
          <w:noProof/>
        </w:rPr>
        <w:t xml:space="preserve"> 44:247–296. DOI: 10.1016/B978-0-12-385522-0.00005-6.</w:t>
      </w:r>
    </w:p>
    <w:p w14:paraId="6470B35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Eggertson L. 2010. Lancet retracts 12-year-old article linking autism to MMR vaccines. </w:t>
      </w:r>
      <w:r w:rsidRPr="003D2D46">
        <w:rPr>
          <w:rFonts w:ascii="Times New Roman" w:hAnsi="Times New Roman" w:cs="Times New Roman"/>
          <w:i/>
          <w:iCs/>
          <w:noProof/>
        </w:rPr>
        <w:t>CMAJ</w:t>
      </w:r>
      <w:r w:rsidRPr="003D2D46">
        <w:rPr>
          <w:rFonts w:ascii="Times New Roman" w:hAnsi="Times New Roman" w:cs="Times New Roman"/>
          <w:noProof/>
        </w:rPr>
        <w:t xml:space="preserve"> 182. DOI: 10.1503/cmaj.109-3179.</w:t>
      </w:r>
    </w:p>
    <w:p w14:paraId="529D2C7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Elghamudi T, Berke O. 2020. A geospatial analysis of pertussis and its risk factors in southern Ontario from 2005 – 2016. 17:16–27.</w:t>
      </w:r>
    </w:p>
    <w:p w14:paraId="72BF572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Enkel SL, Attwell K, Snelling TL, Christian HE. 2018. ‘Hesitant compliers’: Qualitative analysis of concerned fully-vaccinating parents. </w:t>
      </w:r>
      <w:r w:rsidRPr="003D2D46">
        <w:rPr>
          <w:rFonts w:ascii="Times New Roman" w:hAnsi="Times New Roman" w:cs="Times New Roman"/>
          <w:i/>
          <w:iCs/>
          <w:noProof/>
        </w:rPr>
        <w:t>Vaccine</w:t>
      </w:r>
      <w:r w:rsidRPr="003D2D46">
        <w:rPr>
          <w:rFonts w:ascii="Times New Roman" w:hAnsi="Times New Roman" w:cs="Times New Roman"/>
          <w:noProof/>
        </w:rPr>
        <w:t xml:space="preserve"> 36:6459–6463. DOI: 10.1016/j.vaccine.2017.09.088.</w:t>
      </w:r>
    </w:p>
    <w:p w14:paraId="317F340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Environmental Systems Research Intitute. 2019. ArcGIS Desktop version 10.7, Redlands, CA. ESRI.</w:t>
      </w:r>
    </w:p>
    <w:p w14:paraId="77FCE29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Esposito S, Principi N. 2016. Immunization against pertussis in adolescents and adults. </w:t>
      </w:r>
      <w:r w:rsidRPr="003D2D46">
        <w:rPr>
          <w:rFonts w:ascii="Times New Roman" w:hAnsi="Times New Roman" w:cs="Times New Roman"/>
          <w:i/>
          <w:iCs/>
          <w:noProof/>
        </w:rPr>
        <w:t>Clinical Microbiology and Infection</w:t>
      </w:r>
      <w:r w:rsidRPr="003D2D46">
        <w:rPr>
          <w:rFonts w:ascii="Times New Roman" w:hAnsi="Times New Roman" w:cs="Times New Roman"/>
          <w:noProof/>
        </w:rPr>
        <w:t xml:space="preserve"> 22:S89–S95. DOI: 10.1016/j.cmi.2016.01.003.</w:t>
      </w:r>
    </w:p>
    <w:p w14:paraId="3B8E7F9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Esposito S, Stefanelli P, Fry NK, Fedele G, He Q, Paterson P, Tan T, Knuf M, Rodrigo C, Olivier CW, Flanagan KL, Hung I, Lutsar I, Edwards K, O’Ryan M, Principi N. 2019. Pertussis prevention: Reasons for resurgence, and differences in the current acellular pertussis vaccines. </w:t>
      </w:r>
      <w:r w:rsidRPr="003D2D46">
        <w:rPr>
          <w:rFonts w:ascii="Times New Roman" w:hAnsi="Times New Roman" w:cs="Times New Roman"/>
          <w:i/>
          <w:iCs/>
          <w:noProof/>
        </w:rPr>
        <w:t>Frontiers in Immunology</w:t>
      </w:r>
      <w:r w:rsidRPr="003D2D46">
        <w:rPr>
          <w:rFonts w:ascii="Times New Roman" w:hAnsi="Times New Roman" w:cs="Times New Roman"/>
          <w:noProof/>
        </w:rPr>
        <w:t xml:space="preserve"> 10. DOI: 10.3389/fimmu.2019.01344.</w:t>
      </w:r>
    </w:p>
    <w:p w14:paraId="64C1CD0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European Centre for Disease Prevention and Control. 2012. Meeting Report: Expert consultation on pertussis. 375:1–11.</w:t>
      </w:r>
    </w:p>
    <w:p w14:paraId="79E4359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Feemster KA, Spain CV, Eberhart M, Pati S, Watson B. 2009. Identifying infants at increased risk for late initiation of immunizations: maternal and provider characteristics. </w:t>
      </w:r>
      <w:r w:rsidRPr="003D2D46">
        <w:rPr>
          <w:rFonts w:ascii="Times New Roman" w:hAnsi="Times New Roman" w:cs="Times New Roman"/>
          <w:i/>
          <w:iCs/>
          <w:noProof/>
        </w:rPr>
        <w:t>Public Health Reports</w:t>
      </w:r>
      <w:r w:rsidRPr="003D2D46">
        <w:rPr>
          <w:rFonts w:ascii="Times New Roman" w:hAnsi="Times New Roman" w:cs="Times New Roman"/>
          <w:noProof/>
        </w:rPr>
        <w:t xml:space="preserve"> 124:42–53. DOI: 10.1177/003335490912400108.</w:t>
      </w:r>
    </w:p>
    <w:p w14:paraId="42E9328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Fereday J, Adelaide N, Australia S, Eimear Muir-Cochrane A. 2006. Demonstrating Rigor Using Thematic Analysis: A Hybrid Approach of Inductive and Deductive Coding and Theme Development. </w:t>
      </w:r>
      <w:r w:rsidRPr="003D2D46">
        <w:rPr>
          <w:rFonts w:ascii="Times New Roman" w:hAnsi="Times New Roman" w:cs="Times New Roman"/>
          <w:i/>
          <w:iCs/>
          <w:noProof/>
        </w:rPr>
        <w:t>International Journal of Qualitative Methods</w:t>
      </w:r>
      <w:r w:rsidRPr="003D2D46">
        <w:rPr>
          <w:rFonts w:ascii="Times New Roman" w:hAnsi="Times New Roman" w:cs="Times New Roman"/>
          <w:noProof/>
        </w:rPr>
        <w:t>. DOI: https://doi.org/10.1177/160940690600500107.</w:t>
      </w:r>
    </w:p>
    <w:p w14:paraId="0744604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Fiebach NH, Viscoli CM. 1991. Patient acceptance of influenza vaccination. </w:t>
      </w:r>
      <w:r w:rsidRPr="003D2D46">
        <w:rPr>
          <w:rFonts w:ascii="Times New Roman" w:hAnsi="Times New Roman" w:cs="Times New Roman"/>
          <w:i/>
          <w:iCs/>
          <w:noProof/>
        </w:rPr>
        <w:t>The American Journal of Medicine</w:t>
      </w:r>
      <w:r w:rsidRPr="003D2D46">
        <w:rPr>
          <w:rFonts w:ascii="Times New Roman" w:hAnsi="Times New Roman" w:cs="Times New Roman"/>
          <w:noProof/>
        </w:rPr>
        <w:t xml:space="preserve"> 91:393–400. DOI: 10.1016/0002-9343(91)90157-S.</w:t>
      </w:r>
    </w:p>
    <w:p w14:paraId="652F3C1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Fine PEM, Clarkson JA. 1982. The recurrence of whooping cough: Possible implications for assessment of vaccine efficacy. </w:t>
      </w:r>
      <w:r w:rsidRPr="003D2D46">
        <w:rPr>
          <w:rFonts w:ascii="Times New Roman" w:hAnsi="Times New Roman" w:cs="Times New Roman"/>
          <w:i/>
          <w:iCs/>
          <w:noProof/>
        </w:rPr>
        <w:t>Lancet</w:t>
      </w:r>
      <w:r w:rsidRPr="003D2D46">
        <w:rPr>
          <w:rFonts w:ascii="Times New Roman" w:hAnsi="Times New Roman" w:cs="Times New Roman"/>
          <w:noProof/>
        </w:rPr>
        <w:t xml:space="preserve"> 1:666–669. DOI: 10.1016/s0140-6736(82)92214-0.</w:t>
      </w:r>
    </w:p>
    <w:p w14:paraId="6021418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Fine P, Clarkson J. 1986. Seasonal influences on pertussis. </w:t>
      </w:r>
      <w:r w:rsidRPr="003D2D46">
        <w:rPr>
          <w:rFonts w:ascii="Times New Roman" w:hAnsi="Times New Roman" w:cs="Times New Roman"/>
          <w:i/>
          <w:iCs/>
          <w:noProof/>
        </w:rPr>
        <w:t>Int J Epidemiol</w:t>
      </w:r>
      <w:r w:rsidRPr="003D2D46">
        <w:rPr>
          <w:rFonts w:ascii="Times New Roman" w:hAnsi="Times New Roman" w:cs="Times New Roman"/>
          <w:noProof/>
        </w:rPr>
        <w:t xml:space="preserve"> 15:237–47.</w:t>
      </w:r>
    </w:p>
    <w:p w14:paraId="76DCC07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Fitzpatrick M. 2004. </w:t>
      </w:r>
      <w:r w:rsidRPr="003D2D46">
        <w:rPr>
          <w:rFonts w:ascii="Times New Roman" w:hAnsi="Times New Roman" w:cs="Times New Roman"/>
          <w:i/>
          <w:iCs/>
          <w:noProof/>
        </w:rPr>
        <w:t>MMR and Autism: What Parents Need to Know</w:t>
      </w:r>
      <w:r w:rsidRPr="003D2D46">
        <w:rPr>
          <w:rFonts w:ascii="Times New Roman" w:hAnsi="Times New Roman" w:cs="Times New Roman"/>
          <w:noProof/>
        </w:rPr>
        <w:t>. New York, NY: Routledge.</w:t>
      </w:r>
    </w:p>
    <w:p w14:paraId="0DCFC9C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Flay BR, Snyder F, Petraitis J. 2009. The Theory of Triadic Influence: a new theory of health behavior with implications for preventive interventions. </w:t>
      </w:r>
      <w:r w:rsidRPr="003D2D46">
        <w:rPr>
          <w:rFonts w:ascii="Times New Roman" w:hAnsi="Times New Roman" w:cs="Times New Roman"/>
          <w:i/>
          <w:iCs/>
          <w:noProof/>
        </w:rPr>
        <w:t>Advances in Medical Sociology</w:t>
      </w:r>
      <w:r w:rsidRPr="003D2D46">
        <w:rPr>
          <w:rFonts w:ascii="Times New Roman" w:hAnsi="Times New Roman" w:cs="Times New Roman"/>
          <w:noProof/>
        </w:rPr>
        <w:t xml:space="preserve"> 4:19–44.</w:t>
      </w:r>
    </w:p>
    <w:p w14:paraId="777CB49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Florida Department of Health. 2019.Pertussis Surveillance 2019 Yearly Summary</w:t>
      </w:r>
    </w:p>
    <w:p w14:paraId="0628711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Florida Department of Health. 2020.FLHealthCHARTS.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http://www.flhealthcharts.com/charts/default.aspx</w:t>
      </w:r>
      <w:r w:rsidRPr="003D2D46">
        <w:rPr>
          <w:rFonts w:ascii="Times New Roman" w:hAnsi="Times New Roman" w:cs="Times New Roman"/>
          <w:noProof/>
        </w:rPr>
        <w:t xml:space="preserve"> (accessed January 30, 2020).</w:t>
      </w:r>
    </w:p>
    <w:p w14:paraId="5886C18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Forsyth KD, Wirsing von Konig CH, Tan T, Caro J, Plotkin S. 2007. Prevention of pertussis: Recommendations derived from the second Global Pertussis Initiative roundtable meeting. </w:t>
      </w:r>
      <w:r w:rsidRPr="003D2D46">
        <w:rPr>
          <w:rFonts w:ascii="Times New Roman" w:hAnsi="Times New Roman" w:cs="Times New Roman"/>
          <w:i/>
          <w:iCs/>
          <w:noProof/>
        </w:rPr>
        <w:t>Vaccine</w:t>
      </w:r>
      <w:r w:rsidRPr="003D2D46">
        <w:rPr>
          <w:rFonts w:ascii="Times New Roman" w:hAnsi="Times New Roman" w:cs="Times New Roman"/>
          <w:noProof/>
        </w:rPr>
        <w:t xml:space="preserve"> 25:2634–2642. DOI: 10.1016/j.vaccine.2006.12.017.</w:t>
      </w:r>
    </w:p>
    <w:p w14:paraId="44BBAA9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Fredrickson D, Davis T, Arnold C, Kennen E, Humiston S, Cross J, Bocchini J. 2004. Childhood Immunization Refusal: Provider and Parent Perceptions. :431–439.</w:t>
      </w:r>
    </w:p>
    <w:p w14:paraId="6E8C4C6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Fusch PI, Ness LR. 2015. Are we there yet? Data saturation in qualitative research. </w:t>
      </w:r>
      <w:r w:rsidRPr="003D2D46">
        <w:rPr>
          <w:rFonts w:ascii="Times New Roman" w:hAnsi="Times New Roman" w:cs="Times New Roman"/>
          <w:i/>
          <w:iCs/>
          <w:noProof/>
        </w:rPr>
        <w:t>Qualitative Report</w:t>
      </w:r>
      <w:r w:rsidRPr="003D2D46">
        <w:rPr>
          <w:rFonts w:ascii="Times New Roman" w:hAnsi="Times New Roman" w:cs="Times New Roman"/>
          <w:noProof/>
        </w:rPr>
        <w:t xml:space="preserve"> 20:1408–1416.</w:t>
      </w:r>
    </w:p>
    <w:p w14:paraId="175CEF2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Gabutti G, Rota MC. 2012. Pertussis : A Review of Disease Epidemiology Worldwide and in Italy. </w:t>
      </w:r>
      <w:r w:rsidRPr="003D2D46">
        <w:rPr>
          <w:rFonts w:ascii="Times New Roman" w:hAnsi="Times New Roman" w:cs="Times New Roman"/>
          <w:i/>
          <w:iCs/>
          <w:noProof/>
        </w:rPr>
        <w:t>Int J Environ Res Public Health</w:t>
      </w:r>
      <w:r w:rsidRPr="003D2D46">
        <w:rPr>
          <w:rFonts w:ascii="Times New Roman" w:hAnsi="Times New Roman" w:cs="Times New Roman"/>
          <w:noProof/>
        </w:rPr>
        <w:t xml:space="preserve"> 9:4626–4638. DOI: 10.3390/ijerph9124626.</w:t>
      </w:r>
    </w:p>
    <w:p w14:paraId="4D55F717"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63507BAB" w14:textId="700A11B3"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Gill CJ, Mwananyanda L, Macleod W, Kwenda G, Mwale M, Williams AL, Siazeele K, Yang Z, Mwansa J, Thea DM. 2016. Incidence of Severe and Nonsevere Pertussis Among HIV-Exposed and -Unexposed Zambian Infants Through 14 Weeks of Age : Results From the Southern Africa Mother Infant Pertussis Study ( SAMIPS ), a Longitudinal Birth Cohort Study.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63. DOI: 10.1093/cid/ciw526.</w:t>
      </w:r>
    </w:p>
    <w:p w14:paraId="21A545A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Given L. 2016. </w:t>
      </w:r>
      <w:r w:rsidRPr="003D2D46">
        <w:rPr>
          <w:rFonts w:ascii="Times New Roman" w:hAnsi="Times New Roman" w:cs="Times New Roman"/>
          <w:i/>
          <w:iCs/>
          <w:noProof/>
        </w:rPr>
        <w:t>100 Questions (And Answers) About Qualitative Research</w:t>
      </w:r>
      <w:r w:rsidRPr="003D2D46">
        <w:rPr>
          <w:rFonts w:ascii="Times New Roman" w:hAnsi="Times New Roman" w:cs="Times New Roman"/>
          <w:noProof/>
        </w:rPr>
        <w:t>. Thousand Oaks, CA: SAGE.</w:t>
      </w:r>
    </w:p>
    <w:p w14:paraId="5C6E258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de Greeff S, Dekkers A, Teunis P, Rahamat-Langendoen J, Mooi F, de Melker H. 2009. Seasonal patterns in time series of pertussis. </w:t>
      </w:r>
      <w:r w:rsidRPr="003D2D46">
        <w:rPr>
          <w:rFonts w:ascii="Times New Roman" w:hAnsi="Times New Roman" w:cs="Times New Roman"/>
          <w:i/>
          <w:iCs/>
          <w:noProof/>
        </w:rPr>
        <w:t>Epidemiol Infect</w:t>
      </w:r>
      <w:r w:rsidRPr="003D2D46">
        <w:rPr>
          <w:rFonts w:ascii="Times New Roman" w:hAnsi="Times New Roman" w:cs="Times New Roman"/>
          <w:noProof/>
        </w:rPr>
        <w:t xml:space="preserve"> 137:1388–1395. DOI: 10.1017/S0950268809002489.</w:t>
      </w:r>
    </w:p>
    <w:p w14:paraId="08A1C02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Gust D, Brown C, Sheedy K, Hibbs B, Weaver D, Nowak G. 2005. Immunization attitudes and beliefs among parents: Beyond a dichotomous perspective. </w:t>
      </w:r>
      <w:r w:rsidRPr="003D2D46">
        <w:rPr>
          <w:rFonts w:ascii="Times New Roman" w:hAnsi="Times New Roman" w:cs="Times New Roman"/>
          <w:i/>
          <w:iCs/>
          <w:noProof/>
        </w:rPr>
        <w:t>American Journal of Health Behavior</w:t>
      </w:r>
      <w:r w:rsidRPr="003D2D46">
        <w:rPr>
          <w:rFonts w:ascii="Times New Roman" w:hAnsi="Times New Roman" w:cs="Times New Roman"/>
          <w:noProof/>
        </w:rPr>
        <w:t xml:space="preserve"> 29:81–92. DOI: 10.5993/AJHB.29.1.7.</w:t>
      </w:r>
    </w:p>
    <w:p w14:paraId="4055361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Gust DA, Darling N, Kennedy A, Schwartz B. 2008. Parents with doubts about vaccines: Which vaccines and reasons why. </w:t>
      </w:r>
      <w:r w:rsidRPr="003D2D46">
        <w:rPr>
          <w:rFonts w:ascii="Times New Roman" w:hAnsi="Times New Roman" w:cs="Times New Roman"/>
          <w:i/>
          <w:iCs/>
          <w:noProof/>
        </w:rPr>
        <w:t>Pediatrics</w:t>
      </w:r>
      <w:r w:rsidRPr="003D2D46">
        <w:rPr>
          <w:rFonts w:ascii="Times New Roman" w:hAnsi="Times New Roman" w:cs="Times New Roman"/>
          <w:noProof/>
        </w:rPr>
        <w:t xml:space="preserve"> 122:718–725. DOI: 10.1542/peds.2007-0538.</w:t>
      </w:r>
    </w:p>
    <w:p w14:paraId="2007EFD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Guzman-holst A, Luna-casas G, Cervantes-Apolinar MY, Huerta-Garcia GC, Juliao P, Sánchez-gonzález G. 2021. Pertussis infant morbidity and mortality trends after universal maternal immunisation in Mexico : An ecological database study with time-series analysis. </w:t>
      </w:r>
      <w:r w:rsidRPr="003D2D46">
        <w:rPr>
          <w:rFonts w:ascii="Times New Roman" w:hAnsi="Times New Roman" w:cs="Times New Roman"/>
          <w:i/>
          <w:iCs/>
          <w:noProof/>
        </w:rPr>
        <w:t>Vaccine</w:t>
      </w:r>
      <w:r w:rsidRPr="003D2D46">
        <w:rPr>
          <w:rFonts w:ascii="Times New Roman" w:hAnsi="Times New Roman" w:cs="Times New Roman"/>
          <w:noProof/>
        </w:rPr>
        <w:t xml:space="preserve"> 39:2311–2318. DOI: 10.1016/j.vaccine.2021.02.038.</w:t>
      </w:r>
    </w:p>
    <w:p w14:paraId="51FFB368"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6B89A1E9" w14:textId="75F4F8F5"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Haberling D, Holman RC, Paddock CD, Murphy T V. 2009. Infant and Maternal Risk Factors for Pertussis-Related Infant Mortality in the United States, 1999 to 2004. </w:t>
      </w:r>
      <w:r w:rsidRPr="003D2D46">
        <w:rPr>
          <w:rFonts w:ascii="Times New Roman" w:hAnsi="Times New Roman" w:cs="Times New Roman"/>
          <w:i/>
          <w:iCs/>
          <w:noProof/>
        </w:rPr>
        <w:t>The Pediatric Infectious Disease Journal</w:t>
      </w:r>
      <w:r w:rsidRPr="003D2D46">
        <w:rPr>
          <w:rFonts w:ascii="Times New Roman" w:hAnsi="Times New Roman" w:cs="Times New Roman"/>
          <w:noProof/>
        </w:rPr>
        <w:t xml:space="preserve"> 28:194–198. DOI: 10.1097/INF.0b013e31818c9032.</w:t>
      </w:r>
    </w:p>
    <w:p w14:paraId="1A15636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Havers FP, Moro PL, Hunter P, Hariri S, Bernstein H. 2020. Use of Tetanus Toxoid, Reduced Diphtheria Toxoid, and Acellular Pertussis Vaccines: Updated Recommendations of the Advisory Committee on Immunization Practices — United States, 2019. </w:t>
      </w:r>
      <w:r w:rsidRPr="003D2D46">
        <w:rPr>
          <w:rFonts w:ascii="Times New Roman" w:hAnsi="Times New Roman" w:cs="Times New Roman"/>
          <w:i/>
          <w:iCs/>
          <w:noProof/>
        </w:rPr>
        <w:t>MMWR. Morbidity and Mortality Weekly Report</w:t>
      </w:r>
      <w:r w:rsidRPr="003D2D46">
        <w:rPr>
          <w:rFonts w:ascii="Times New Roman" w:hAnsi="Times New Roman" w:cs="Times New Roman"/>
          <w:noProof/>
        </w:rPr>
        <w:t xml:space="preserve"> 69:77–83. DOI: 10.15585/mmwr.mm6903a5.</w:t>
      </w:r>
    </w:p>
    <w:p w14:paraId="4194292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Heininger U. 2018. Pertussis and Other Bordetella Infections of the Respiratory Tract. In: Wilmott R, Bush A, Deterding R, Ratjen F, Sly P, Zar H, Li A eds. </w:t>
      </w:r>
      <w:r w:rsidRPr="003D2D46">
        <w:rPr>
          <w:rFonts w:ascii="Times New Roman" w:hAnsi="Times New Roman" w:cs="Times New Roman"/>
          <w:i/>
          <w:iCs/>
          <w:noProof/>
        </w:rPr>
        <w:t>Kendig’s Disorders of the Respiratory Tract in Children</w:t>
      </w:r>
      <w:r w:rsidRPr="003D2D46">
        <w:rPr>
          <w:rFonts w:ascii="Times New Roman" w:hAnsi="Times New Roman" w:cs="Times New Roman"/>
          <w:noProof/>
        </w:rPr>
        <w:t>. Elsevier, 528–534.</w:t>
      </w:r>
    </w:p>
    <w:p w14:paraId="6BFAE3B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Heininger U, Stehr K, Schmitt-Grohe S, Lorenz C, Rost R, Christenson P, Uberall M, Cherry J. 1994. Clinical characteristics of illness caused by Bordetella parapertussis compared with illness caused by Bordetella pertussis. </w:t>
      </w:r>
      <w:r w:rsidRPr="003D2D46">
        <w:rPr>
          <w:rFonts w:ascii="Times New Roman" w:hAnsi="Times New Roman" w:cs="Times New Roman"/>
          <w:i/>
          <w:iCs/>
          <w:noProof/>
        </w:rPr>
        <w:t>Pediatric Infectious Disease Journal</w:t>
      </w:r>
      <w:r w:rsidRPr="003D2D46">
        <w:rPr>
          <w:rFonts w:ascii="Times New Roman" w:hAnsi="Times New Roman" w:cs="Times New Roman"/>
          <w:noProof/>
        </w:rPr>
        <w:t xml:space="preserve"> 13:306–9.</w:t>
      </w:r>
    </w:p>
    <w:p w14:paraId="12FE4EE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Hickler B, Guirguis S, Obregon R, Nowak GJ, Gellin BG, MacDonald NE, Butler R, Eskola J, Liang X, Chaudhuri M, Dube EE, Gellin BG, Goldstein S, Larson HJ, Manzo ML, Reingold A, Tshering K, Zhou Y, Duclos P, Guirguis S, Hickler B, Schuster M, Jarrett C, Schulz WS, Chaudhuri M, Zhou Y, Dube EE, Schuster M, MacDonald NE, Wilson R, Eskola J, Liang X, Gellin BG, Goldstein S, Larson HJ, Manzo ML, Reingold A, Tshering K, Duclos P, Guirguis S, Hickler B, Schuster M, </w:t>
      </w:r>
      <w:r w:rsidRPr="003D2D46">
        <w:rPr>
          <w:rFonts w:ascii="Times New Roman" w:hAnsi="Times New Roman" w:cs="Times New Roman"/>
          <w:noProof/>
        </w:rPr>
        <w:lastRenderedPageBreak/>
        <w:t xml:space="preserve">MacDonald NE, Liang X, Chaudhuri M, Dube EE, Gellin BG, Goldstein S, Larson HJ, Manzo ML, Reingold A, Tshering K, Zhou Y, Guirguis S, Hickler B, Dubé E, Gagnon D, MacDonald NE, Eskola J, Liang X, Chaudhuri M, Dube EE, Gellin BG, Goldstein S, Larson HJ, Manzo ML, Reingold A, Tshering K, Zhou Y, Duclos P, Guirguis S, Hickler B, Schuster M, Butler R, MacDonald NE, Eskola J, Liang X, Chaudhuri M, Dube EE, Gellin BG, Goldstein S, Larson HJ, Manzo ML, Reingold A, Tshering K, Zhou Y, Duclos P, Guirguis S, Hickler B, Schuster M, Jarrett C, Wilson R, O’Leary M, Eckersberger E, Larson HJ, Eskola J, Liang X, Chaudhuri M, Dube EE, Gellin BG, Goldstein S, Larson HJ, MacDonald NE, Manzo ML, Reingold A, Tshering K, Zhou Y, Duclos P, Guirguis S, Hickler B, Schuster M, Eskola J, Duclos P, Liang X, Chaudhuri M, Dube EE, Gellin BG, Goldstein S, Larson HJ, MacDonald NE, Manzo ML, Reingold A, Tshering K, Zhou Y, Guirguis S, Hickler B, Poland G, Altmann D, Middelberg A, Mosmann AT, Oberg UA, Osterhaus UA, Alving Silver Spring C, Jon Andrus Washington U, Bernard Arulanandam San Antonio U, Subhash Arya Delhi U, Robert Atmar Houston I, Ian Barr Melbourne U, Noel Barrett Orth A, Kenneth Beagley Kelvin Grove A, Martin Beer Greifswald-Insel Riems A, Igor Belyakov Ann Arbor G, Steve Black Cincinnati U, Paolo Bonanni Florence U, Xavier Bosch Barcelona I, Prosper Boyaka Columbus S, David Briles Birmingham U, Alexander Bukreyev Galveston UA, Antonella Caputo Padua U, Antonio Cassone Perugia I, Yung-Fu Chang Ithaca IN, Alan Cripps Southport U, Roy Curtiss III Phoenix AA, Ron Dagan Beer Sheva U, Jose De la Fuente Stillwater I, Amanda Dempsey Aurora U, Rik de Swart Rotterdam </w:t>
      </w:r>
      <w:r w:rsidRPr="003D2D46">
        <w:rPr>
          <w:rFonts w:ascii="Times New Roman" w:hAnsi="Times New Roman" w:cs="Times New Roman"/>
          <w:noProof/>
        </w:rPr>
        <w:lastRenderedPageBreak/>
        <w:t xml:space="preserve">U, Betty Dodet Lyon N, Philippe Duclos Geneva F, Kathryn Edwards Nashville S, Barbara Ensoli Rome U, Ian Frazer Woolloongabba I, Tong-ming Fu Westpoint A, Kohtaro Fujihashi Birmingham U, James Galen Baltimore U, Adolfo Garcia-Sastre New York U, John Glasser U, Griffi Nashville M, Carlos Guzman Braunschweig U, Scott Halperin Halifax G, Scotia N, Ali Harandi Götenborg C, Jorma Hinkula Linköping S, Sylvia van den Hurk Saskatoon S, Ken Ishii Osaka C, Kiyoko Iwatsuki-Horimoto Tokyo J, Lisa Jackson Seattle J, Rodrigo Jimenez-Garcia Madrid U, Mark Jit London S, Yoshihiro Kawaoka Kawaguchi U, Heath Kelly Carlton South J, Stephen Kent Melbourne A, Ki Hong Kim Busan A, Korea Dennis Klinman Frederick S, Keith Klugman Atlanta UP, Eiji Konishi Bangkok U, Thomas Lehner London T, Margaret Liu Stockholm U, Piere Luigi Lopalco Stockholm S, Shan Lu Worcester S, Raina MacIntyre Sydney U, Helen Maltezou Athens AC, Peter McIntyre Westmead G, Janet McElhaney Vancouver A, Tetsuro Matano Tokyo C, Dennis Metzger Albany J, Mark Miller Bethesda U, Newall Sydney A, Peter Newman Toronto A, Saad Omer Atlanta C, Walter Orenstein Atlanta U, Pasetti Baltimore M, Steven Pelton U, Pichichero Rochester M, Stanley Plotkin Doylestown U, Principi Milan N, Roman Prymula Hradec Kralove I, Republic Conrad Quinn Atlanta C, Rino Rappuoli Siena U, Steven Reed Seattle IG, Guus Rimmelzwaan Rotterdam U, Lance Rodewald Atlanta N, Ted Ross Pittsburgh U, Scheifele Vancouver D, Clare-Anne Siegrist Geneva C, Mark Slifka Beaverton S, Kanta Subbarao Bethesda U, Andreas Suhrbier Brisbane U, Helen Talbot Nashville A, Geraldine Taylor Newbury U, Richard Titball Exeter U, Ralph Tripp Athens U, </w:t>
      </w:r>
      <w:r w:rsidRPr="003D2D46">
        <w:rPr>
          <w:rFonts w:ascii="Times New Roman" w:hAnsi="Times New Roman" w:cs="Times New Roman"/>
          <w:noProof/>
        </w:rPr>
        <w:lastRenderedPageBreak/>
        <w:t xml:space="preserve">Takafumi Tsuboi Ehime U, Pierre van Damme Antwerp J, Cynthia Whitney Atlanta BG, Sabine Wicker Frankfurt U, Fred Zepp Mainz G, Gregory Zimet Indianapolis G, Qinjian Zhao Xiamen U, Goldstein S, MacDonald NE, Guirguis S, Eskola J, Liang X, Chaudhuri M, Dube EE, Gellin BG, Larson HJ, Manzo ML, Reingold A, Tshering K, Zhou Y, Duclos P, Hickler B, Schuster M, Goldstein S, Larson HJ, Manzo ML, Reingold A, Tshering K, Zhou Y, Duclos P, Guirguis S, Hickler B, Schuster M. 2015. Health communication and vaccine hesitancy. </w:t>
      </w:r>
      <w:r w:rsidRPr="003D2D46">
        <w:rPr>
          <w:rFonts w:ascii="Times New Roman" w:hAnsi="Times New Roman" w:cs="Times New Roman"/>
          <w:i/>
          <w:iCs/>
          <w:noProof/>
        </w:rPr>
        <w:t>Vaccine</w:t>
      </w:r>
      <w:r w:rsidRPr="003D2D46">
        <w:rPr>
          <w:rFonts w:ascii="Times New Roman" w:hAnsi="Times New Roman" w:cs="Times New Roman"/>
          <w:noProof/>
        </w:rPr>
        <w:t xml:space="preserve"> 33:4180–4190. DOI: 10.1016/j.vaccine.2015.04.040.</w:t>
      </w:r>
    </w:p>
    <w:p w14:paraId="4124C32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Higgins SC, Jarnicki AG, Lavelle EC, Mills KHG. 2006.  TLR4 Mediates Vaccine-Induced Protective Cellular Immunity to Bordetella pertussis : Role of IL-17-Producing T Cells . </w:t>
      </w:r>
      <w:r w:rsidRPr="003D2D46">
        <w:rPr>
          <w:rFonts w:ascii="Times New Roman" w:hAnsi="Times New Roman" w:cs="Times New Roman"/>
          <w:i/>
          <w:iCs/>
          <w:noProof/>
        </w:rPr>
        <w:t>The Journal of Immunology</w:t>
      </w:r>
      <w:r w:rsidRPr="003D2D46">
        <w:rPr>
          <w:rFonts w:ascii="Times New Roman" w:hAnsi="Times New Roman" w:cs="Times New Roman"/>
          <w:noProof/>
        </w:rPr>
        <w:t xml:space="preserve"> 177:7980–7989. DOI: 10.4049/jimmunol.177.11.7980.</w:t>
      </w:r>
    </w:p>
    <w:p w14:paraId="3A5FE94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Hill HA, Elam-Evans LD, Yankey D, Singleton JA, Kang Y. 2018. Morbidity and Mortality Weekly Report: Vaccination Coverage Among Children Aged 19-35 Months-United States, 2017. 67:1123–1128.</w:t>
      </w:r>
    </w:p>
    <w:p w14:paraId="0C859D3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Hill HA, Yankey D, Elam-Evans LD, Singleton JA, Pingali SC, Santibanez TA. 2020. Vaccination Coverage by Age 24 Months Among Children Born in 2016 and 2017 — National Immunization Survey-Child, United States, 2017–2019. </w:t>
      </w:r>
      <w:r w:rsidRPr="003D2D46">
        <w:rPr>
          <w:rFonts w:ascii="Times New Roman" w:hAnsi="Times New Roman" w:cs="Times New Roman"/>
          <w:i/>
          <w:iCs/>
          <w:noProof/>
        </w:rPr>
        <w:t>MMWR. Morbidity and Mortality Weekly Report</w:t>
      </w:r>
      <w:r w:rsidRPr="003D2D46">
        <w:rPr>
          <w:rFonts w:ascii="Times New Roman" w:hAnsi="Times New Roman" w:cs="Times New Roman"/>
          <w:noProof/>
        </w:rPr>
        <w:t xml:space="preserve"> 69:1505–1511. DOI: 10.15585/mmwr.mm6942a1.</w:t>
      </w:r>
    </w:p>
    <w:p w14:paraId="7CED1EF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Hitz DA, Tewald F, Eggers M. 2020. Seasonal Bordetella pertussis pattern in the period from 2008 to 2018 in Germany. </w:t>
      </w:r>
      <w:r w:rsidRPr="003D2D46">
        <w:rPr>
          <w:rFonts w:ascii="Times New Roman" w:hAnsi="Times New Roman" w:cs="Times New Roman"/>
          <w:i/>
          <w:iCs/>
          <w:noProof/>
        </w:rPr>
        <w:t>BMC Infectious Diseases</w:t>
      </w:r>
      <w:r w:rsidRPr="003D2D46">
        <w:rPr>
          <w:rFonts w:ascii="Times New Roman" w:hAnsi="Times New Roman" w:cs="Times New Roman"/>
          <w:noProof/>
        </w:rPr>
        <w:t xml:space="preserve"> 20:474.</w:t>
      </w:r>
    </w:p>
    <w:p w14:paraId="2FC90D3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Hoey J. 2003. Pertussis in Adults. </w:t>
      </w:r>
      <w:r w:rsidRPr="003D2D46">
        <w:rPr>
          <w:rFonts w:ascii="Times New Roman" w:hAnsi="Times New Roman" w:cs="Times New Roman"/>
          <w:i/>
          <w:iCs/>
          <w:noProof/>
        </w:rPr>
        <w:t>Canadian Medical Association Journal</w:t>
      </w:r>
      <w:r w:rsidRPr="003D2D46">
        <w:rPr>
          <w:rFonts w:ascii="Times New Roman" w:hAnsi="Times New Roman" w:cs="Times New Roman"/>
          <w:noProof/>
        </w:rPr>
        <w:t xml:space="preserve"> 168:453–454.</w:t>
      </w:r>
    </w:p>
    <w:p w14:paraId="4F0C049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Hoppe JE, Bryskier A. 1998. In vitro susceptibilities of Bordetella pertussis and Bordetella parapertussis to two ketolides (HMR 3004 and HMR 3647), four macrolides (Azithromycin, clarithromycin, erythromycin A, and roxithromycin), and two ansamycins (Rifampin and rifapentine). </w:t>
      </w:r>
      <w:r w:rsidRPr="003D2D46">
        <w:rPr>
          <w:rFonts w:ascii="Times New Roman" w:hAnsi="Times New Roman" w:cs="Times New Roman"/>
          <w:i/>
          <w:iCs/>
          <w:noProof/>
        </w:rPr>
        <w:t>Antimicrobial Agents and Chemotherapy</w:t>
      </w:r>
      <w:r w:rsidRPr="003D2D46">
        <w:rPr>
          <w:rFonts w:ascii="Times New Roman" w:hAnsi="Times New Roman" w:cs="Times New Roman"/>
          <w:noProof/>
        </w:rPr>
        <w:t xml:space="preserve"> 42:965–966. DOI: 10.1128/aac.42.4.965.</w:t>
      </w:r>
    </w:p>
    <w:p w14:paraId="1B17FA8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Hoppe JE, Rahimi-Galougahi E, Seibert G. 1996. In vitro susceptibilities of Bordetella pertussis and Bordetella parapertussis to four fluoroquinolones (levofloxacin, d-ofloxacin, ofloxacin, and ciprofloxacin), cefpirome, and meropenem. </w:t>
      </w:r>
      <w:r w:rsidRPr="003D2D46">
        <w:rPr>
          <w:rFonts w:ascii="Times New Roman" w:hAnsi="Times New Roman" w:cs="Times New Roman"/>
          <w:i/>
          <w:iCs/>
          <w:noProof/>
        </w:rPr>
        <w:t>Antimicrobial Agents and Chemotherapy</w:t>
      </w:r>
      <w:r w:rsidRPr="003D2D46">
        <w:rPr>
          <w:rFonts w:ascii="Times New Roman" w:hAnsi="Times New Roman" w:cs="Times New Roman"/>
          <w:noProof/>
        </w:rPr>
        <w:t xml:space="preserve"> 40:807–808. DOI: 10.1128/aac.40.3.807.</w:t>
      </w:r>
    </w:p>
    <w:p w14:paraId="01F1F9D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Hotez P. 2019. America and Europe’s new normal: the return of vaccine-preventable diseases. </w:t>
      </w:r>
      <w:r w:rsidRPr="003D2D46">
        <w:rPr>
          <w:rFonts w:ascii="Times New Roman" w:hAnsi="Times New Roman" w:cs="Times New Roman"/>
          <w:i/>
          <w:iCs/>
          <w:noProof/>
        </w:rPr>
        <w:t>Pediatric Research</w:t>
      </w:r>
      <w:r w:rsidRPr="003D2D46">
        <w:rPr>
          <w:rFonts w:ascii="Times New Roman" w:hAnsi="Times New Roman" w:cs="Times New Roman"/>
          <w:noProof/>
        </w:rPr>
        <w:t xml:space="preserve"> 85:912–914. DOI: 10.1038/s41390-019-0354-3.</w:t>
      </w:r>
    </w:p>
    <w:p w14:paraId="3B0956F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Huang X, Lambert S, Lau C, Soares Magalhaes RJ, Marquess J, Rajmokan M, Milinovich G, Hu W. 2017. Assessing the social and environmental determinants of pertussis epidemics in Queensland, Australia: A Bayesian spatio-temporal analysis. </w:t>
      </w:r>
      <w:r w:rsidRPr="003D2D46">
        <w:rPr>
          <w:rFonts w:ascii="Times New Roman" w:hAnsi="Times New Roman" w:cs="Times New Roman"/>
          <w:i/>
          <w:iCs/>
          <w:noProof/>
        </w:rPr>
        <w:t>Epidemiology and Infection</w:t>
      </w:r>
      <w:r w:rsidRPr="003D2D46">
        <w:rPr>
          <w:rFonts w:ascii="Times New Roman" w:hAnsi="Times New Roman" w:cs="Times New Roman"/>
          <w:noProof/>
        </w:rPr>
        <w:t xml:space="preserve"> 145:1221–1230. DOI: 10.1017/S0950268816003289.</w:t>
      </w:r>
    </w:p>
    <w:p w14:paraId="7059F04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Hussain A, Ali S, Ahmed M, Hussain S. 2018. The Anti-vaccination Movement: A Regression in Modern Medicine. </w:t>
      </w:r>
      <w:r w:rsidRPr="003D2D46">
        <w:rPr>
          <w:rFonts w:ascii="Times New Roman" w:hAnsi="Times New Roman" w:cs="Times New Roman"/>
          <w:i/>
          <w:iCs/>
          <w:noProof/>
        </w:rPr>
        <w:t>Cureus</w:t>
      </w:r>
      <w:r w:rsidRPr="003D2D46">
        <w:rPr>
          <w:rFonts w:ascii="Times New Roman" w:hAnsi="Times New Roman" w:cs="Times New Roman"/>
          <w:noProof/>
        </w:rPr>
        <w:t xml:space="preserve"> 10:e2919. DOI: 10.7759/cureus.2919.</w:t>
      </w:r>
    </w:p>
    <w:p w14:paraId="4563237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IBM. 2017. IBM SPSS Statistics for Windows version 25. Armonk, NY. IBM.</w:t>
      </w:r>
    </w:p>
    <w:p w14:paraId="0754601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Iroh Tam PY, Menk JS, Hughes J, Kulasingam SL. 2016. An ecological analysis of pertussis disease in Minnesota, 2009-2013. </w:t>
      </w:r>
      <w:r w:rsidRPr="003D2D46">
        <w:rPr>
          <w:rFonts w:ascii="Times New Roman" w:hAnsi="Times New Roman" w:cs="Times New Roman"/>
          <w:i/>
          <w:iCs/>
          <w:noProof/>
        </w:rPr>
        <w:t>Epidemiology and Infection</w:t>
      </w:r>
      <w:r w:rsidRPr="003D2D46">
        <w:rPr>
          <w:rFonts w:ascii="Times New Roman" w:hAnsi="Times New Roman" w:cs="Times New Roman"/>
          <w:noProof/>
        </w:rPr>
        <w:t xml:space="preserve"> 144:847–855. DOI: 10.1017/S0950268815002046.</w:t>
      </w:r>
    </w:p>
    <w:p w14:paraId="4AF69C8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Jackson DW, Rohani P. 2014. Perplexities of pertussis: Recent global epidemiological trends and their potential causes. </w:t>
      </w:r>
      <w:r w:rsidRPr="003D2D46">
        <w:rPr>
          <w:rFonts w:ascii="Times New Roman" w:hAnsi="Times New Roman" w:cs="Times New Roman"/>
          <w:i/>
          <w:iCs/>
          <w:noProof/>
        </w:rPr>
        <w:t>Epidemiology and Infection</w:t>
      </w:r>
      <w:r w:rsidRPr="003D2D46">
        <w:rPr>
          <w:rFonts w:ascii="Times New Roman" w:hAnsi="Times New Roman" w:cs="Times New Roman"/>
          <w:noProof/>
        </w:rPr>
        <w:t xml:space="preserve"> 142:672–684. DOI: 10.1017/S0950268812003093.</w:t>
      </w:r>
    </w:p>
    <w:p w14:paraId="71E0E3C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Jacquez GM. 2009. Cluster morphology analysis. </w:t>
      </w:r>
      <w:r w:rsidRPr="003D2D46">
        <w:rPr>
          <w:rFonts w:ascii="Times New Roman" w:hAnsi="Times New Roman" w:cs="Times New Roman"/>
          <w:i/>
          <w:iCs/>
          <w:noProof/>
        </w:rPr>
        <w:t>Spatial and Spatio-temporal Epidemiology</w:t>
      </w:r>
      <w:r w:rsidRPr="003D2D46">
        <w:rPr>
          <w:rFonts w:ascii="Times New Roman" w:hAnsi="Times New Roman" w:cs="Times New Roman"/>
          <w:noProof/>
        </w:rPr>
        <w:t xml:space="preserve"> 1:19–29. DOI: 10.1016/j.sste.2009.08.002.</w:t>
      </w:r>
    </w:p>
    <w:p w14:paraId="5B8E39B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Jana LA, Osborn JE. 2013. The History of Vaccine Challenges: Conquering Diseases, Plagued by Controversy. In: </w:t>
      </w:r>
      <w:r w:rsidRPr="003D2D46">
        <w:rPr>
          <w:rFonts w:ascii="Times New Roman" w:hAnsi="Times New Roman" w:cs="Times New Roman"/>
          <w:i/>
          <w:iCs/>
          <w:noProof/>
        </w:rPr>
        <w:t>Vaccinophobia and Vaccine Controversies of the 21st Century</w:t>
      </w:r>
      <w:r w:rsidRPr="003D2D46">
        <w:rPr>
          <w:rFonts w:ascii="Times New Roman" w:hAnsi="Times New Roman" w:cs="Times New Roman"/>
          <w:noProof/>
        </w:rPr>
        <w:t>. New York, NY: Springer New York, 1–13. DOI: 10.1007/978-1-4614-7438-8_1.</w:t>
      </w:r>
    </w:p>
    <w:p w14:paraId="7A4993D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Jefferson T, Rudin M, DiPietrantonj C. 2003. Systematic review of the effects of pertussis vaccines in children. </w:t>
      </w:r>
      <w:r w:rsidRPr="003D2D46">
        <w:rPr>
          <w:rFonts w:ascii="Times New Roman" w:hAnsi="Times New Roman" w:cs="Times New Roman"/>
          <w:i/>
          <w:iCs/>
          <w:noProof/>
        </w:rPr>
        <w:t>Vaccine</w:t>
      </w:r>
      <w:r w:rsidRPr="003D2D46">
        <w:rPr>
          <w:rFonts w:ascii="Times New Roman" w:hAnsi="Times New Roman" w:cs="Times New Roman"/>
          <w:noProof/>
        </w:rPr>
        <w:t xml:space="preserve"> 21:2003–2014. DOI: 10.1016/S0264-410X(02)00770-3.</w:t>
      </w:r>
    </w:p>
    <w:p w14:paraId="73BAC32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Jenkinson D. 1995. Natural course of 500 consecutive cases of whooping cough: a general practive population study. </w:t>
      </w:r>
      <w:r w:rsidRPr="003D2D46">
        <w:rPr>
          <w:rFonts w:ascii="Times New Roman" w:hAnsi="Times New Roman" w:cs="Times New Roman"/>
          <w:i/>
          <w:iCs/>
          <w:noProof/>
        </w:rPr>
        <w:t>BMJ</w:t>
      </w:r>
      <w:r w:rsidRPr="003D2D46">
        <w:rPr>
          <w:rFonts w:ascii="Times New Roman" w:hAnsi="Times New Roman" w:cs="Times New Roman"/>
          <w:noProof/>
        </w:rPr>
        <w:t xml:space="preserve"> 310:299–302.</w:t>
      </w:r>
    </w:p>
    <w:p w14:paraId="5EDD93C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Jusot V, Aberrane S, Ale F, Laouali B, Moussa I, Alio SA, Adehossi E, Collard J-M, Grais RF. 2014. Prevalence of Bordetella Infection in a Hospital Setting in Niamey, Niger. </w:t>
      </w:r>
      <w:r w:rsidRPr="003D2D46">
        <w:rPr>
          <w:rFonts w:ascii="Times New Roman" w:hAnsi="Times New Roman" w:cs="Times New Roman"/>
          <w:i/>
          <w:iCs/>
          <w:noProof/>
        </w:rPr>
        <w:t>Journal of Tropical Pediatrics</w:t>
      </w:r>
      <w:r w:rsidRPr="003D2D46">
        <w:rPr>
          <w:rFonts w:ascii="Times New Roman" w:hAnsi="Times New Roman" w:cs="Times New Roman"/>
          <w:noProof/>
        </w:rPr>
        <w:t xml:space="preserve"> 60:223–230. DOI: 10.1093/tropej/fmu001.</w:t>
      </w:r>
    </w:p>
    <w:p w14:paraId="757BD0D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Kapil P, Merkel TJ. 2019. Pertussis Vaccines and Protective Immunity. </w:t>
      </w:r>
      <w:r w:rsidRPr="003D2D46">
        <w:rPr>
          <w:rFonts w:ascii="Times New Roman" w:hAnsi="Times New Roman" w:cs="Times New Roman"/>
          <w:i/>
          <w:iCs/>
          <w:noProof/>
        </w:rPr>
        <w:t>Curr Opin Immunol</w:t>
      </w:r>
      <w:r w:rsidRPr="003D2D46">
        <w:rPr>
          <w:rFonts w:ascii="Times New Roman" w:hAnsi="Times New Roman" w:cs="Times New Roman"/>
          <w:noProof/>
        </w:rPr>
        <w:t xml:space="preserve"> 59:72–78. DOI: doi:10.1016/j.coi.2019.03.006.</w:t>
      </w:r>
    </w:p>
    <w:p w14:paraId="2A08099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Kata A. 2010. A postmodern Pandora’s box: Anti-vaccination misinformation on the Internet. </w:t>
      </w:r>
      <w:r w:rsidRPr="003D2D46">
        <w:rPr>
          <w:rFonts w:ascii="Times New Roman" w:hAnsi="Times New Roman" w:cs="Times New Roman"/>
          <w:i/>
          <w:iCs/>
          <w:noProof/>
        </w:rPr>
        <w:t>Vaccine</w:t>
      </w:r>
      <w:r w:rsidRPr="003D2D46">
        <w:rPr>
          <w:rFonts w:ascii="Times New Roman" w:hAnsi="Times New Roman" w:cs="Times New Roman"/>
          <w:noProof/>
        </w:rPr>
        <w:t xml:space="preserve"> 28:1709–1716. DOI: 10.1016/j.vaccine.2009.12.022.</w:t>
      </w:r>
    </w:p>
    <w:p w14:paraId="6527E90D"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1163FFE2" w14:textId="599285E8"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Kauhl B, Heil J, Hoebe CJPA, Schweikart J, Krafft T, Dukers-Muijrers NHTM. 2017. Is the current pertussis incidence only the results of testing? A spatial and space-time analysis of pertussis surveillance data using cluster detection methods and geographically weighted regression modelling. </w:t>
      </w:r>
      <w:r w:rsidRPr="003D2D46">
        <w:rPr>
          <w:rFonts w:ascii="Times New Roman" w:hAnsi="Times New Roman" w:cs="Times New Roman"/>
          <w:i/>
          <w:iCs/>
          <w:noProof/>
        </w:rPr>
        <w:t>PLoS ONE</w:t>
      </w:r>
      <w:r w:rsidRPr="003D2D46">
        <w:rPr>
          <w:rFonts w:ascii="Times New Roman" w:hAnsi="Times New Roman" w:cs="Times New Roman"/>
          <w:noProof/>
        </w:rPr>
        <w:t xml:space="preserve"> 12:1–21. DOI: 10.1371/journal.pone.0172383.</w:t>
      </w:r>
    </w:p>
    <w:p w14:paraId="445C2C6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Kennedy A, Basket M, Sheedy K. 2011. Vaccine attitudes, concerns, and information sources reported by parents of young children: Results from the 2009 HealthStyles survey. </w:t>
      </w:r>
      <w:r w:rsidRPr="003D2D46">
        <w:rPr>
          <w:rFonts w:ascii="Times New Roman" w:hAnsi="Times New Roman" w:cs="Times New Roman"/>
          <w:i/>
          <w:iCs/>
          <w:noProof/>
        </w:rPr>
        <w:t>Pediatrics</w:t>
      </w:r>
      <w:r w:rsidRPr="003D2D46">
        <w:rPr>
          <w:rFonts w:ascii="Times New Roman" w:hAnsi="Times New Roman" w:cs="Times New Roman"/>
          <w:noProof/>
        </w:rPr>
        <w:t xml:space="preserve"> 127:92–99. DOI: 10.1542/peds.2010-1722N.</w:t>
      </w:r>
    </w:p>
    <w:p w14:paraId="1F20918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Kennedy AM, Brown CJ, Gust DA. 2005. Vaccine beliefs of parents who oppose compulsory vaccination. </w:t>
      </w:r>
      <w:r w:rsidRPr="003D2D46">
        <w:rPr>
          <w:rFonts w:ascii="Times New Roman" w:hAnsi="Times New Roman" w:cs="Times New Roman"/>
          <w:i/>
          <w:iCs/>
          <w:noProof/>
        </w:rPr>
        <w:t>Public Health Reports</w:t>
      </w:r>
      <w:r w:rsidRPr="003D2D46">
        <w:rPr>
          <w:rFonts w:ascii="Times New Roman" w:hAnsi="Times New Roman" w:cs="Times New Roman"/>
          <w:noProof/>
        </w:rPr>
        <w:t xml:space="preserve"> 120:252–258. DOI: 10.1177/003335490512000306.</w:t>
      </w:r>
    </w:p>
    <w:p w14:paraId="3F7C02F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Kennedy A, LaVail K, Nowak G, Basket M, Landry S. 2011. Confidence about vaccines in the United States: Understanding parents’ perceptions. </w:t>
      </w:r>
      <w:r w:rsidRPr="003D2D46">
        <w:rPr>
          <w:rFonts w:ascii="Times New Roman" w:hAnsi="Times New Roman" w:cs="Times New Roman"/>
          <w:i/>
          <w:iCs/>
          <w:noProof/>
        </w:rPr>
        <w:t>Health Affairs</w:t>
      </w:r>
      <w:r w:rsidRPr="003D2D46">
        <w:rPr>
          <w:rFonts w:ascii="Times New Roman" w:hAnsi="Times New Roman" w:cs="Times New Roman"/>
          <w:noProof/>
        </w:rPr>
        <w:t xml:space="preserve"> 30:1151–1159. DOI: 10.1377/hlthaff.2011.0396.</w:t>
      </w:r>
    </w:p>
    <w:p w14:paraId="138BBC6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Kilgore PE, Salim AM, Zervos MJ, Schmitt H. 2016. Pertussis: Microbiology, Disease, Treatment, and Prevention. </w:t>
      </w:r>
      <w:r w:rsidRPr="003D2D46">
        <w:rPr>
          <w:rFonts w:ascii="Times New Roman" w:hAnsi="Times New Roman" w:cs="Times New Roman"/>
          <w:i/>
          <w:iCs/>
          <w:noProof/>
        </w:rPr>
        <w:t>Clinical Microbiology Reviews</w:t>
      </w:r>
      <w:r w:rsidRPr="003D2D46">
        <w:rPr>
          <w:rFonts w:ascii="Times New Roman" w:hAnsi="Times New Roman" w:cs="Times New Roman"/>
          <w:noProof/>
        </w:rPr>
        <w:t xml:space="preserve"> 29:449–486. DOI: 10.1128/CMR.00083-15.Address.</w:t>
      </w:r>
    </w:p>
    <w:p w14:paraId="72C7144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Klein NP, Bartlett J, Rowhani-Rahbar A, Fireman B, Baxter R. 2012. Waning Protection after Fifth Dose of Acellular Pertussis Vaccine in Children. </w:t>
      </w:r>
      <w:r w:rsidRPr="003D2D46">
        <w:rPr>
          <w:rFonts w:ascii="Times New Roman" w:hAnsi="Times New Roman" w:cs="Times New Roman"/>
          <w:i/>
          <w:iCs/>
          <w:noProof/>
        </w:rPr>
        <w:t>New England Journal of Medicine</w:t>
      </w:r>
      <w:r w:rsidRPr="003D2D46">
        <w:rPr>
          <w:rFonts w:ascii="Times New Roman" w:hAnsi="Times New Roman" w:cs="Times New Roman"/>
          <w:noProof/>
        </w:rPr>
        <w:t xml:space="preserve"> 367:1012–1019. DOI: 10.1056/nejmoa1200850.</w:t>
      </w:r>
    </w:p>
    <w:p w14:paraId="5A62D53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Klevens MR LE. 2001. U.S. Children Living in and Near Poverty. </w:t>
      </w:r>
      <w:r w:rsidRPr="003D2D46">
        <w:rPr>
          <w:rFonts w:ascii="Times New Roman" w:hAnsi="Times New Roman" w:cs="Times New Roman"/>
          <w:i/>
          <w:iCs/>
          <w:noProof/>
        </w:rPr>
        <w:t>Am J Prev Med</w:t>
      </w:r>
      <w:r w:rsidRPr="003D2D46">
        <w:rPr>
          <w:rFonts w:ascii="Times New Roman" w:hAnsi="Times New Roman" w:cs="Times New Roman"/>
          <w:noProof/>
        </w:rPr>
        <w:t xml:space="preserve"> 20:41–46.</w:t>
      </w:r>
    </w:p>
    <w:p w14:paraId="1C9A99F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Kolos V, Menzies R, McIntyre P. 2007. Higher pertussis hospitalization rates in indigenous Australian infants, and delayed vaccination. </w:t>
      </w:r>
      <w:r w:rsidRPr="003D2D46">
        <w:rPr>
          <w:rFonts w:ascii="Times New Roman" w:hAnsi="Times New Roman" w:cs="Times New Roman"/>
          <w:i/>
          <w:iCs/>
          <w:noProof/>
        </w:rPr>
        <w:t>Vaccine</w:t>
      </w:r>
      <w:r w:rsidRPr="003D2D46">
        <w:rPr>
          <w:rFonts w:ascii="Times New Roman" w:hAnsi="Times New Roman" w:cs="Times New Roman"/>
          <w:noProof/>
        </w:rPr>
        <w:t xml:space="preserve"> 25:588–590. DOI: 10.1016/j.vaccine.2006.08.022.</w:t>
      </w:r>
    </w:p>
    <w:p w14:paraId="721068C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Larson HJ, Jarrett C, Eckersberger E, Smith DMD, Paterson P. 2014. Understanding vaccine hesitancy around vaccines and vaccination from a global perspective: A systematic review of published literature, 2007-2012. </w:t>
      </w:r>
      <w:r w:rsidRPr="003D2D46">
        <w:rPr>
          <w:rFonts w:ascii="Times New Roman" w:hAnsi="Times New Roman" w:cs="Times New Roman"/>
          <w:i/>
          <w:iCs/>
          <w:noProof/>
        </w:rPr>
        <w:t>Vaccine</w:t>
      </w:r>
      <w:r w:rsidRPr="003D2D46">
        <w:rPr>
          <w:rFonts w:ascii="Times New Roman" w:hAnsi="Times New Roman" w:cs="Times New Roman"/>
          <w:noProof/>
        </w:rPr>
        <w:t xml:space="preserve"> 32:2150–2159. DOI: 10.1016/j.vaccine.2014.01.081.</w:t>
      </w:r>
    </w:p>
    <w:p w14:paraId="7A91476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Leber A. 2014. Pertussis: Relevant Species and Diagnostic Update. </w:t>
      </w:r>
      <w:r w:rsidRPr="003D2D46">
        <w:rPr>
          <w:rFonts w:ascii="Times New Roman" w:hAnsi="Times New Roman" w:cs="Times New Roman"/>
          <w:i/>
          <w:iCs/>
          <w:noProof/>
        </w:rPr>
        <w:t>Clinics in Laboratory Medicine</w:t>
      </w:r>
      <w:r w:rsidRPr="003D2D46">
        <w:rPr>
          <w:rFonts w:ascii="Times New Roman" w:hAnsi="Times New Roman" w:cs="Times New Roman"/>
          <w:noProof/>
        </w:rPr>
        <w:t xml:space="preserve"> 34:237–255.</w:t>
      </w:r>
    </w:p>
    <w:p w14:paraId="326E216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Lee AD, Cassiday PK, Pawloski LC, Tatti KM, Martin D, Briere EC, Tondella ML, Martin SW. 2018. Clinical evaluation and validation of laboratory methods for the diagnosis of Bordetella pertussis infection : Culture , polymerase chain reaction ( PCR ) and anti-pertussis toxin IgG. </w:t>
      </w:r>
      <w:r w:rsidRPr="003D2D46">
        <w:rPr>
          <w:rFonts w:ascii="Times New Roman" w:hAnsi="Times New Roman" w:cs="Times New Roman"/>
          <w:i/>
          <w:iCs/>
          <w:noProof/>
        </w:rPr>
        <w:t>PLoS ONE</w:t>
      </w:r>
      <w:r w:rsidRPr="003D2D46">
        <w:rPr>
          <w:rFonts w:ascii="Times New Roman" w:hAnsi="Times New Roman" w:cs="Times New Roman"/>
          <w:noProof/>
        </w:rPr>
        <w:t xml:space="preserve"> 13. DOI: doi.org/10.1371/journal.pone.0195979.</w:t>
      </w:r>
    </w:p>
    <w:p w14:paraId="4604292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Lee C, Whetten K, Omer S, Pan W, Salmon D. 2016. Hurdles to herd immunity: Distrust of government and vaccine refusal in the US, 2002–2003. </w:t>
      </w:r>
      <w:r w:rsidRPr="003D2D46">
        <w:rPr>
          <w:rFonts w:ascii="Times New Roman" w:hAnsi="Times New Roman" w:cs="Times New Roman"/>
          <w:i/>
          <w:iCs/>
          <w:noProof/>
        </w:rPr>
        <w:t>Vaccine</w:t>
      </w:r>
      <w:r w:rsidRPr="003D2D46">
        <w:rPr>
          <w:rFonts w:ascii="Times New Roman" w:hAnsi="Times New Roman" w:cs="Times New Roman"/>
          <w:noProof/>
        </w:rPr>
        <w:t xml:space="preserve"> 34:3972–3978. DOI: 10.1016/j.vaccine.2016.06.048.</w:t>
      </w:r>
    </w:p>
    <w:p w14:paraId="28ACD5D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Liang JL, Tiwari T, Moro P, Messonnier NE, Reingold A, Sawyer M, Clark TA. 2018. Prevention of Pertussis, Tetanus, and Diphtheria with Vaccines in the United States: Recommendations of the Advisory Committee on Immunization Practices (ACIP). </w:t>
      </w:r>
      <w:r w:rsidRPr="003D2D46">
        <w:rPr>
          <w:rFonts w:ascii="Times New Roman" w:hAnsi="Times New Roman" w:cs="Times New Roman"/>
          <w:i/>
          <w:iCs/>
          <w:noProof/>
        </w:rPr>
        <w:t>Morbidity and Mortality Weekly Report</w:t>
      </w:r>
      <w:r w:rsidRPr="003D2D46">
        <w:rPr>
          <w:rFonts w:ascii="Times New Roman" w:hAnsi="Times New Roman" w:cs="Times New Roman"/>
          <w:noProof/>
        </w:rPr>
        <w:t xml:space="preserve"> 67:1–44.</w:t>
      </w:r>
    </w:p>
    <w:p w14:paraId="5C92AE12"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0993F31F" w14:textId="47247469"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Lind-brandberg L, Welinder-olsson C, Lagergård T, Taranger J, Trollfors B, Zackrisson G. 1998. Evaluation of PCR for Diagnosis of Bordetella pertussis and Bordetella parapertussis Infections. 36:679–683.</w:t>
      </w:r>
    </w:p>
    <w:p w14:paraId="0BE29C3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Liu BC, McIntyre P, Kaldor JM, Quinn HE, Ridda I, Banks E. 2012. Pertussis in older adults: Prospective study of risk factors and morbidity.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55:1450–1456. DOI: 10.1093/cid/cis627.</w:t>
      </w:r>
    </w:p>
    <w:p w14:paraId="0F8FCD6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Loeffelholz MJ, Thompson CJ, Long KS, Gilchrist MJR. 1999. Comparison of PCR, culture, and direct fluorescent-antibody testing for detection of Bordetella pertussis. </w:t>
      </w:r>
      <w:r w:rsidRPr="003D2D46">
        <w:rPr>
          <w:rFonts w:ascii="Times New Roman" w:hAnsi="Times New Roman" w:cs="Times New Roman"/>
          <w:i/>
          <w:iCs/>
          <w:noProof/>
        </w:rPr>
        <w:t>Journal of Clinical Microbiology</w:t>
      </w:r>
      <w:r w:rsidRPr="003D2D46">
        <w:rPr>
          <w:rFonts w:ascii="Times New Roman" w:hAnsi="Times New Roman" w:cs="Times New Roman"/>
          <w:noProof/>
        </w:rPr>
        <w:t xml:space="preserve"> 37:2872–2876. DOI: 10.1128/jcm.37.9.2872-2876.1999.</w:t>
      </w:r>
    </w:p>
    <w:p w14:paraId="1AC81069"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Lord J, Roberson S, Odoi A. 2021. Geographic disparities, determinants, and temporal changes in the prevalence of pre-diabetes in Florida. </w:t>
      </w:r>
      <w:r w:rsidRPr="003D2D46">
        <w:rPr>
          <w:rFonts w:ascii="Times New Roman" w:hAnsi="Times New Roman" w:cs="Times New Roman"/>
          <w:i/>
          <w:iCs/>
          <w:noProof/>
        </w:rPr>
        <w:t>PeerJ</w:t>
      </w:r>
      <w:r w:rsidRPr="003D2D46">
        <w:rPr>
          <w:rFonts w:ascii="Times New Roman" w:hAnsi="Times New Roman" w:cs="Times New Roman"/>
          <w:noProof/>
        </w:rPr>
        <w:t xml:space="preserve"> 9:e10443. DOI: 10.7717/peerj.10443.</w:t>
      </w:r>
    </w:p>
    <w:p w14:paraId="082A48C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Lu PJ, Hung MC, Srivastav A, Grohskopf LA, Kobayashi M, Harris AM, Dooling KL, Markowitz LE, Rodriguez-Lainz A, Williams WW. 2021. Surveillance of Vaccination Coverage Among Adult Populations -United States, 2018. </w:t>
      </w:r>
      <w:r w:rsidRPr="003D2D46">
        <w:rPr>
          <w:rFonts w:ascii="Times New Roman" w:hAnsi="Times New Roman" w:cs="Times New Roman"/>
          <w:i/>
          <w:iCs/>
          <w:noProof/>
        </w:rPr>
        <w:t>Morbidity and mortality weekly report. Surveillance summaries (Washington, D.C. : 2002)</w:t>
      </w:r>
      <w:r w:rsidRPr="003D2D46">
        <w:rPr>
          <w:rFonts w:ascii="Times New Roman" w:hAnsi="Times New Roman" w:cs="Times New Roman"/>
          <w:noProof/>
        </w:rPr>
        <w:t xml:space="preserve"> 70:1–26. DOI: 10.15585/mmwr.ss7003a1.</w:t>
      </w:r>
    </w:p>
    <w:p w14:paraId="593638A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Luborsky M, Rubinstein R. 1995. Sampling in Qualitative Research: Rationale, Issues, and Methods. </w:t>
      </w:r>
      <w:r w:rsidRPr="003D2D46">
        <w:rPr>
          <w:rFonts w:ascii="Times New Roman" w:hAnsi="Times New Roman" w:cs="Times New Roman"/>
          <w:i/>
          <w:iCs/>
          <w:noProof/>
        </w:rPr>
        <w:t>Res Aging</w:t>
      </w:r>
      <w:r w:rsidRPr="003D2D46">
        <w:rPr>
          <w:rFonts w:ascii="Times New Roman" w:hAnsi="Times New Roman" w:cs="Times New Roman"/>
          <w:noProof/>
        </w:rPr>
        <w:t xml:space="preserve"> 17:89–113.</w:t>
      </w:r>
    </w:p>
    <w:p w14:paraId="099FDB1F"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10285A61" w14:textId="022CBEC9"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Lukwago L, Nanyunja M, Ndayimirije N, Wamala J, Malimbo M, Mbabazi W, Gasasira A, Nabukenya IN, Musenero M, Alemu W, Perry H, Nsubuga P, Talisuna A. 2013. The implementation of Integrated Disease Surveillance and Response in Uganda : a review of progress and challenges between 2001 and 2007. </w:t>
      </w:r>
      <w:r w:rsidRPr="003D2D46">
        <w:rPr>
          <w:rFonts w:ascii="Times New Roman" w:hAnsi="Times New Roman" w:cs="Times New Roman"/>
          <w:i/>
          <w:iCs/>
          <w:noProof/>
        </w:rPr>
        <w:t>Health Policy and Planning</w:t>
      </w:r>
      <w:r w:rsidRPr="003D2D46">
        <w:rPr>
          <w:rFonts w:ascii="Times New Roman" w:hAnsi="Times New Roman" w:cs="Times New Roman"/>
          <w:noProof/>
        </w:rPr>
        <w:t xml:space="preserve"> 28:30–40. DOI: 10.1093/heapol/czs022.</w:t>
      </w:r>
    </w:p>
    <w:p w14:paraId="771FEA7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Luman ET, Barker LE, Shaw KM, McCauley MM, Buehler JW, Pickering LK. 2005. Timeliness of childhood vaccinations in the United States: Days undervaccinated and number of vaccines delayed. </w:t>
      </w:r>
      <w:r w:rsidRPr="003D2D46">
        <w:rPr>
          <w:rFonts w:ascii="Times New Roman" w:hAnsi="Times New Roman" w:cs="Times New Roman"/>
          <w:i/>
          <w:iCs/>
          <w:noProof/>
        </w:rPr>
        <w:t>Journal of the American Medical Association</w:t>
      </w:r>
      <w:r w:rsidRPr="003D2D46">
        <w:rPr>
          <w:rFonts w:ascii="Times New Roman" w:hAnsi="Times New Roman" w:cs="Times New Roman"/>
          <w:noProof/>
        </w:rPr>
        <w:t xml:space="preserve"> 293:1204–1211. DOI: 10.1001/jama.293.10.1204.</w:t>
      </w:r>
    </w:p>
    <w:p w14:paraId="1E71DB8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Magpantay FMG, Rohani P. 2015. Dynamics of Pertussis Transmission in the United States. </w:t>
      </w:r>
      <w:r w:rsidRPr="003D2D46">
        <w:rPr>
          <w:rFonts w:ascii="Times New Roman" w:hAnsi="Times New Roman" w:cs="Times New Roman"/>
          <w:i/>
          <w:iCs/>
          <w:noProof/>
        </w:rPr>
        <w:t>American Journal of Epidemiology</w:t>
      </w:r>
      <w:r w:rsidRPr="003D2D46">
        <w:rPr>
          <w:rFonts w:ascii="Times New Roman" w:hAnsi="Times New Roman" w:cs="Times New Roman"/>
          <w:noProof/>
        </w:rPr>
        <w:t xml:space="preserve"> 181:921–931. DOI: 10.1093/aje/kwv024.</w:t>
      </w:r>
    </w:p>
    <w:p w14:paraId="10FF81D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Mashinini DP, Fogarty KJ, Potter RC, Berles JD. 2020. Geographic hot spot analysis of vaccine exemption clustering patterns in Michigan from 2008 to 2017. </w:t>
      </w:r>
      <w:r w:rsidRPr="003D2D46">
        <w:rPr>
          <w:rFonts w:ascii="Times New Roman" w:hAnsi="Times New Roman" w:cs="Times New Roman"/>
          <w:i/>
          <w:iCs/>
          <w:noProof/>
        </w:rPr>
        <w:t>Vaccine</w:t>
      </w:r>
      <w:r w:rsidRPr="003D2D46">
        <w:rPr>
          <w:rFonts w:ascii="Times New Roman" w:hAnsi="Times New Roman" w:cs="Times New Roman"/>
          <w:noProof/>
        </w:rPr>
        <w:t xml:space="preserve"> 38:8116–8120. DOI: 10.1016/j.vaccine.2020.10.091.</w:t>
      </w:r>
    </w:p>
    <w:p w14:paraId="3525E17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Mattoo S, Cherry JD. 2005. Molecular Pathogenesis, Epidemiology, and Clinical Manifestations of Respiratory Infections Due to. </w:t>
      </w:r>
      <w:r w:rsidRPr="003D2D46">
        <w:rPr>
          <w:rFonts w:ascii="Times New Roman" w:hAnsi="Times New Roman" w:cs="Times New Roman"/>
          <w:i/>
          <w:iCs/>
          <w:noProof/>
        </w:rPr>
        <w:t>Society</w:t>
      </w:r>
      <w:r w:rsidRPr="003D2D46">
        <w:rPr>
          <w:rFonts w:ascii="Times New Roman" w:hAnsi="Times New Roman" w:cs="Times New Roman"/>
          <w:noProof/>
        </w:rPr>
        <w:t xml:space="preserve"> 18:326–382. DOI: 10.1128/CMR.18.2.326.</w:t>
      </w:r>
    </w:p>
    <w:p w14:paraId="094848F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May ML, Doi SA, King D, Evans J, Robson JM. 2012. Prospective Evaluation of an Australian Pertussis Toxin IgG and IgA Enzyme Immunoassay. </w:t>
      </w:r>
      <w:r w:rsidRPr="003D2D46">
        <w:rPr>
          <w:rFonts w:ascii="Times New Roman" w:hAnsi="Times New Roman" w:cs="Times New Roman"/>
          <w:i/>
          <w:iCs/>
          <w:noProof/>
        </w:rPr>
        <w:t>Clinical and Vaccine Immunology</w:t>
      </w:r>
      <w:r w:rsidRPr="003D2D46">
        <w:rPr>
          <w:rFonts w:ascii="Times New Roman" w:hAnsi="Times New Roman" w:cs="Times New Roman"/>
          <w:noProof/>
        </w:rPr>
        <w:t xml:space="preserve"> 19:190–197. DOI: 10.1128/CVI.05430-11.</w:t>
      </w:r>
    </w:p>
    <w:p w14:paraId="7C8CDCC1"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3523C2F6" w14:textId="54A5ED49"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McAuliffe K, Wang W, Rubio M, Sawyer M, Peddecord K, Waters-Montijo K. 2011. Tdap Coverage Rates During a Major Pertussis Outbreak: Results From a Cross-Sectional Survey of Adults In San Diego County. In: </w:t>
      </w:r>
      <w:r w:rsidRPr="003D2D46">
        <w:rPr>
          <w:rFonts w:ascii="Times New Roman" w:hAnsi="Times New Roman" w:cs="Times New Roman"/>
          <w:i/>
          <w:iCs/>
          <w:noProof/>
        </w:rPr>
        <w:t>National Immunization Conference</w:t>
      </w:r>
      <w:r w:rsidRPr="003D2D46">
        <w:rPr>
          <w:rFonts w:ascii="Times New Roman" w:hAnsi="Times New Roman" w:cs="Times New Roman"/>
          <w:noProof/>
        </w:rPr>
        <w:t>. Washington, D.C.,.</w:t>
      </w:r>
    </w:p>
    <w:p w14:paraId="37FB16A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McNutt LA, Desemone C, DeNicola E, El Chebib H, Nadeau JA, Bednarczyk RA, Shaw J. 2016. Affluence as a predictor of vaccine refusal and underimmunization in California private kindergartens. </w:t>
      </w:r>
      <w:r w:rsidRPr="003D2D46">
        <w:rPr>
          <w:rFonts w:ascii="Times New Roman" w:hAnsi="Times New Roman" w:cs="Times New Roman"/>
          <w:i/>
          <w:iCs/>
          <w:noProof/>
        </w:rPr>
        <w:t>Vaccine</w:t>
      </w:r>
      <w:r w:rsidRPr="003D2D46">
        <w:rPr>
          <w:rFonts w:ascii="Times New Roman" w:hAnsi="Times New Roman" w:cs="Times New Roman"/>
          <w:noProof/>
        </w:rPr>
        <w:t xml:space="preserve"> 34:1733–1738. DOI: 10.1016/j.vaccine.2015.11.063.</w:t>
      </w:r>
    </w:p>
    <w:p w14:paraId="36A1FDB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Medu O, Anderson M, Enns A, Wright J, Dunlop T, Kapaj S, Opondo JM. 2018. Predictors of pertussis outbreak in urban and rural municipalities of Saskatchewan, Canada. </w:t>
      </w:r>
      <w:r w:rsidRPr="003D2D46">
        <w:rPr>
          <w:rFonts w:ascii="Times New Roman" w:hAnsi="Times New Roman" w:cs="Times New Roman"/>
          <w:i/>
          <w:iCs/>
          <w:noProof/>
        </w:rPr>
        <w:t>Canadian Journal of Public Health</w:t>
      </w:r>
      <w:r w:rsidRPr="003D2D46">
        <w:rPr>
          <w:rFonts w:ascii="Times New Roman" w:hAnsi="Times New Roman" w:cs="Times New Roman"/>
          <w:noProof/>
        </w:rPr>
        <w:t xml:space="preserve"> 109:362–368. DOI: 10.17269/s41997-018-0074-1.</w:t>
      </w:r>
    </w:p>
    <w:p w14:paraId="7F8EE33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Mertsola J, Ruuskanen O, Eerola E, Viljanen MK. 1983. Intrafamilial spread of pertussis. </w:t>
      </w:r>
      <w:r w:rsidRPr="003D2D46">
        <w:rPr>
          <w:rFonts w:ascii="Times New Roman" w:hAnsi="Times New Roman" w:cs="Times New Roman"/>
          <w:i/>
          <w:iCs/>
          <w:noProof/>
        </w:rPr>
        <w:t>The Journal of Pediatrics</w:t>
      </w:r>
      <w:r w:rsidRPr="003D2D46">
        <w:rPr>
          <w:rFonts w:ascii="Times New Roman" w:hAnsi="Times New Roman" w:cs="Times New Roman"/>
          <w:noProof/>
        </w:rPr>
        <w:t xml:space="preserve"> 103:359–363.</w:t>
      </w:r>
    </w:p>
    <w:p w14:paraId="27AEB1D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Miller BL, Kretsinger K, Euler GL, Lu PJ, Ahmed F. 2011. Barriers to early uptake of tetanus, diphtheria and acellular pertussis vaccine (Tdap) among adults-United States, 2005-2007. </w:t>
      </w:r>
      <w:r w:rsidRPr="003D2D46">
        <w:rPr>
          <w:rFonts w:ascii="Times New Roman" w:hAnsi="Times New Roman" w:cs="Times New Roman"/>
          <w:i/>
          <w:iCs/>
          <w:noProof/>
        </w:rPr>
        <w:t>Vaccine</w:t>
      </w:r>
      <w:r w:rsidRPr="003D2D46">
        <w:rPr>
          <w:rFonts w:ascii="Times New Roman" w:hAnsi="Times New Roman" w:cs="Times New Roman"/>
          <w:noProof/>
        </w:rPr>
        <w:t xml:space="preserve"> 29:3850–3856. DOI: 10.1016/j.vaccine.2011.03.058.</w:t>
      </w:r>
    </w:p>
    <w:p w14:paraId="73E9FD7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Mohammadbeigi A, Saghafipour A, Jesri N, Tarkhan FZ, Jooshin MK. 2020. Spatial distribution of vaccine-preventable diseases in central Iran in 2015–2018: A GIS-based study. </w:t>
      </w:r>
      <w:r w:rsidRPr="003D2D46">
        <w:rPr>
          <w:rFonts w:ascii="Times New Roman" w:hAnsi="Times New Roman" w:cs="Times New Roman"/>
          <w:i/>
          <w:iCs/>
          <w:noProof/>
        </w:rPr>
        <w:t>Heliyon</w:t>
      </w:r>
      <w:r w:rsidRPr="003D2D46">
        <w:rPr>
          <w:rFonts w:ascii="Times New Roman" w:hAnsi="Times New Roman" w:cs="Times New Roman"/>
          <w:noProof/>
        </w:rPr>
        <w:t xml:space="preserve"> 6. DOI: 10.1016/j.heliyon.2020.e05102.</w:t>
      </w:r>
    </w:p>
    <w:p w14:paraId="1BF3B4B2"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72AEA9EE" w14:textId="42FDC176"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de Moissac YR, Ronald SL, Peppler MS. 1994. Use of Pulsed-Field Gel Electrophoresis for Epidemiological Study of Bordetella pertussis in a Whooping Cough Outbreak. 32:398–402.</w:t>
      </w:r>
    </w:p>
    <w:p w14:paraId="31BA03A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Mooi FR, Bruisten S, Linde I, Reubsaet F, Heuvelman K, van der Lee S, J. King A. 2012. Characterization of Bordetella holmesii isolates from patients with pertussis-like illness in the Netherlands. </w:t>
      </w:r>
      <w:r w:rsidRPr="003D2D46">
        <w:rPr>
          <w:rFonts w:ascii="Times New Roman" w:hAnsi="Times New Roman" w:cs="Times New Roman"/>
          <w:i/>
          <w:iCs/>
          <w:noProof/>
        </w:rPr>
        <w:t>FEMS Immunology and Medical Microbiology</w:t>
      </w:r>
      <w:r w:rsidRPr="003D2D46">
        <w:rPr>
          <w:rFonts w:ascii="Times New Roman" w:hAnsi="Times New Roman" w:cs="Times New Roman"/>
          <w:noProof/>
        </w:rPr>
        <w:t xml:space="preserve"> 64:289–291. DOI: 10.1111/j.1574-695X.2011.00911.x.</w:t>
      </w:r>
    </w:p>
    <w:p w14:paraId="482BD33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Mooi FR, Loo IHM Van, Gent M Van, He Q, Bart MJ, Heuvelman KJ, Greeff SC De, Diavatopoulos D, Teunis P, Nagelkerke N, Mertsola J. 2009. Bordetella pertussis Strains with Increased Toxin Production Associated with Pertussis Resurgence. </w:t>
      </w:r>
      <w:r w:rsidRPr="003D2D46">
        <w:rPr>
          <w:rFonts w:ascii="Times New Roman" w:hAnsi="Times New Roman" w:cs="Times New Roman"/>
          <w:i/>
          <w:iCs/>
          <w:noProof/>
        </w:rPr>
        <w:t>Emerging Infectious Diseases</w:t>
      </w:r>
      <w:r w:rsidRPr="003D2D46">
        <w:rPr>
          <w:rFonts w:ascii="Times New Roman" w:hAnsi="Times New Roman" w:cs="Times New Roman"/>
          <w:noProof/>
        </w:rPr>
        <w:t xml:space="preserve"> 15:1–8. DOI: 10.3201/eid1508.081511.</w:t>
      </w:r>
    </w:p>
    <w:p w14:paraId="54520CB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Moradi G, Azim F. 2021. Epidemiology incidence and a geoggraphical distribution of Pertussis using GIS and its incidence prediction in Iran in 2021. </w:t>
      </w:r>
      <w:r w:rsidRPr="003D2D46">
        <w:rPr>
          <w:rFonts w:ascii="Times New Roman" w:hAnsi="Times New Roman" w:cs="Times New Roman"/>
          <w:i/>
          <w:iCs/>
          <w:noProof/>
        </w:rPr>
        <w:t>Medical Journal of the Islamic Republic of Iran</w:t>
      </w:r>
      <w:r w:rsidRPr="003D2D46">
        <w:rPr>
          <w:rFonts w:ascii="Times New Roman" w:hAnsi="Times New Roman" w:cs="Times New Roman"/>
          <w:noProof/>
        </w:rPr>
        <w:t xml:space="preserve"> 35:108.</w:t>
      </w:r>
    </w:p>
    <w:p w14:paraId="6ABEA35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Morrison M, Castro LA, Meyers LA. 2020. Conscientious vaccination exemptions in kindergarten to eighth-grade children across Texas schools from 2012 to 2018: A regression analysis. </w:t>
      </w:r>
      <w:r w:rsidRPr="003D2D46">
        <w:rPr>
          <w:rFonts w:ascii="Times New Roman" w:hAnsi="Times New Roman" w:cs="Times New Roman"/>
          <w:i/>
          <w:iCs/>
          <w:noProof/>
        </w:rPr>
        <w:t>PLoS Medicine</w:t>
      </w:r>
      <w:r w:rsidRPr="003D2D46">
        <w:rPr>
          <w:rFonts w:ascii="Times New Roman" w:hAnsi="Times New Roman" w:cs="Times New Roman"/>
          <w:noProof/>
        </w:rPr>
        <w:t xml:space="preserve"> 17:1–18. DOI: 10.1371/JOURNAL.PMED.1003049.</w:t>
      </w:r>
    </w:p>
    <w:p w14:paraId="2E8E33A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Motta M, Callaghan T, Sylvester S. 2018. Knowing less but presuming more: Dunning-Kruger effects and the endorsement of anti-vaccine policy attitudes. </w:t>
      </w:r>
      <w:r w:rsidRPr="003D2D46">
        <w:rPr>
          <w:rFonts w:ascii="Times New Roman" w:hAnsi="Times New Roman" w:cs="Times New Roman"/>
          <w:i/>
          <w:iCs/>
          <w:noProof/>
        </w:rPr>
        <w:t>Social Science and Medicine</w:t>
      </w:r>
      <w:r w:rsidRPr="003D2D46">
        <w:rPr>
          <w:rFonts w:ascii="Times New Roman" w:hAnsi="Times New Roman" w:cs="Times New Roman"/>
          <w:noProof/>
        </w:rPr>
        <w:t xml:space="preserve"> 211:274–281. DOI: 10.1016/j.socscimed.2018.06.032.</w:t>
      </w:r>
    </w:p>
    <w:p w14:paraId="7B86031E"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206053BA" w14:textId="6F67C88F"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Muller C, Gwynn L. 2021. An Examination of Miami-Dade County Public-School Vaccination Compliance Utilizing GIS Mapping. In: </w:t>
      </w:r>
      <w:r w:rsidRPr="003D2D46">
        <w:rPr>
          <w:rFonts w:ascii="Times New Roman" w:hAnsi="Times New Roman" w:cs="Times New Roman"/>
          <w:i/>
          <w:iCs/>
          <w:noProof/>
        </w:rPr>
        <w:t>2020 AAP National Conference</w:t>
      </w:r>
      <w:r w:rsidRPr="003D2D46">
        <w:rPr>
          <w:rFonts w:ascii="Times New Roman" w:hAnsi="Times New Roman" w:cs="Times New Roman"/>
          <w:noProof/>
        </w:rPr>
        <w:t>. DOI: https://doi-org.utk.idm.oclc.org/10.1542/peds.147.3_MeetingAbstract.5.</w:t>
      </w:r>
    </w:p>
    <w:p w14:paraId="2A78DA0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Muller A, Leeuwenburg J, Voorhoeve A. 1984. Pertussis in a rural area of Kenya: epidemiology and results of a vaccine trial. </w:t>
      </w:r>
      <w:r w:rsidRPr="003D2D46">
        <w:rPr>
          <w:rFonts w:ascii="Times New Roman" w:hAnsi="Times New Roman" w:cs="Times New Roman"/>
          <w:i/>
          <w:iCs/>
          <w:noProof/>
        </w:rPr>
        <w:t>Bulletin of the World Health Organization</w:t>
      </w:r>
      <w:r w:rsidRPr="003D2D46">
        <w:rPr>
          <w:rFonts w:ascii="Times New Roman" w:hAnsi="Times New Roman" w:cs="Times New Roman"/>
          <w:noProof/>
        </w:rPr>
        <w:t xml:space="preserve"> 62:899–908.</w:t>
      </w:r>
    </w:p>
    <w:p w14:paraId="795198C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Muloiwa R, Dube FS, Nicol MP, Hussey GD, Zar HJ. 2020. Risk factors for Bordetella pertussis disease in hospitalized children. </w:t>
      </w:r>
      <w:r w:rsidRPr="003D2D46">
        <w:rPr>
          <w:rFonts w:ascii="Times New Roman" w:hAnsi="Times New Roman" w:cs="Times New Roman"/>
          <w:i/>
          <w:iCs/>
          <w:noProof/>
        </w:rPr>
        <w:t>PLoS ONE</w:t>
      </w:r>
      <w:r w:rsidRPr="003D2D46">
        <w:rPr>
          <w:rFonts w:ascii="Times New Roman" w:hAnsi="Times New Roman" w:cs="Times New Roman"/>
          <w:noProof/>
        </w:rPr>
        <w:t xml:space="preserve"> 15:1–13. DOI: 10.1371/journal.pone.0240717.</w:t>
      </w:r>
    </w:p>
    <w:p w14:paraId="4A601B9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Muloiwa R, Wolter N, Mupere E, Tan T, Chitkara AJ, Forsyth KD, König CW Von, Hussey G. 2018. Pertussis in Africa : Findings and recommendations of the Global Pertussis Initiative (GPI). </w:t>
      </w:r>
      <w:r w:rsidRPr="003D2D46">
        <w:rPr>
          <w:rFonts w:ascii="Times New Roman" w:hAnsi="Times New Roman" w:cs="Times New Roman"/>
          <w:i/>
          <w:iCs/>
          <w:noProof/>
        </w:rPr>
        <w:t>Vaccine</w:t>
      </w:r>
      <w:r w:rsidRPr="003D2D46">
        <w:rPr>
          <w:rFonts w:ascii="Times New Roman" w:hAnsi="Times New Roman" w:cs="Times New Roman"/>
          <w:noProof/>
        </w:rPr>
        <w:t xml:space="preserve"> 36:2385–2393. DOI: 10.1016/j.vaccine.2018.03.025.</w:t>
      </w:r>
    </w:p>
    <w:p w14:paraId="6410046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Murphy T V, Slade BA, Broder KR, Kretsinger K, Tiwari T, Joyce PM, Iskander JK, Brown K, Moran JS. 2008. Prevention of pertussis, tetanus, and diphtheria among pregnant and postpartum women and their infants recommendations of the Advisory Committee on Immunization Practices (ACIP). </w:t>
      </w:r>
      <w:r w:rsidRPr="003D2D46">
        <w:rPr>
          <w:rFonts w:ascii="Times New Roman" w:hAnsi="Times New Roman" w:cs="Times New Roman"/>
          <w:i/>
          <w:iCs/>
          <w:noProof/>
        </w:rPr>
        <w:t>Morbidity and Mortality Weekly Report</w:t>
      </w:r>
      <w:r w:rsidRPr="003D2D46">
        <w:rPr>
          <w:rFonts w:ascii="Times New Roman" w:hAnsi="Times New Roman" w:cs="Times New Roman"/>
          <w:noProof/>
        </w:rPr>
        <w:t xml:space="preserve"> 30:1–51.</w:t>
      </w:r>
    </w:p>
    <w:p w14:paraId="30B58C37"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5586410E" w14:textId="5F3288C3"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Murray EL, Nieves D, Bradley JS, Gargas J, Mason WH, Lehman D, Harriman K, Cherry JD. 2013. Characteristics of severe Bordetella pertussis infection among infants ≤90 days of age admitted to pediatric intensive care units - Southern California, September 2009-June 2011. </w:t>
      </w:r>
      <w:r w:rsidRPr="003D2D46">
        <w:rPr>
          <w:rFonts w:ascii="Times New Roman" w:hAnsi="Times New Roman" w:cs="Times New Roman"/>
          <w:i/>
          <w:iCs/>
          <w:noProof/>
        </w:rPr>
        <w:t>Journal of the Pediatric Infectious Diseases Society</w:t>
      </w:r>
      <w:r w:rsidRPr="003D2D46">
        <w:rPr>
          <w:rFonts w:ascii="Times New Roman" w:hAnsi="Times New Roman" w:cs="Times New Roman"/>
          <w:noProof/>
        </w:rPr>
        <w:t xml:space="preserve"> 2:1–6. DOI: 10.1093/jpids/pis105.</w:t>
      </w:r>
    </w:p>
    <w:p w14:paraId="1A7A9B2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National Conference of State Legislatures (NCSL). 2021.States With Religious and Philosophical Exemptions From School Immunization Requirements.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https://www.ncsl.org/research/health/school-immunization-exemption-state-laws.aspx</w:t>
      </w:r>
      <w:r w:rsidRPr="003D2D46">
        <w:rPr>
          <w:rFonts w:ascii="Times New Roman" w:hAnsi="Times New Roman" w:cs="Times New Roman"/>
          <w:noProof/>
        </w:rPr>
        <w:t xml:space="preserve"> (accessed November 14, 2021).</w:t>
      </w:r>
    </w:p>
    <w:p w14:paraId="6C9F755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Njamkepo E, Bonacorsi S, Debruyne M, Gibaud SA, Guillot S, Guiso N. 2011. Significant finding of Bordetella holmesii DNA in nasopharyngeal samples from French patients with suspected pertussis. </w:t>
      </w:r>
      <w:r w:rsidRPr="003D2D46">
        <w:rPr>
          <w:rFonts w:ascii="Times New Roman" w:hAnsi="Times New Roman" w:cs="Times New Roman"/>
          <w:i/>
          <w:iCs/>
          <w:noProof/>
        </w:rPr>
        <w:t>Journal of Clinical Microbiology</w:t>
      </w:r>
      <w:r w:rsidRPr="003D2D46">
        <w:rPr>
          <w:rFonts w:ascii="Times New Roman" w:hAnsi="Times New Roman" w:cs="Times New Roman"/>
          <w:noProof/>
        </w:rPr>
        <w:t xml:space="preserve"> 49:4347–4348. DOI: 10.1128/JCM.01272-11.</w:t>
      </w:r>
    </w:p>
    <w:p w14:paraId="3C66928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Nowak GJ, Lavail K, Kennedy A, Sheedy K. 2013. Insights from public health: A framework for understanding and fostering vaccine acceptance. In: </w:t>
      </w:r>
      <w:r w:rsidRPr="003D2D46">
        <w:rPr>
          <w:rFonts w:ascii="Times New Roman" w:hAnsi="Times New Roman" w:cs="Times New Roman"/>
          <w:i/>
          <w:iCs/>
          <w:noProof/>
        </w:rPr>
        <w:t>Vaccinophobia and Vaccine Controversies of the 21st Century</w:t>
      </w:r>
      <w:r w:rsidRPr="003D2D46">
        <w:rPr>
          <w:rFonts w:ascii="Times New Roman" w:hAnsi="Times New Roman" w:cs="Times New Roman"/>
          <w:noProof/>
        </w:rPr>
        <w:t>. Springer New York, 459–479. DOI: 10.1007/978-1-4614-7438-8_25.</w:t>
      </w:r>
    </w:p>
    <w:p w14:paraId="461131B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Nunes MC, Downs S, Jones S, Niekerk N Van, Cutland CL, Madhi SA. 2016. Bordetella pertussis Infection in South African HIV- Infected and HIV-Uninfected Mother – Infant Dyads : A Longitudinal Cohort Study.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63:174–180. DOI: 10.1093/cid/ciw527.</w:t>
      </w:r>
    </w:p>
    <w:p w14:paraId="4A131FE8"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1CAD3B69" w14:textId="3FD0D89F"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Odoi EW, Nagle N, Roberson S, Kintziger KW. 2019. Geographic disparities and temporal changes in risk of death from myocardial infarction in Florida, 2000-2014. </w:t>
      </w:r>
      <w:r w:rsidRPr="003D2D46">
        <w:rPr>
          <w:rFonts w:ascii="Times New Roman" w:hAnsi="Times New Roman" w:cs="Times New Roman"/>
          <w:i/>
          <w:iCs/>
          <w:noProof/>
        </w:rPr>
        <w:t>BMC Public Health</w:t>
      </w:r>
      <w:r w:rsidRPr="003D2D46">
        <w:rPr>
          <w:rFonts w:ascii="Times New Roman" w:hAnsi="Times New Roman" w:cs="Times New Roman"/>
          <w:noProof/>
        </w:rPr>
        <w:t xml:space="preserve"> 19:1–13. DOI: 10.1186/s12889-019-6850-x.</w:t>
      </w:r>
    </w:p>
    <w:p w14:paraId="3CCCDD4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Oliver SE, Moore KL. 2020. Licensure of a Diphtheria and Tetanus Toxoids and Acellular Pertussis , Inactivated Poliovirus , Haemophilus influenzae Type b Conjugate , and Hepatitis B Vaccine , and Guidance for Use in Infants. </w:t>
      </w:r>
      <w:r w:rsidRPr="003D2D46">
        <w:rPr>
          <w:rFonts w:ascii="Times New Roman" w:hAnsi="Times New Roman" w:cs="Times New Roman"/>
          <w:i/>
          <w:iCs/>
          <w:noProof/>
        </w:rPr>
        <w:t>MMWR Morb Mortal Wkly Rep</w:t>
      </w:r>
      <w:r w:rsidRPr="003D2D46">
        <w:rPr>
          <w:rFonts w:ascii="Times New Roman" w:hAnsi="Times New Roman" w:cs="Times New Roman"/>
          <w:noProof/>
        </w:rPr>
        <w:t xml:space="preserve"> 69:136–139. DOI: http://dx.doi.org/10.15585/mmwr.mm6905a5.</w:t>
      </w:r>
    </w:p>
    <w:p w14:paraId="1A518DC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Omer SB, Enger KS, Moulton LH, Halsey NA, Stokley S, Salmon DA. 2008. Geographic clustering of nonmedical exemptions to school immunization requirements and associations with geographic clustering of pertussis. </w:t>
      </w:r>
      <w:r w:rsidRPr="003D2D46">
        <w:rPr>
          <w:rFonts w:ascii="Times New Roman" w:hAnsi="Times New Roman" w:cs="Times New Roman"/>
          <w:i/>
          <w:iCs/>
          <w:noProof/>
        </w:rPr>
        <w:t>American Journal of Epidemiology</w:t>
      </w:r>
      <w:r w:rsidRPr="003D2D46">
        <w:rPr>
          <w:rFonts w:ascii="Times New Roman" w:hAnsi="Times New Roman" w:cs="Times New Roman"/>
          <w:noProof/>
        </w:rPr>
        <w:t xml:space="preserve"> 168:1389–1396. DOI: 10.1093/aje/kwn263.</w:t>
      </w:r>
    </w:p>
    <w:p w14:paraId="45B848A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Omer SB, Pan WKY, Halsey NA, Stokley S, Moulton LH, Navar AM, Pierce M, Salmon DA. 2006. Nonmedical Exemptions to School Immunization Requirements. </w:t>
      </w:r>
      <w:r w:rsidRPr="003D2D46">
        <w:rPr>
          <w:rFonts w:ascii="Times New Roman" w:hAnsi="Times New Roman" w:cs="Times New Roman"/>
          <w:i/>
          <w:iCs/>
          <w:noProof/>
        </w:rPr>
        <w:t>Jama</w:t>
      </w:r>
      <w:r w:rsidRPr="003D2D46">
        <w:rPr>
          <w:rFonts w:ascii="Times New Roman" w:hAnsi="Times New Roman" w:cs="Times New Roman"/>
          <w:noProof/>
        </w:rPr>
        <w:t xml:space="preserve"> 296:1757. DOI: 10.1001/jama.296.14.1757.</w:t>
      </w:r>
    </w:p>
    <w:p w14:paraId="49C9290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Omer SB, Salmon DA, Orenstein WA, Halsey N. 2009. Vaccine Refusal, Mandatory Immunization, and the Risks of Vaccine-Preventable Diseases. </w:t>
      </w:r>
      <w:r w:rsidRPr="003D2D46">
        <w:rPr>
          <w:rFonts w:ascii="Times New Roman" w:hAnsi="Times New Roman" w:cs="Times New Roman"/>
          <w:i/>
          <w:iCs/>
          <w:noProof/>
        </w:rPr>
        <w:t>New England Journal of Medicine</w:t>
      </w:r>
      <w:r w:rsidRPr="003D2D46">
        <w:rPr>
          <w:rFonts w:ascii="Times New Roman" w:hAnsi="Times New Roman" w:cs="Times New Roman"/>
          <w:noProof/>
        </w:rPr>
        <w:t xml:space="preserve"> 360:1981–8.</w:t>
      </w:r>
    </w:p>
    <w:p w14:paraId="4538E2D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Ozawa S, Yemeke TT, Evans DR, Pallas SE, Wallace AS, Lee BY. 2019. Defining hard-to-reach populations for vaccination. </w:t>
      </w:r>
      <w:r w:rsidRPr="003D2D46">
        <w:rPr>
          <w:rFonts w:ascii="Times New Roman" w:hAnsi="Times New Roman" w:cs="Times New Roman"/>
          <w:i/>
          <w:iCs/>
          <w:noProof/>
        </w:rPr>
        <w:t>Vaccine</w:t>
      </w:r>
      <w:r w:rsidRPr="003D2D46">
        <w:rPr>
          <w:rFonts w:ascii="Times New Roman" w:hAnsi="Times New Roman" w:cs="Times New Roman"/>
          <w:noProof/>
        </w:rPr>
        <w:t xml:space="preserve"> 37:5525–5534. DOI: 10.1016/j.vaccine.2019.06.081.</w:t>
      </w:r>
    </w:p>
    <w:p w14:paraId="749E5518"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32641DE4" w14:textId="5ABBE072"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Paddock CD, Sanden GN, Cherry JD, Gal AA, Langston C, Tatti KM, Wu KH, Goldsmith CS, Greer PW, Montague JL, Eliason MT, Holman RC, Guarner J, Shieh WJ, Zaki SR. 2008. Pathology and pathogenesis of fatal Bordetella pertussis infection in infants.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47:328–338. DOI: 10.1086/589753.</w:t>
      </w:r>
    </w:p>
    <w:p w14:paraId="45DB72F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Paradowska-Stankiewicz I, Rudowska J. 2015. Pertussis in Poland, 2013. </w:t>
      </w:r>
      <w:r w:rsidRPr="003D2D46">
        <w:rPr>
          <w:rFonts w:ascii="Times New Roman" w:hAnsi="Times New Roman" w:cs="Times New Roman"/>
          <w:i/>
          <w:iCs/>
          <w:noProof/>
        </w:rPr>
        <w:t>Przegl Epidemiol</w:t>
      </w:r>
      <w:r w:rsidRPr="003D2D46">
        <w:rPr>
          <w:rFonts w:ascii="Times New Roman" w:hAnsi="Times New Roman" w:cs="Times New Roman"/>
          <w:noProof/>
        </w:rPr>
        <w:t xml:space="preserve"> 69:745–747.</w:t>
      </w:r>
    </w:p>
    <w:p w14:paraId="0ED758D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Parker AA, Staggs W, Dayan G, Ortego-Sanchez I, Rota P, Lowe L, Boardman P, Teclaw R, Graves C, LeBaron C. 2006. Implications of a 2005 Measles Outbreak in Indiana for Sustained Elimination of Measles in the United States Amy. </w:t>
      </w:r>
      <w:r w:rsidRPr="003D2D46">
        <w:rPr>
          <w:rFonts w:ascii="Times New Roman" w:hAnsi="Times New Roman" w:cs="Times New Roman"/>
          <w:i/>
          <w:iCs/>
          <w:noProof/>
        </w:rPr>
        <w:t>New England Journal of Medicine\</w:t>
      </w:r>
      <w:r w:rsidRPr="003D2D46">
        <w:rPr>
          <w:rFonts w:ascii="Times New Roman" w:hAnsi="Times New Roman" w:cs="Times New Roman"/>
          <w:noProof/>
        </w:rPr>
        <w:t xml:space="preserve"> 355:447–455.</w:t>
      </w:r>
    </w:p>
    <w:p w14:paraId="7677C60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Plans-Rubió P. 2021. Vaccination coverage for routine vaccines and herd immunity levels against measles and pertussis in the world in 2019. </w:t>
      </w:r>
      <w:r w:rsidRPr="003D2D46">
        <w:rPr>
          <w:rFonts w:ascii="Times New Roman" w:hAnsi="Times New Roman" w:cs="Times New Roman"/>
          <w:i/>
          <w:iCs/>
          <w:noProof/>
        </w:rPr>
        <w:t>Vaccines</w:t>
      </w:r>
      <w:r w:rsidRPr="003D2D46">
        <w:rPr>
          <w:rFonts w:ascii="Times New Roman" w:hAnsi="Times New Roman" w:cs="Times New Roman"/>
          <w:noProof/>
        </w:rPr>
        <w:t xml:space="preserve"> 9:1–19. DOI: 10.3390/vaccines9030256.</w:t>
      </w:r>
    </w:p>
    <w:p w14:paraId="6BF60FC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Public Health Agency of Canada. 2020.Pertussis (Whooping Cough).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https://www.canada.ca/en/public-health/services/immunization/vaccine-preventable-diseases/pertussis-whooping-cough.html</w:t>
      </w:r>
      <w:r w:rsidRPr="003D2D46">
        <w:rPr>
          <w:rFonts w:ascii="Times New Roman" w:hAnsi="Times New Roman" w:cs="Times New Roman"/>
          <w:noProof/>
        </w:rPr>
        <w:t xml:space="preserve"> (accessed November 14, 2021).</w:t>
      </w:r>
    </w:p>
    <w:p w14:paraId="59C744F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QSR International. 2018. NVivo Software version 12. Burlington, MA. QSR International.</w:t>
      </w:r>
    </w:p>
    <w:p w14:paraId="4CACA5B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Quinn SC, Jamison AM, Freimuth VS. 2020. Measles outbreaks and public attitudes towards vaccine exemptions: some cautions and strategies for addressing vaccine hesitancy. </w:t>
      </w:r>
      <w:r w:rsidRPr="003D2D46">
        <w:rPr>
          <w:rFonts w:ascii="Times New Roman" w:hAnsi="Times New Roman" w:cs="Times New Roman"/>
          <w:i/>
          <w:iCs/>
          <w:noProof/>
        </w:rPr>
        <w:t>Human Vaccines and Immunotherapeutics</w:t>
      </w:r>
      <w:r w:rsidRPr="003D2D46">
        <w:rPr>
          <w:rFonts w:ascii="Times New Roman" w:hAnsi="Times New Roman" w:cs="Times New Roman"/>
          <w:noProof/>
        </w:rPr>
        <w:t xml:space="preserve"> 16:1050–1054. DOI: 10.1080/21645515.2019.1646578.</w:t>
      </w:r>
    </w:p>
    <w:p w14:paraId="165D76D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Razzaghi H, Kahn KE, Black CL, Lindley MC, Jatlaoui TC, Fiebelkorn AP, Havers FP, D’Angelo D V., Cheung A, Ruther NA, Williams WW. 2020. Influenza and Tdap Vaccination Coverage Among Pregnant Women — United States, April 2020. </w:t>
      </w:r>
      <w:r w:rsidRPr="003D2D46">
        <w:rPr>
          <w:rFonts w:ascii="Times New Roman" w:hAnsi="Times New Roman" w:cs="Times New Roman"/>
          <w:i/>
          <w:iCs/>
          <w:noProof/>
        </w:rPr>
        <w:t>MMWR. Morbidity and Mortality Weekly Report</w:t>
      </w:r>
      <w:r w:rsidRPr="003D2D46">
        <w:rPr>
          <w:rFonts w:ascii="Times New Roman" w:hAnsi="Times New Roman" w:cs="Times New Roman"/>
          <w:noProof/>
        </w:rPr>
        <w:t xml:space="preserve"> 69:1391–1397. DOI: 10.15585/mmwr.mm6939a2.</w:t>
      </w:r>
    </w:p>
    <w:p w14:paraId="1AA482B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Reich JA. 2014. Neoliberal Mothering and Vaccine Refusal: Imagined Gated Communities and the Privilege of Choice. </w:t>
      </w:r>
      <w:r w:rsidRPr="003D2D46">
        <w:rPr>
          <w:rFonts w:ascii="Times New Roman" w:hAnsi="Times New Roman" w:cs="Times New Roman"/>
          <w:i/>
          <w:iCs/>
          <w:noProof/>
        </w:rPr>
        <w:t>Gender and Society</w:t>
      </w:r>
      <w:r w:rsidRPr="003D2D46">
        <w:rPr>
          <w:rFonts w:ascii="Times New Roman" w:hAnsi="Times New Roman" w:cs="Times New Roman"/>
          <w:noProof/>
        </w:rPr>
        <w:t xml:space="preserve"> 28:679–704. DOI: 10.1177/0891243214532711.</w:t>
      </w:r>
    </w:p>
    <w:p w14:paraId="3436E52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Remes O, Smith LM, Alvarado-Llano BE, Colley L, Lévesque LE. 2014. Individual- and Regional-level determinants of Human Papillomavirus (HPV) vaccine refusal: The Ontario Grade 8 HPV vaccine cohort study. </w:t>
      </w:r>
      <w:r w:rsidRPr="003D2D46">
        <w:rPr>
          <w:rFonts w:ascii="Times New Roman" w:hAnsi="Times New Roman" w:cs="Times New Roman"/>
          <w:i/>
          <w:iCs/>
          <w:noProof/>
        </w:rPr>
        <w:t>BMC Public Health</w:t>
      </w:r>
      <w:r w:rsidRPr="003D2D46">
        <w:rPr>
          <w:rFonts w:ascii="Times New Roman" w:hAnsi="Times New Roman" w:cs="Times New Roman"/>
          <w:noProof/>
        </w:rPr>
        <w:t xml:space="preserve"> 14:1–9. DOI: 10.1186/1471-2458-14-1047.</w:t>
      </w:r>
    </w:p>
    <w:p w14:paraId="3901874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Rice T. 2013. The Behavioral Economics of Health and Health Care. </w:t>
      </w:r>
      <w:r w:rsidRPr="003D2D46">
        <w:rPr>
          <w:rFonts w:ascii="Times New Roman" w:hAnsi="Times New Roman" w:cs="Times New Roman"/>
          <w:i/>
          <w:iCs/>
          <w:noProof/>
        </w:rPr>
        <w:t>Annual Review of Public Health</w:t>
      </w:r>
      <w:r w:rsidRPr="003D2D46">
        <w:rPr>
          <w:rFonts w:ascii="Times New Roman" w:hAnsi="Times New Roman" w:cs="Times New Roman"/>
          <w:noProof/>
        </w:rPr>
        <w:t xml:space="preserve"> 34:431–447. DOI: 10.1146/annurev-publhealth-031912-114353.</w:t>
      </w:r>
    </w:p>
    <w:p w14:paraId="0AB033B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Richards JL, Wagenaar BH, Van Otterloo J, Gondalia R, Atwell JE, Kleinbaum DG, Salmon DA, Omer SB. 2013. Nonmedical exemptions to immunization requirements in California: A 16-year longitudinal analysis of trends and associated community factors. </w:t>
      </w:r>
      <w:r w:rsidRPr="003D2D46">
        <w:rPr>
          <w:rFonts w:ascii="Times New Roman" w:hAnsi="Times New Roman" w:cs="Times New Roman"/>
          <w:i/>
          <w:iCs/>
          <w:noProof/>
        </w:rPr>
        <w:t>Vaccine</w:t>
      </w:r>
      <w:r w:rsidRPr="003D2D46">
        <w:rPr>
          <w:rFonts w:ascii="Times New Roman" w:hAnsi="Times New Roman" w:cs="Times New Roman"/>
          <w:noProof/>
        </w:rPr>
        <w:t xml:space="preserve"> 31:3009–3013. DOI: 10.1016/j.vaccine.2013.04.053.</w:t>
      </w:r>
    </w:p>
    <w:p w14:paraId="24BBF94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Richmond J, Powell W, Maurer M, Mangrum R, Gold MR, Pathak-Sen E, Yang M, Carman KL. 2017. Public Mistrust of the U.S. Health Care System’s Profit Motives: Mixed-Methods Results from a Randomized Controlled Trial. </w:t>
      </w:r>
      <w:r w:rsidRPr="003D2D46">
        <w:rPr>
          <w:rFonts w:ascii="Times New Roman" w:hAnsi="Times New Roman" w:cs="Times New Roman"/>
          <w:i/>
          <w:iCs/>
          <w:noProof/>
        </w:rPr>
        <w:t>Journal of General Internal Medicine</w:t>
      </w:r>
      <w:r w:rsidRPr="003D2D46">
        <w:rPr>
          <w:rFonts w:ascii="Times New Roman" w:hAnsi="Times New Roman" w:cs="Times New Roman"/>
          <w:noProof/>
        </w:rPr>
        <w:t xml:space="preserve"> 32:1396–1402. DOI: 10.1007/s11606-017-4172-1.</w:t>
      </w:r>
    </w:p>
    <w:p w14:paraId="5A56C27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Roberson S, Dawit R, Moore J, Odoi A. 2019. An exploratory investigation of geographic disparities of stroke prevalence in Florida using circular and flexible spatial scan statistics. </w:t>
      </w:r>
      <w:r w:rsidRPr="003D2D46">
        <w:rPr>
          <w:rFonts w:ascii="Times New Roman" w:hAnsi="Times New Roman" w:cs="Times New Roman"/>
          <w:i/>
          <w:iCs/>
          <w:noProof/>
        </w:rPr>
        <w:t>PLOS ONE</w:t>
      </w:r>
      <w:r w:rsidRPr="003D2D46">
        <w:rPr>
          <w:rFonts w:ascii="Times New Roman" w:hAnsi="Times New Roman" w:cs="Times New Roman"/>
          <w:noProof/>
        </w:rPr>
        <w:t xml:space="preserve"> 14:e0218708. DOI: 10.1371/journal.pone.0218708.</w:t>
      </w:r>
    </w:p>
    <w:p w14:paraId="4D6EB5A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Rowe SA. 2006. Pertussis in Ohio: Using GIS-based analysis to investigate increased incidence. In: </w:t>
      </w:r>
      <w:r w:rsidRPr="003D2D46">
        <w:rPr>
          <w:rFonts w:ascii="Times New Roman" w:hAnsi="Times New Roman" w:cs="Times New Roman"/>
          <w:i/>
          <w:iCs/>
          <w:noProof/>
        </w:rPr>
        <w:t>2006 Nationa Immunization Conference. Immunization: The Cuting edge of Public Health</w:t>
      </w:r>
      <w:r w:rsidRPr="003D2D46">
        <w:rPr>
          <w:rFonts w:ascii="Times New Roman" w:hAnsi="Times New Roman" w:cs="Times New Roman"/>
          <w:noProof/>
        </w:rPr>
        <w:t>.</w:t>
      </w:r>
    </w:p>
    <w:p w14:paraId="2B3CB06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Saada A, Lieu T, Morain S, Zikmund-Fisher B, Wittenberg E. 2015. Parents’ Choices and Rationales for Alternative Vaccination Schedules: A Qualitative Study. :236–243. DOI: 10.1177/0009922814548838.</w:t>
      </w:r>
    </w:p>
    <w:p w14:paraId="5247166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SAGE Working Group. 2015. Health communication and vaccine hesitancy. </w:t>
      </w:r>
      <w:r w:rsidRPr="003D2D46">
        <w:rPr>
          <w:rFonts w:ascii="Times New Roman" w:hAnsi="Times New Roman" w:cs="Times New Roman"/>
          <w:i/>
          <w:iCs/>
          <w:noProof/>
        </w:rPr>
        <w:t>Vaccine</w:t>
      </w:r>
      <w:r w:rsidRPr="003D2D46">
        <w:rPr>
          <w:rFonts w:ascii="Times New Roman" w:hAnsi="Times New Roman" w:cs="Times New Roman"/>
          <w:noProof/>
        </w:rPr>
        <w:t xml:space="preserve"> 33:4180–4190. DOI: 10.1016/j.vaccine.2015.04.040.</w:t>
      </w:r>
    </w:p>
    <w:p w14:paraId="0C32A0B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Salmon DA, Dudley MZ, Glanz JM, Omer SB. 2015. Vaccine Hesitancy: Causes, Consequences, and a Call to Action. </w:t>
      </w:r>
      <w:r w:rsidRPr="003D2D46">
        <w:rPr>
          <w:rFonts w:ascii="Times New Roman" w:hAnsi="Times New Roman" w:cs="Times New Roman"/>
          <w:i/>
          <w:iCs/>
          <w:noProof/>
        </w:rPr>
        <w:t>American Journal of Preventive Medicine</w:t>
      </w:r>
      <w:r w:rsidRPr="003D2D46">
        <w:rPr>
          <w:rFonts w:ascii="Times New Roman" w:hAnsi="Times New Roman" w:cs="Times New Roman"/>
          <w:noProof/>
        </w:rPr>
        <w:t xml:space="preserve"> 49:S391–S398. DOI: 10.1016/j.amepre.2015.06.009.</w:t>
      </w:r>
    </w:p>
    <w:p w14:paraId="0D4B802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Sandoval P, Arreola Ldel P, Quechol G, Gallardo H. 2008. Bordetella pertussis in adolescent students in Mexico City. </w:t>
      </w:r>
      <w:r w:rsidRPr="003D2D46">
        <w:rPr>
          <w:rFonts w:ascii="Times New Roman" w:hAnsi="Times New Roman" w:cs="Times New Roman"/>
          <w:i/>
          <w:iCs/>
          <w:noProof/>
        </w:rPr>
        <w:t>Revista de Saude Publica</w:t>
      </w:r>
      <w:r w:rsidRPr="003D2D46">
        <w:rPr>
          <w:rFonts w:ascii="Times New Roman" w:hAnsi="Times New Roman" w:cs="Times New Roman"/>
          <w:noProof/>
        </w:rPr>
        <w:t xml:space="preserve"> 42:679–683.</w:t>
      </w:r>
    </w:p>
    <w:p w14:paraId="247FB6C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Sanyaolu A, Okorie C, Marinkovic A, Ayodele O, Abbasi AF, Prakash S, Gosse J, Younis S, Mangat J, Chan H. 2019. Measles Outbreak in Unvaccinated and Partially Vaccinated Children and Adults in the United States and Canada (2018-2019): A Narrative Review of Cases. </w:t>
      </w:r>
      <w:r w:rsidRPr="003D2D46">
        <w:rPr>
          <w:rFonts w:ascii="Times New Roman" w:hAnsi="Times New Roman" w:cs="Times New Roman"/>
          <w:i/>
          <w:iCs/>
          <w:noProof/>
        </w:rPr>
        <w:t>Inquiry (United States)</w:t>
      </w:r>
      <w:r w:rsidRPr="003D2D46">
        <w:rPr>
          <w:rFonts w:ascii="Times New Roman" w:hAnsi="Times New Roman" w:cs="Times New Roman"/>
          <w:noProof/>
        </w:rPr>
        <w:t xml:space="preserve"> 56. DOI: 10.1177/0046958019894098.</w:t>
      </w:r>
    </w:p>
    <w:p w14:paraId="5292BD2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Schaller J, Schulkind L, Shapiro T. 2019. Disease outbreaks, healthcare utilization, and on-time immunization in the first year of life. </w:t>
      </w:r>
      <w:r w:rsidRPr="003D2D46">
        <w:rPr>
          <w:rFonts w:ascii="Times New Roman" w:hAnsi="Times New Roman" w:cs="Times New Roman"/>
          <w:i/>
          <w:iCs/>
          <w:noProof/>
        </w:rPr>
        <w:t>Journal of Health Economics</w:t>
      </w:r>
      <w:r w:rsidRPr="003D2D46">
        <w:rPr>
          <w:rFonts w:ascii="Times New Roman" w:hAnsi="Times New Roman" w:cs="Times New Roman"/>
          <w:noProof/>
        </w:rPr>
        <w:t xml:space="preserve"> 67:102212. DOI: 10.1016/j.jhealeco.2019.05.009.</w:t>
      </w:r>
    </w:p>
    <w:p w14:paraId="626EDC4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Schellekens J, Von König CHW, Gardner P. 2005. Pertussis sources of infection and routes of transmission in the vaccination era. </w:t>
      </w:r>
      <w:r w:rsidRPr="003D2D46">
        <w:rPr>
          <w:rFonts w:ascii="Times New Roman" w:hAnsi="Times New Roman" w:cs="Times New Roman"/>
          <w:i/>
          <w:iCs/>
          <w:noProof/>
        </w:rPr>
        <w:t>Pediatric Infectious Disease Journal</w:t>
      </w:r>
      <w:r w:rsidRPr="003D2D46">
        <w:rPr>
          <w:rFonts w:ascii="Times New Roman" w:hAnsi="Times New Roman" w:cs="Times New Roman"/>
          <w:noProof/>
        </w:rPr>
        <w:t xml:space="preserve"> 24:19–24. DOI: 10.1097/01.inf.0000160909.24879.e6.</w:t>
      </w:r>
    </w:p>
    <w:p w14:paraId="5206681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Schulte JM, Kay R, Hamilton JJ, Mellinger C, Yambor P, Luce C, Ginzl D, Gill J, Hopkins RS. 2010. Pertussis in Florida, 2000-2006: Trends in a historically low-incidence state. </w:t>
      </w:r>
      <w:r w:rsidRPr="003D2D46">
        <w:rPr>
          <w:rFonts w:ascii="Times New Roman" w:hAnsi="Times New Roman" w:cs="Times New Roman"/>
          <w:i/>
          <w:iCs/>
          <w:noProof/>
        </w:rPr>
        <w:t>Public Health Reports</w:t>
      </w:r>
      <w:r w:rsidRPr="003D2D46">
        <w:rPr>
          <w:rFonts w:ascii="Times New Roman" w:hAnsi="Times New Roman" w:cs="Times New Roman"/>
          <w:noProof/>
        </w:rPr>
        <w:t xml:space="preserve"> 125:728–735. DOI: 10.1177/003335491012500515.</w:t>
      </w:r>
    </w:p>
    <w:p w14:paraId="5AD4065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Schwartz KL, Kwong JC, Deeks SL, Campitelli MA, Jamieson FB, Marchand-Austin A, Stukel TA, Rosella LC, Daneman N, Bolotin S, Drews SJ, Rilkoff H, Crowcroft NS. 2016. Effectiveness of pertussis vaccination and duration of immunity. </w:t>
      </w:r>
      <w:r w:rsidRPr="003D2D46">
        <w:rPr>
          <w:rFonts w:ascii="Times New Roman" w:hAnsi="Times New Roman" w:cs="Times New Roman"/>
          <w:i/>
          <w:iCs/>
          <w:noProof/>
        </w:rPr>
        <w:t>Canadian Medical Association Journal</w:t>
      </w:r>
      <w:r w:rsidRPr="003D2D46">
        <w:rPr>
          <w:rFonts w:ascii="Times New Roman" w:hAnsi="Times New Roman" w:cs="Times New Roman"/>
          <w:noProof/>
        </w:rPr>
        <w:t xml:space="preserve"> 188:E399–E406.</w:t>
      </w:r>
    </w:p>
    <w:p w14:paraId="1303CBC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Sealey KL, Belcher T, Preston A. 2016. Bordetella pertussis epidemiology and evolution in the light of pertussis resurgence. </w:t>
      </w:r>
      <w:r w:rsidRPr="003D2D46">
        <w:rPr>
          <w:rFonts w:ascii="Times New Roman" w:hAnsi="Times New Roman" w:cs="Times New Roman"/>
          <w:i/>
          <w:iCs/>
          <w:noProof/>
        </w:rPr>
        <w:t>Infection, Genetics and Evolution</w:t>
      </w:r>
      <w:r w:rsidRPr="003D2D46">
        <w:rPr>
          <w:rFonts w:ascii="Times New Roman" w:hAnsi="Times New Roman" w:cs="Times New Roman"/>
          <w:noProof/>
        </w:rPr>
        <w:t xml:space="preserve"> 40:136–143. DOI: 10.1016/j.meegid.2016.02.032.</w:t>
      </w:r>
    </w:p>
    <w:p w14:paraId="13ACCC5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De Serres G, Shadmani R, Duval B, Boulianne N, Dery P, Douville Fradet M, Rochette L, Halperin SA. 2000. Morditity of Pertussis in Adolescents and Adults. </w:t>
      </w:r>
      <w:r w:rsidRPr="003D2D46">
        <w:rPr>
          <w:rFonts w:ascii="Times New Roman" w:hAnsi="Times New Roman" w:cs="Times New Roman"/>
          <w:i/>
          <w:iCs/>
          <w:noProof/>
        </w:rPr>
        <w:t>Journal of In</w:t>
      </w:r>
      <w:r w:rsidRPr="003D2D46">
        <w:rPr>
          <w:rFonts w:ascii="Times New Roman" w:hAnsi="Times New Roman" w:cs="Times New Roman"/>
          <w:noProof/>
        </w:rPr>
        <w:t xml:space="preserve"> 182:174–9. DOI: 10.1086/425006.</w:t>
      </w:r>
    </w:p>
    <w:p w14:paraId="46970761"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6728BB10" w14:textId="79337832"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Siegal C, Davidson A, Kafadar K, Norris J, Todd J, Steiner J. 1997. Geographic analysis of pertussis infection in an urban area: a tool for health services planning. </w:t>
      </w:r>
      <w:r w:rsidRPr="003D2D46">
        <w:rPr>
          <w:rFonts w:ascii="Times New Roman" w:hAnsi="Times New Roman" w:cs="Times New Roman"/>
          <w:i/>
          <w:iCs/>
          <w:noProof/>
        </w:rPr>
        <w:t>American Journal of Public Health</w:t>
      </w:r>
      <w:r w:rsidRPr="003D2D46">
        <w:rPr>
          <w:rFonts w:ascii="Times New Roman" w:hAnsi="Times New Roman" w:cs="Times New Roman"/>
          <w:noProof/>
        </w:rPr>
        <w:t xml:space="preserve"> 87:2022–2026.</w:t>
      </w:r>
    </w:p>
    <w:p w14:paraId="209D464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Skoff TH, Hadler S, Hariri S. 2019. The epidemiology of nationally reported pertussis in the United States, 2000-2016.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68:1634–1640. DOI: 10.1093/cid/ciy757.</w:t>
      </w:r>
    </w:p>
    <w:p w14:paraId="4C9D059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Smith T, Rotondo J, Desai S, Deehan H. 2014. Pertussis Surveillance in Canada: Trends to 2012. </w:t>
      </w:r>
      <w:r w:rsidRPr="003D2D46">
        <w:rPr>
          <w:rFonts w:ascii="Times New Roman" w:hAnsi="Times New Roman" w:cs="Times New Roman"/>
          <w:i/>
          <w:iCs/>
          <w:noProof/>
        </w:rPr>
        <w:t>Canada Communicable Disease Report</w:t>
      </w:r>
      <w:r w:rsidRPr="003D2D46">
        <w:rPr>
          <w:rFonts w:ascii="Times New Roman" w:hAnsi="Times New Roman" w:cs="Times New Roman"/>
          <w:noProof/>
        </w:rPr>
        <w:t xml:space="preserve"> 40:21–30. DOI: 10.14745/ccdr.v40i03a01.</w:t>
      </w:r>
    </w:p>
    <w:p w14:paraId="3EECC48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Southwest Florida Water Management District. 2019.Florida Counties.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https://www.swfwmd.state.fl.us/resources/data-maps</w:t>
      </w:r>
      <w:r w:rsidRPr="003D2D46">
        <w:rPr>
          <w:rFonts w:ascii="Times New Roman" w:hAnsi="Times New Roman" w:cs="Times New Roman"/>
          <w:noProof/>
        </w:rPr>
        <w:t xml:space="preserve"> (accessed May 25, 2020).</w:t>
      </w:r>
    </w:p>
    <w:p w14:paraId="1C3D4CB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Sprauer M, Cochi S, Zell E, Sutter R, Mullen J, Englender S, Patriarca P. 1992. Prevention of secondary transmission of pertussis in households with early use of erythromycin. </w:t>
      </w:r>
      <w:r w:rsidRPr="003D2D46">
        <w:rPr>
          <w:rFonts w:ascii="Times New Roman" w:hAnsi="Times New Roman" w:cs="Times New Roman"/>
          <w:i/>
          <w:iCs/>
          <w:noProof/>
        </w:rPr>
        <w:t>Am J Dis Child</w:t>
      </w:r>
      <w:r w:rsidRPr="003D2D46">
        <w:rPr>
          <w:rFonts w:ascii="Times New Roman" w:hAnsi="Times New Roman" w:cs="Times New Roman"/>
          <w:noProof/>
        </w:rPr>
        <w:t xml:space="preserve"> 146:177–81.</w:t>
      </w:r>
    </w:p>
    <w:p w14:paraId="76B5974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StataCorp. 2019. Stata Statistical Software version 16.1. College Station, TX: StataCorp LLC.</w:t>
      </w:r>
    </w:p>
    <w:p w14:paraId="2F791D2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Stehr K, Cherry JD, Heininger U, Schmitt-grohe S, Laussucq S, Eckhardt T, Meyer M, Engelhardt R, Christenson P. 1998. A Comparative Efficacy Trial in Germany in Infants Who Received Either the Lederle Whole-Cell Component DTP Vaccine , or DT Vaccine. </w:t>
      </w:r>
      <w:r w:rsidRPr="003D2D46">
        <w:rPr>
          <w:rFonts w:ascii="Times New Roman" w:hAnsi="Times New Roman" w:cs="Times New Roman"/>
          <w:i/>
          <w:iCs/>
          <w:noProof/>
        </w:rPr>
        <w:t>Pediatrics</w:t>
      </w:r>
      <w:r w:rsidRPr="003D2D46">
        <w:rPr>
          <w:rFonts w:ascii="Times New Roman" w:hAnsi="Times New Roman" w:cs="Times New Roman"/>
          <w:noProof/>
        </w:rPr>
        <w:t xml:space="preserve"> 101.</w:t>
      </w:r>
    </w:p>
    <w:p w14:paraId="545FB74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Syed MA, Bana NF. 2014. Pertussis: A reemerging and an underreported infectious disease. </w:t>
      </w:r>
      <w:r w:rsidRPr="003D2D46">
        <w:rPr>
          <w:rFonts w:ascii="Times New Roman" w:hAnsi="Times New Roman" w:cs="Times New Roman"/>
          <w:i/>
          <w:iCs/>
          <w:noProof/>
        </w:rPr>
        <w:t>Saudi Med J</w:t>
      </w:r>
      <w:r w:rsidRPr="003D2D46">
        <w:rPr>
          <w:rFonts w:ascii="Times New Roman" w:hAnsi="Times New Roman" w:cs="Times New Roman"/>
          <w:noProof/>
        </w:rPr>
        <w:t xml:space="preserve"> 35:1181–1187.</w:t>
      </w:r>
    </w:p>
    <w:p w14:paraId="770730C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Tan T, Dalby T, Heininger U, Hozbor D, Plotkin S, Ulloa-gutierrez R. 2015. Recent Epidemiologic Trends From 2000 to 2013. </w:t>
      </w:r>
      <w:r w:rsidRPr="003D2D46">
        <w:rPr>
          <w:rFonts w:ascii="Times New Roman" w:hAnsi="Times New Roman" w:cs="Times New Roman"/>
          <w:i/>
          <w:iCs/>
          <w:noProof/>
        </w:rPr>
        <w:t>The Pediatric Infectious Disease Journal</w:t>
      </w:r>
      <w:r w:rsidRPr="003D2D46">
        <w:rPr>
          <w:rFonts w:ascii="Times New Roman" w:hAnsi="Times New Roman" w:cs="Times New Roman"/>
          <w:noProof/>
        </w:rPr>
        <w:t xml:space="preserve"> 34:222–232. DOI: 10.1097/INF.0000000000000795.</w:t>
      </w:r>
    </w:p>
    <w:p w14:paraId="69E62FA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Tanaka M, Vitek CR, Pascual FB, Bisgard KM, Tate JE, Murphy T V. 2003. Trends in Pertussis among Infants in the United States, 1980-1999. </w:t>
      </w:r>
      <w:r w:rsidRPr="003D2D46">
        <w:rPr>
          <w:rFonts w:ascii="Times New Roman" w:hAnsi="Times New Roman" w:cs="Times New Roman"/>
          <w:i/>
          <w:iCs/>
          <w:noProof/>
        </w:rPr>
        <w:t>Journal of the American Medical Association</w:t>
      </w:r>
      <w:r w:rsidRPr="003D2D46">
        <w:rPr>
          <w:rFonts w:ascii="Times New Roman" w:hAnsi="Times New Roman" w:cs="Times New Roman"/>
          <w:noProof/>
        </w:rPr>
        <w:t xml:space="preserve"> 290:2968–2975. DOI: 10.1001/jama.290.22.2968.</w:t>
      </w:r>
    </w:p>
    <w:p w14:paraId="3EBF2E4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Tango T, Takahashi K. 2005. A flexibly shaped spatial scan statistic for detecting clusters. </w:t>
      </w:r>
      <w:r w:rsidRPr="003D2D46">
        <w:rPr>
          <w:rFonts w:ascii="Times New Roman" w:hAnsi="Times New Roman" w:cs="Times New Roman"/>
          <w:i/>
          <w:iCs/>
          <w:noProof/>
        </w:rPr>
        <w:t>International Journal of Health Geographics</w:t>
      </w:r>
      <w:r w:rsidRPr="003D2D46">
        <w:rPr>
          <w:rFonts w:ascii="Times New Roman" w:hAnsi="Times New Roman" w:cs="Times New Roman"/>
          <w:noProof/>
        </w:rPr>
        <w:t xml:space="preserve"> 4:11. DOI: 10.1186/1476-072X-4-11.</w:t>
      </w:r>
    </w:p>
    <w:p w14:paraId="475E2E8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Tango T, Takahashi K. 2013. FlexScan: Software for the Flexible Scan Statistics.</w:t>
      </w:r>
    </w:p>
    <w:p w14:paraId="032B023A"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Tatti KM, Martin SW, Boney KO, Brown K, Clark TA, Tondella ML. 2013. Qualitative assessment of pertussis diagnostics in United States laboratories. </w:t>
      </w:r>
      <w:r w:rsidRPr="003D2D46">
        <w:rPr>
          <w:rFonts w:ascii="Times New Roman" w:hAnsi="Times New Roman" w:cs="Times New Roman"/>
          <w:i/>
          <w:iCs/>
          <w:noProof/>
        </w:rPr>
        <w:t>Pediatr Infect Dis J</w:t>
      </w:r>
      <w:r w:rsidRPr="003D2D46">
        <w:rPr>
          <w:rFonts w:ascii="Times New Roman" w:hAnsi="Times New Roman" w:cs="Times New Roman"/>
          <w:noProof/>
        </w:rPr>
        <w:t xml:space="preserve"> 32:942–945.</w:t>
      </w:r>
    </w:p>
    <w:p w14:paraId="24012C1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Thommes E, Wu J, Xiao Y, Tomovici A, Lee J, Chit A. 2020. Revisiting the epidemiology of pertussis in Canada , 1924 – 2015 : a literature review, evidence synthesis, and modeling study. </w:t>
      </w:r>
      <w:r w:rsidRPr="003D2D46">
        <w:rPr>
          <w:rFonts w:ascii="Times New Roman" w:hAnsi="Times New Roman" w:cs="Times New Roman"/>
          <w:i/>
          <w:iCs/>
          <w:noProof/>
        </w:rPr>
        <w:t>BMC Public Health</w:t>
      </w:r>
      <w:r w:rsidRPr="003D2D46">
        <w:rPr>
          <w:rFonts w:ascii="Times New Roman" w:hAnsi="Times New Roman" w:cs="Times New Roman"/>
          <w:noProof/>
        </w:rPr>
        <w:t xml:space="preserve"> 20:1749.</w:t>
      </w:r>
    </w:p>
    <w:p w14:paraId="5C05FB2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Tindberg Y, Blennow M, Granstrom M. 1999. A ten year follow-up after immunization with a two component acellular pertussis vaccine. </w:t>
      </w:r>
      <w:r w:rsidRPr="003D2D46">
        <w:rPr>
          <w:rFonts w:ascii="Times New Roman" w:hAnsi="Times New Roman" w:cs="Times New Roman"/>
          <w:i/>
          <w:iCs/>
          <w:noProof/>
        </w:rPr>
        <w:t>Pediatric Infectious Disease Journal</w:t>
      </w:r>
      <w:r w:rsidRPr="003D2D46">
        <w:rPr>
          <w:rFonts w:ascii="Times New Roman" w:hAnsi="Times New Roman" w:cs="Times New Roman"/>
          <w:noProof/>
        </w:rPr>
        <w:t xml:space="preserve"> 4:361–365.</w:t>
      </w:r>
    </w:p>
    <w:p w14:paraId="6C7FDA0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Torm S, Meriste S, Tamm E, Alusalu S, Jarviste A, Lang K. 2005. Pertussis outbreak in a basic school in Estonia: Description, contributing factors and vaccine effectiveness. </w:t>
      </w:r>
      <w:r w:rsidRPr="003D2D46">
        <w:rPr>
          <w:rFonts w:ascii="Times New Roman" w:hAnsi="Times New Roman" w:cs="Times New Roman"/>
          <w:i/>
          <w:iCs/>
          <w:noProof/>
        </w:rPr>
        <w:t>Scandanavian Journal of Infectious Diseases</w:t>
      </w:r>
      <w:r w:rsidRPr="003D2D46">
        <w:rPr>
          <w:rFonts w:ascii="Times New Roman" w:hAnsi="Times New Roman" w:cs="Times New Roman"/>
          <w:noProof/>
        </w:rPr>
        <w:t xml:space="preserve"> 37:664–668.</w:t>
      </w:r>
    </w:p>
    <w:p w14:paraId="7FDB615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United States Census Bureau.US Census Bureau Quick Facts, Florida.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https://www.census.gov/quickfacts/fact/table/US/PST045219</w:t>
      </w:r>
      <w:r w:rsidRPr="003D2D46">
        <w:rPr>
          <w:rFonts w:ascii="Times New Roman" w:hAnsi="Times New Roman" w:cs="Times New Roman"/>
          <w:noProof/>
        </w:rPr>
        <w:t xml:space="preserve"> (accessed January 18, 2021).</w:t>
      </w:r>
    </w:p>
    <w:p w14:paraId="1E31D53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United States Census Bureau. 2019.TIGER/Line Shapefiles.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https://www.census.gov/geographies/mapping-files/time-series/geo/tiger-geodatabase-file.html</w:t>
      </w:r>
      <w:r w:rsidRPr="003D2D46">
        <w:rPr>
          <w:rFonts w:ascii="Times New Roman" w:hAnsi="Times New Roman" w:cs="Times New Roman"/>
          <w:noProof/>
        </w:rPr>
        <w:t xml:space="preserve"> (accessed December 1, 2019).</w:t>
      </w:r>
    </w:p>
    <w:p w14:paraId="78CD890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Urquhart C. 2013. </w:t>
      </w:r>
      <w:r w:rsidRPr="003D2D46">
        <w:rPr>
          <w:rFonts w:ascii="Times New Roman" w:hAnsi="Times New Roman" w:cs="Times New Roman"/>
          <w:i/>
          <w:iCs/>
          <w:noProof/>
        </w:rPr>
        <w:t>Grounded Theory for Qualitative Research: A Practical Guide</w:t>
      </w:r>
      <w:r w:rsidRPr="003D2D46">
        <w:rPr>
          <w:rFonts w:ascii="Times New Roman" w:hAnsi="Times New Roman" w:cs="Times New Roman"/>
          <w:noProof/>
        </w:rPr>
        <w:t>. Thousand Oaks, CA: SAGE.</w:t>
      </w:r>
    </w:p>
    <w:p w14:paraId="000DC60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US Census Bureau. 2018.ACS Demographic and Housing Estimates, 2018: 5-Year Estimates.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https://www.census.gov/programs-surveys/acs</w:t>
      </w:r>
      <w:r w:rsidRPr="003D2D46">
        <w:rPr>
          <w:rFonts w:ascii="Times New Roman" w:hAnsi="Times New Roman" w:cs="Times New Roman"/>
          <w:noProof/>
        </w:rPr>
        <w:t xml:space="preserve"> (accessed January 30, 2020).</w:t>
      </w:r>
    </w:p>
    <w:p w14:paraId="2B72CC4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Vaz-de-Lima LR, Martin MD, Pawloski LC, Leite D, Rocha K, de Brito C, Vaz TM, Martins LM, Alvarenga D, Ribiero A, Carvalhanas TR, Nakasaki RM, Oliviera SS, Waldman E, Tondella ML. 2014. Serodiagnosis as Adjunct Assay for Pertussis Infection in São Paulo. </w:t>
      </w:r>
      <w:r w:rsidRPr="003D2D46">
        <w:rPr>
          <w:rFonts w:ascii="Times New Roman" w:hAnsi="Times New Roman" w:cs="Times New Roman"/>
          <w:i/>
          <w:iCs/>
          <w:noProof/>
        </w:rPr>
        <w:t>Clinical and Vaccine Immunology</w:t>
      </w:r>
      <w:r w:rsidRPr="003D2D46">
        <w:rPr>
          <w:rFonts w:ascii="Times New Roman" w:hAnsi="Times New Roman" w:cs="Times New Roman"/>
          <w:noProof/>
        </w:rPr>
        <w:t xml:space="preserve"> 21:636–640. DOI: 10.1128/CVI.00760-13.</w:t>
      </w:r>
    </w:p>
    <w:p w14:paraId="6E14133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ven den Brink G, Wishaupt JO, Douma JC, Hartwig NG, Versteegh FGA. 2014. Bordetella pertussis: an underreported pathogen in pediatric respiratory infections, a prospective cohort study. </w:t>
      </w:r>
      <w:r w:rsidRPr="003D2D46">
        <w:rPr>
          <w:rFonts w:ascii="Times New Roman" w:hAnsi="Times New Roman" w:cs="Times New Roman"/>
          <w:i/>
          <w:iCs/>
          <w:noProof/>
        </w:rPr>
        <w:t>BMC Infectious Diseases</w:t>
      </w:r>
      <w:r w:rsidRPr="003D2D46">
        <w:rPr>
          <w:rFonts w:ascii="Times New Roman" w:hAnsi="Times New Roman" w:cs="Times New Roman"/>
          <w:noProof/>
        </w:rPr>
        <w:t xml:space="preserve"> 14:526.</w:t>
      </w:r>
    </w:p>
    <w:p w14:paraId="1333094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Versteegh F, Schellekens J, Nagelkerke A, Roord J. 2002. Laboratory-confirmed reinfections with Bordetella pertussis. </w:t>
      </w:r>
      <w:r w:rsidRPr="003D2D46">
        <w:rPr>
          <w:rFonts w:ascii="Times New Roman" w:hAnsi="Times New Roman" w:cs="Times New Roman"/>
          <w:i/>
          <w:iCs/>
          <w:noProof/>
        </w:rPr>
        <w:t>Acta Paediatr</w:t>
      </w:r>
      <w:r w:rsidRPr="003D2D46">
        <w:rPr>
          <w:rFonts w:ascii="Times New Roman" w:hAnsi="Times New Roman" w:cs="Times New Roman"/>
          <w:noProof/>
        </w:rPr>
        <w:t xml:space="preserve"> 91:95–7.</w:t>
      </w:r>
    </w:p>
    <w:p w14:paraId="2D1AA86B"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27F74428" w14:textId="2B02FFC3"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Vitek CR, Pascual FB, Baughman AL, Murphy T V. 2003. Increase in deaths from pertussis among young infants in the United States in the 1990s. </w:t>
      </w:r>
      <w:r w:rsidRPr="003D2D46">
        <w:rPr>
          <w:rFonts w:ascii="Times New Roman" w:hAnsi="Times New Roman" w:cs="Times New Roman"/>
          <w:i/>
          <w:iCs/>
          <w:noProof/>
        </w:rPr>
        <w:t>Pediatr Infect Dis J</w:t>
      </w:r>
      <w:r w:rsidRPr="003D2D46">
        <w:rPr>
          <w:rFonts w:ascii="Times New Roman" w:hAnsi="Times New Roman" w:cs="Times New Roman"/>
          <w:noProof/>
        </w:rPr>
        <w:t xml:space="preserve"> 22:628–634.</w:t>
      </w:r>
    </w:p>
    <w:p w14:paraId="53FE6CD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Walker ET, Rea CM. 2016. Pediatric care provider density and personal belief exemptions from vaccine requirements in California kindergartens. </w:t>
      </w:r>
      <w:r w:rsidRPr="003D2D46">
        <w:rPr>
          <w:rFonts w:ascii="Times New Roman" w:hAnsi="Times New Roman" w:cs="Times New Roman"/>
          <w:i/>
          <w:iCs/>
          <w:noProof/>
        </w:rPr>
        <w:t>American Journal of Public Health</w:t>
      </w:r>
      <w:r w:rsidRPr="003D2D46">
        <w:rPr>
          <w:rFonts w:ascii="Times New Roman" w:hAnsi="Times New Roman" w:cs="Times New Roman"/>
          <w:noProof/>
        </w:rPr>
        <w:t xml:space="preserve"> 106:1336–1341. DOI: 10.2105/AJPH.2016.303177.</w:t>
      </w:r>
    </w:p>
    <w:p w14:paraId="62A1C0A1"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Wang C-Q, Zhu Q-R. 2011. Seroprevalence of Bordetella pertussis antibody in children and adolescents in China. </w:t>
      </w:r>
      <w:r w:rsidRPr="003D2D46">
        <w:rPr>
          <w:rFonts w:ascii="Times New Roman" w:hAnsi="Times New Roman" w:cs="Times New Roman"/>
          <w:i/>
          <w:iCs/>
          <w:noProof/>
        </w:rPr>
        <w:t>Pediatric Infectious Disease Journal</w:t>
      </w:r>
      <w:r w:rsidRPr="003D2D46">
        <w:rPr>
          <w:rFonts w:ascii="Times New Roman" w:hAnsi="Times New Roman" w:cs="Times New Roman"/>
          <w:noProof/>
        </w:rPr>
        <w:t xml:space="preserve"> 30:593–596.</w:t>
      </w:r>
    </w:p>
    <w:p w14:paraId="7267C27E"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Ward JI, Cherry JD, Chang SJ, Partridge S, Keitel W, Edwards K, Lee M, Treanor J, Greenberg DP, Barenkamp S, Bernstein DI, Edelman R. 2006. Bordetella Pertussis infections in vaccinated and unvaccinated adolescents and adults, as assessed in a national prospective randomized acellular pertussis vaccine trial (APERT).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43:151–157. DOI: 10.1086/504803.</w:t>
      </w:r>
    </w:p>
    <w:p w14:paraId="119D4C1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Warfel JM, Beren J, Merkel TJ. 2012. Airborne transmission of bordetella pertussis. </w:t>
      </w:r>
      <w:r w:rsidRPr="003D2D46">
        <w:rPr>
          <w:rFonts w:ascii="Times New Roman" w:hAnsi="Times New Roman" w:cs="Times New Roman"/>
          <w:i/>
          <w:iCs/>
          <w:noProof/>
        </w:rPr>
        <w:t>Journal of Infectious Diseases</w:t>
      </w:r>
      <w:r w:rsidRPr="003D2D46">
        <w:rPr>
          <w:rFonts w:ascii="Times New Roman" w:hAnsi="Times New Roman" w:cs="Times New Roman"/>
          <w:noProof/>
        </w:rPr>
        <w:t xml:space="preserve"> 206:902–906. DOI: 10.1093/infdis/jis443.</w:t>
      </w:r>
    </w:p>
    <w:p w14:paraId="5A7CF2F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Wearing HJ, Rohani P. 2009. Estimating the duration of pertussis immunity using epidemiological signatures. </w:t>
      </w:r>
      <w:r w:rsidRPr="003D2D46">
        <w:rPr>
          <w:rFonts w:ascii="Times New Roman" w:hAnsi="Times New Roman" w:cs="Times New Roman"/>
          <w:i/>
          <w:iCs/>
          <w:noProof/>
        </w:rPr>
        <w:t>PLoS Pathogens</w:t>
      </w:r>
      <w:r w:rsidRPr="003D2D46">
        <w:rPr>
          <w:rFonts w:ascii="Times New Roman" w:hAnsi="Times New Roman" w:cs="Times New Roman"/>
          <w:noProof/>
        </w:rPr>
        <w:t xml:space="preserve"> 5. DOI: 10.1371/journal.ppat.1000647.</w:t>
      </w:r>
    </w:p>
    <w:p w14:paraId="0682853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Wei F, Mullooly JP, Goodman M, McCarty MC, Hanson AM, Crane B, Nordin JD. 2009. Identification and characteristics of vaccine refusers. </w:t>
      </w:r>
      <w:r w:rsidRPr="003D2D46">
        <w:rPr>
          <w:rFonts w:ascii="Times New Roman" w:hAnsi="Times New Roman" w:cs="Times New Roman"/>
          <w:i/>
          <w:iCs/>
          <w:noProof/>
        </w:rPr>
        <w:t>BMC Pediatrics</w:t>
      </w:r>
      <w:r w:rsidRPr="003D2D46">
        <w:rPr>
          <w:rFonts w:ascii="Times New Roman" w:hAnsi="Times New Roman" w:cs="Times New Roman"/>
          <w:noProof/>
        </w:rPr>
        <w:t xml:space="preserve"> 9:1–9. DOI: 10.1186/1471-2431-9-18.</w:t>
      </w:r>
    </w:p>
    <w:p w14:paraId="2C1171D8"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583D5663" w14:textId="72BBDCC5"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Weinstein ND, Kwitel A, Mccaul KD, Magnan RE, Gerrard M, Gibbons FX. 2007. Risk Perceptions: Assessment and Relationship to Influenza Vaccination. DOI: 10.1037/0278-6133.26.2.146.</w:t>
      </w:r>
    </w:p>
    <w:p w14:paraId="4427F1C6"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Wendelboe AM, Njamkepo E, Bourillon A, Floret DD, Gaudelus J, Gerber M, Grimprel E, Greenberg D, Halperin S, Liese J, Muñoz-Rivas F, Teyssou R, Guiso N, Van Rie A. 2007. Transmission of Bordetella pertussis to young infants. </w:t>
      </w:r>
      <w:r w:rsidRPr="003D2D46">
        <w:rPr>
          <w:rFonts w:ascii="Times New Roman" w:hAnsi="Times New Roman" w:cs="Times New Roman"/>
          <w:i/>
          <w:iCs/>
          <w:noProof/>
        </w:rPr>
        <w:t>Pediatric Infectious Disease Journal</w:t>
      </w:r>
      <w:r w:rsidRPr="003D2D46">
        <w:rPr>
          <w:rFonts w:ascii="Times New Roman" w:hAnsi="Times New Roman" w:cs="Times New Roman"/>
          <w:noProof/>
        </w:rPr>
        <w:t xml:space="preserve"> 26:293–299. DOI: 10.1097/01.inf.0000258699.64164.6d.</w:t>
      </w:r>
    </w:p>
    <w:p w14:paraId="4B7322A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Wendelboe A, Van Rie A, Salmaso S, Englund J. 2005. Duration of immunity against pertussis after natural infection or vaccination. </w:t>
      </w:r>
      <w:r w:rsidRPr="003D2D46">
        <w:rPr>
          <w:rFonts w:ascii="Times New Roman" w:hAnsi="Times New Roman" w:cs="Times New Roman"/>
          <w:i/>
          <w:iCs/>
          <w:noProof/>
        </w:rPr>
        <w:t>Pediatr Infect Dis J</w:t>
      </w:r>
      <w:r w:rsidRPr="003D2D46">
        <w:rPr>
          <w:rFonts w:ascii="Times New Roman" w:hAnsi="Times New Roman" w:cs="Times New Roman"/>
          <w:noProof/>
        </w:rPr>
        <w:t xml:space="preserve"> 24:S58-61.</w:t>
      </w:r>
    </w:p>
    <w:p w14:paraId="1B0545D3"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Wheelock A, Parand A, Rigole B, Thomson A, Miraldo M, Vincent C, Sevdalis N. 2014. Socio-Psychological Factors Driving Adult Vaccination: A Qualitative Study. </w:t>
      </w:r>
      <w:r w:rsidRPr="003D2D46">
        <w:rPr>
          <w:rFonts w:ascii="Times New Roman" w:hAnsi="Times New Roman" w:cs="Times New Roman"/>
          <w:i/>
          <w:iCs/>
          <w:noProof/>
        </w:rPr>
        <w:t>PLoS ONE</w:t>
      </w:r>
      <w:r w:rsidRPr="003D2D46">
        <w:rPr>
          <w:rFonts w:ascii="Times New Roman" w:hAnsi="Times New Roman" w:cs="Times New Roman"/>
          <w:noProof/>
        </w:rPr>
        <w:t xml:space="preserve"> 9:e113503. DOI: 10.1371/journal.pone.0113503.</w:t>
      </w:r>
    </w:p>
    <w:p w14:paraId="34546B5F"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 C Il, Wheeler PH, Kaur H, Ryu E, Kim D, Juhn Y. 2019. Spatio-temporal comparison of pertussis outbreaks in Olmsted County, Minnesota, 2004-2005 and 2012: A population-based study. </w:t>
      </w:r>
      <w:r w:rsidRPr="003D2D46">
        <w:rPr>
          <w:rFonts w:ascii="Times New Roman" w:hAnsi="Times New Roman" w:cs="Times New Roman"/>
          <w:i/>
          <w:iCs/>
          <w:noProof/>
        </w:rPr>
        <w:t>BMJ Open</w:t>
      </w:r>
      <w:r w:rsidRPr="003D2D46">
        <w:rPr>
          <w:rFonts w:ascii="Times New Roman" w:hAnsi="Times New Roman" w:cs="Times New Roman"/>
          <w:noProof/>
        </w:rPr>
        <w:t xml:space="preserve"> 9:1–8. DOI: 10.1136/bmjopen-2018-025521.</w:t>
      </w:r>
    </w:p>
    <w:p w14:paraId="25A7EC70"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Williams WW, Lu PJ, O’Halloran A, Bridges CB, Kim DK, Pilishvili T, Hales CM, Markowitz LE. 2015. Vaccination Coverage Among Adults, Excluding Influenza Vaccination — United States, 2013. </w:t>
      </w:r>
      <w:r w:rsidRPr="003D2D46">
        <w:rPr>
          <w:rFonts w:ascii="Times New Roman" w:hAnsi="Times New Roman" w:cs="Times New Roman"/>
          <w:i/>
          <w:iCs/>
          <w:noProof/>
        </w:rPr>
        <w:t>Morbidity and Mortality Weekly Report</w:t>
      </w:r>
      <w:r w:rsidRPr="003D2D46">
        <w:rPr>
          <w:rFonts w:ascii="Times New Roman" w:hAnsi="Times New Roman" w:cs="Times New Roman"/>
          <w:noProof/>
        </w:rPr>
        <w:t xml:space="preserve"> 64:95–102.</w:t>
      </w:r>
    </w:p>
    <w:p w14:paraId="36263EC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Williams JTB, Rice J, Cox-Martin M, Bayliss EA, O’Leary ST. 2019. Religious Vaccine Exemptions in Kindergartners: 2011–2018. </w:t>
      </w:r>
      <w:r w:rsidRPr="003D2D46">
        <w:rPr>
          <w:rFonts w:ascii="Times New Roman" w:hAnsi="Times New Roman" w:cs="Times New Roman"/>
          <w:i/>
          <w:iCs/>
          <w:noProof/>
        </w:rPr>
        <w:t>Pediatrics</w:t>
      </w:r>
      <w:r w:rsidRPr="003D2D46">
        <w:rPr>
          <w:rFonts w:ascii="Times New Roman" w:hAnsi="Times New Roman" w:cs="Times New Roman"/>
          <w:noProof/>
        </w:rPr>
        <w:t xml:space="preserve"> 144:e20192710. DOI: 10.1542/peds.2019-2710.</w:t>
      </w:r>
    </w:p>
    <w:p w14:paraId="7442698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Wilson SE, Seo CY, Lim GH, Fediurek J, Crowcroft NS, Deeks SL. 2015. Trends in medical and nonmedical immunization exemptions to measles-containing vaccine in Ontario: an annual cross-sectional assessment of students from school years 2002/03 to 2012/13. </w:t>
      </w:r>
      <w:r w:rsidRPr="003D2D46">
        <w:rPr>
          <w:rFonts w:ascii="Times New Roman" w:hAnsi="Times New Roman" w:cs="Times New Roman"/>
          <w:i/>
          <w:iCs/>
          <w:noProof/>
        </w:rPr>
        <w:t>Canadian Medical Association Journal Open</w:t>
      </w:r>
      <w:r w:rsidRPr="003D2D46">
        <w:rPr>
          <w:rFonts w:ascii="Times New Roman" w:hAnsi="Times New Roman" w:cs="Times New Roman"/>
          <w:noProof/>
        </w:rPr>
        <w:t xml:space="preserve"> 3:317–323. DOI: 10.1503/cmaj.150707.</w:t>
      </w:r>
    </w:p>
    <w:p w14:paraId="32D80E3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Winter K. 2016. Pertussis among the youngest infants in California: Evaluating the effectiveness of prenatal Tdap vaccination and identifying infants at greatest risk of disease. UC Berkeley.</w:t>
      </w:r>
    </w:p>
    <w:p w14:paraId="25A6B657"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Winter K, Harriman K, Zipprich J, Schechter R, Talarico J, Watt J, Chavez G. 2012. California Pertussis Epidemic, 2010. </w:t>
      </w:r>
      <w:r w:rsidRPr="003D2D46">
        <w:rPr>
          <w:rFonts w:ascii="Times New Roman" w:hAnsi="Times New Roman" w:cs="Times New Roman"/>
          <w:i/>
          <w:iCs/>
          <w:noProof/>
        </w:rPr>
        <w:t>The Journal of Pediatrics</w:t>
      </w:r>
      <w:r w:rsidRPr="003D2D46">
        <w:rPr>
          <w:rFonts w:ascii="Times New Roman" w:hAnsi="Times New Roman" w:cs="Times New Roman"/>
          <w:noProof/>
        </w:rPr>
        <w:t xml:space="preserve"> 161:1091–1096.</w:t>
      </w:r>
    </w:p>
    <w:p w14:paraId="07ADF75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Winter K, Zipprich J, Harriman K, Murray EL, Gornbein J, Hammer SJ, Yeganeh N, Adachi K, Cherry JD. 2015. Risk Factors Associated with Infant Deaths from Pertussis: A Case-Control Study. </w:t>
      </w:r>
      <w:r w:rsidRPr="003D2D46">
        <w:rPr>
          <w:rFonts w:ascii="Times New Roman" w:hAnsi="Times New Roman" w:cs="Times New Roman"/>
          <w:i/>
          <w:iCs/>
          <w:noProof/>
        </w:rPr>
        <w:t>Clinical Infectious Diseases</w:t>
      </w:r>
      <w:r w:rsidRPr="003D2D46">
        <w:rPr>
          <w:rFonts w:ascii="Times New Roman" w:hAnsi="Times New Roman" w:cs="Times New Roman"/>
          <w:noProof/>
        </w:rPr>
        <w:t xml:space="preserve"> 61:1099–1106. DOI: 10.1093/cid/civ472.</w:t>
      </w:r>
    </w:p>
    <w:p w14:paraId="37F6358C"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Wirsing von Konig C, Halperin S, Riffelmann M, Guiso N. 2002. Review Pertussis of adults and infants. </w:t>
      </w:r>
      <w:r w:rsidRPr="003D2D46">
        <w:rPr>
          <w:rFonts w:ascii="Times New Roman" w:hAnsi="Times New Roman" w:cs="Times New Roman"/>
          <w:i/>
          <w:iCs/>
          <w:noProof/>
        </w:rPr>
        <w:t>Lancet Infectious Diseases</w:t>
      </w:r>
      <w:r w:rsidRPr="003D2D46">
        <w:rPr>
          <w:rFonts w:ascii="Times New Roman" w:hAnsi="Times New Roman" w:cs="Times New Roman"/>
          <w:noProof/>
        </w:rPr>
        <w:t xml:space="preserve"> 2:744–750.</w:t>
      </w:r>
    </w:p>
    <w:p w14:paraId="7B71022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Wirsing Von König CH, Postels-Multani S, Schmitt HJ, Bock HL. 1995. Pertussis in adults: frequency of transmission after household exposure. </w:t>
      </w:r>
      <w:r w:rsidRPr="003D2D46">
        <w:rPr>
          <w:rFonts w:ascii="Times New Roman" w:hAnsi="Times New Roman" w:cs="Times New Roman"/>
          <w:i/>
          <w:iCs/>
          <w:noProof/>
        </w:rPr>
        <w:t>The Lancet</w:t>
      </w:r>
      <w:r w:rsidRPr="003D2D46">
        <w:rPr>
          <w:rFonts w:ascii="Times New Roman" w:hAnsi="Times New Roman" w:cs="Times New Roman"/>
          <w:noProof/>
        </w:rPr>
        <w:t xml:space="preserve"> 346:1326–1329.</w:t>
      </w:r>
    </w:p>
    <w:p w14:paraId="396C077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World Health Organization (WHO). 2001. </w:t>
      </w:r>
      <w:r w:rsidRPr="003D2D46">
        <w:rPr>
          <w:rFonts w:ascii="Times New Roman" w:hAnsi="Times New Roman" w:cs="Times New Roman"/>
          <w:i/>
          <w:iCs/>
          <w:noProof/>
        </w:rPr>
        <w:t>Pertussis surveillance: A global meeting, Geneva 16-18 October 2000</w:t>
      </w:r>
      <w:r w:rsidRPr="003D2D46">
        <w:rPr>
          <w:rFonts w:ascii="Times New Roman" w:hAnsi="Times New Roman" w:cs="Times New Roman"/>
          <w:noProof/>
        </w:rPr>
        <w:t>.</w:t>
      </w:r>
    </w:p>
    <w:p w14:paraId="79C6BB70"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0066C808" w14:textId="3449441C"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World Health Organization (WHO). 2010. Pertussis vaccines: WHO position paper. </w:t>
      </w:r>
      <w:r w:rsidRPr="003D2D46">
        <w:rPr>
          <w:rFonts w:ascii="Times New Roman" w:hAnsi="Times New Roman" w:cs="Times New Roman"/>
          <w:i/>
          <w:iCs/>
          <w:noProof/>
        </w:rPr>
        <w:t>Wkly Epidemiol Rec</w:t>
      </w:r>
      <w:r w:rsidRPr="003D2D46">
        <w:rPr>
          <w:rFonts w:ascii="Times New Roman" w:hAnsi="Times New Roman" w:cs="Times New Roman"/>
          <w:noProof/>
        </w:rPr>
        <w:t xml:space="preserve"> 85:385–400.</w:t>
      </w:r>
    </w:p>
    <w:p w14:paraId="02149B0D"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World Health Organization (WHO). 2018.Surveillance Standards for Vaccine-Preventable Diseases, 2nd Edition.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https://www.who.int/publications/i/item/surveillance-standards-for-vaccine-preventable-diseases-2nd-edition</w:t>
      </w:r>
      <w:r w:rsidRPr="003D2D46">
        <w:rPr>
          <w:rFonts w:ascii="Times New Roman" w:hAnsi="Times New Roman" w:cs="Times New Roman"/>
          <w:noProof/>
        </w:rPr>
        <w:t xml:space="preserve"> (accessed January 18, 2021).</w:t>
      </w:r>
    </w:p>
    <w:p w14:paraId="6B8CE16B"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World Health Organization (WHO). 2019.Ten threats to global health in 2019.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https://www.who.int/news-room/spotlight/ten-threats-to-global-health-in-2019</w:t>
      </w:r>
      <w:r w:rsidRPr="003D2D46">
        <w:rPr>
          <w:rFonts w:ascii="Times New Roman" w:hAnsi="Times New Roman" w:cs="Times New Roman"/>
          <w:noProof/>
        </w:rPr>
        <w:t xml:space="preserve"> (accessed November 14, 2021).</w:t>
      </w:r>
    </w:p>
    <w:p w14:paraId="16B0A7B8"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World Health Organization (WHO). 2020.Global Vaccine Action Plan and Decade of Vaccines Review and Lessons Learned Reports.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https://www.who.int/publications/i/item/global-vaccine-action-plan-and-decade-of-vaccines-review-and-lessons-learned-reports</w:t>
      </w:r>
      <w:r w:rsidRPr="003D2D46">
        <w:rPr>
          <w:rFonts w:ascii="Times New Roman" w:hAnsi="Times New Roman" w:cs="Times New Roman"/>
          <w:noProof/>
        </w:rPr>
        <w:t xml:space="preserve"> (accessed November 14, 2021).</w:t>
      </w:r>
    </w:p>
    <w:p w14:paraId="121EFA0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World Health Organization (WHO). 2021.Pertussis. </w:t>
      </w:r>
      <w:r w:rsidRPr="003D2D46">
        <w:rPr>
          <w:rFonts w:ascii="Times New Roman" w:hAnsi="Times New Roman" w:cs="Times New Roman"/>
          <w:i/>
          <w:iCs/>
          <w:noProof/>
        </w:rPr>
        <w:t>Available at</w:t>
      </w:r>
      <w:r w:rsidRPr="003D2D46">
        <w:rPr>
          <w:rFonts w:ascii="Times New Roman" w:hAnsi="Times New Roman" w:cs="Times New Roman"/>
          <w:noProof/>
        </w:rPr>
        <w:t xml:space="preserve"> </w:t>
      </w:r>
      <w:r w:rsidRPr="003D2D46">
        <w:rPr>
          <w:rFonts w:ascii="Times New Roman" w:hAnsi="Times New Roman" w:cs="Times New Roman"/>
          <w:i/>
          <w:iCs/>
          <w:noProof/>
        </w:rPr>
        <w:t>https://www.who.int/health-topics/pertussis#tab=tab_1</w:t>
      </w:r>
      <w:r w:rsidRPr="003D2D46">
        <w:rPr>
          <w:rFonts w:ascii="Times New Roman" w:hAnsi="Times New Roman" w:cs="Times New Roman"/>
          <w:noProof/>
        </w:rPr>
        <w:t xml:space="preserve"> (accessed January 14, 2021).</w:t>
      </w:r>
    </w:p>
    <w:p w14:paraId="496A1975"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Wortis N, Strebel PM, Wharton M, Bardenheier B, Harsy IR. 1996. Pertussis Deaths: Report of 23 Cases in the United States, 1993 and 1993. </w:t>
      </w:r>
      <w:r w:rsidRPr="003D2D46">
        <w:rPr>
          <w:rFonts w:ascii="Times New Roman" w:hAnsi="Times New Roman" w:cs="Times New Roman"/>
          <w:i/>
          <w:iCs/>
          <w:noProof/>
        </w:rPr>
        <w:t>Pediatrics</w:t>
      </w:r>
      <w:r w:rsidRPr="003D2D46">
        <w:rPr>
          <w:rFonts w:ascii="Times New Roman" w:hAnsi="Times New Roman" w:cs="Times New Roman"/>
          <w:noProof/>
        </w:rPr>
        <w:t xml:space="preserve"> 97:607–612.</w:t>
      </w:r>
    </w:p>
    <w:p w14:paraId="065F8B94"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Yang YT, Delamater PL, Leslie TF, Mello MM. 2016. Sociodemographic predictors of vaccination exemptions on the basis of personal belief in California. </w:t>
      </w:r>
      <w:r w:rsidRPr="003D2D46">
        <w:rPr>
          <w:rFonts w:ascii="Times New Roman" w:hAnsi="Times New Roman" w:cs="Times New Roman"/>
          <w:i/>
          <w:iCs/>
          <w:noProof/>
        </w:rPr>
        <w:t>American Journal of Public Health</w:t>
      </w:r>
      <w:r w:rsidRPr="003D2D46">
        <w:rPr>
          <w:rFonts w:ascii="Times New Roman" w:hAnsi="Times New Roman" w:cs="Times New Roman"/>
          <w:noProof/>
        </w:rPr>
        <w:t xml:space="preserve"> 106:172–177. DOI: 10.2105/AJPH.2015.302926.</w:t>
      </w:r>
    </w:p>
    <w:p w14:paraId="39194AF9" w14:textId="77777777" w:rsidR="006A5E7A" w:rsidRPr="003D2D46" w:rsidRDefault="006A5E7A">
      <w:pPr>
        <w:rPr>
          <w:rFonts w:ascii="Times New Roman" w:hAnsi="Times New Roman" w:cs="Times New Roman"/>
          <w:noProof/>
        </w:rPr>
      </w:pPr>
      <w:r w:rsidRPr="003D2D46">
        <w:rPr>
          <w:rFonts w:ascii="Times New Roman" w:hAnsi="Times New Roman" w:cs="Times New Roman"/>
          <w:noProof/>
        </w:rPr>
        <w:br w:type="page"/>
      </w:r>
    </w:p>
    <w:p w14:paraId="1A7A59BA" w14:textId="5811ACA6"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lastRenderedPageBreak/>
        <w:t xml:space="preserve">Yaqub O, Castle-Clarke S, Sevdalis N, Chataway J. 2014. Attitudes to vaccination: A critical review. </w:t>
      </w:r>
      <w:r w:rsidRPr="003D2D46">
        <w:rPr>
          <w:rFonts w:ascii="Times New Roman" w:hAnsi="Times New Roman" w:cs="Times New Roman"/>
          <w:i/>
          <w:iCs/>
          <w:noProof/>
        </w:rPr>
        <w:t>Social Science and Medicine</w:t>
      </w:r>
      <w:r w:rsidRPr="003D2D46">
        <w:rPr>
          <w:rFonts w:ascii="Times New Roman" w:hAnsi="Times New Roman" w:cs="Times New Roman"/>
          <w:noProof/>
        </w:rPr>
        <w:t xml:space="preserve"> 112:1–11. DOI: 10.1016/j.socscimed.2014.04.018.</w:t>
      </w:r>
    </w:p>
    <w:p w14:paraId="62D0E772" w14:textId="77777777" w:rsidR="00C607E9" w:rsidRPr="003D2D46" w:rsidRDefault="00C607E9" w:rsidP="00C607E9">
      <w:pPr>
        <w:widowControl w:val="0"/>
        <w:autoSpaceDE w:val="0"/>
        <w:autoSpaceDN w:val="0"/>
        <w:adjustRightInd w:val="0"/>
        <w:spacing w:line="480" w:lineRule="auto"/>
        <w:ind w:left="480" w:hanging="480"/>
        <w:rPr>
          <w:rFonts w:ascii="Times New Roman" w:hAnsi="Times New Roman" w:cs="Times New Roman"/>
          <w:noProof/>
        </w:rPr>
      </w:pPr>
      <w:r w:rsidRPr="003D2D46">
        <w:rPr>
          <w:rFonts w:ascii="Times New Roman" w:hAnsi="Times New Roman" w:cs="Times New Roman"/>
          <w:noProof/>
        </w:rPr>
        <w:t xml:space="preserve">Yeung KHT, Duclos P, Nelson EAS, Hutubessy RCW. 2017. An update of the global burden of pertussis in children younger than 5 years: a modelling study. </w:t>
      </w:r>
      <w:r w:rsidRPr="003D2D46">
        <w:rPr>
          <w:rFonts w:ascii="Times New Roman" w:hAnsi="Times New Roman" w:cs="Times New Roman"/>
          <w:i/>
          <w:iCs/>
          <w:noProof/>
        </w:rPr>
        <w:t>Lancet Infectious Diseases</w:t>
      </w:r>
      <w:r w:rsidRPr="003D2D46">
        <w:rPr>
          <w:rFonts w:ascii="Times New Roman" w:hAnsi="Times New Roman" w:cs="Times New Roman"/>
          <w:noProof/>
        </w:rPr>
        <w:t xml:space="preserve"> 17:974–980. DOI: 10.1016/S1473-3099(17)30390-0.</w:t>
      </w:r>
    </w:p>
    <w:p w14:paraId="008AEF2F" w14:textId="77777777" w:rsidR="005C71D2" w:rsidRPr="003D2D46" w:rsidRDefault="00C81385">
      <w:pPr>
        <w:rPr>
          <w:rFonts w:ascii="Times New Roman" w:hAnsi="Times New Roman" w:cs="Times New Roman"/>
          <w:color w:val="000000" w:themeColor="text1"/>
        </w:rPr>
      </w:pPr>
      <w:r w:rsidRPr="003D2D46">
        <w:rPr>
          <w:rFonts w:ascii="Times New Roman" w:hAnsi="Times New Roman" w:cs="Times New Roman"/>
          <w:color w:val="000000" w:themeColor="text1"/>
        </w:rPr>
        <w:fldChar w:fldCharType="end"/>
      </w:r>
    </w:p>
    <w:p w14:paraId="31A2CD88" w14:textId="77777777" w:rsidR="005C71D2" w:rsidRPr="003D2D46" w:rsidRDefault="005C71D2">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182FF1EB" w14:textId="77777777" w:rsidR="005C71D2" w:rsidRPr="003D2D46" w:rsidRDefault="005C71D2" w:rsidP="004F0890">
      <w:pPr>
        <w:pStyle w:val="Heading1"/>
        <w:rPr>
          <w:rFonts w:ascii="Times New Roman" w:hAnsi="Times New Roman" w:cs="Times New Roman"/>
          <w:color w:val="000000" w:themeColor="text1"/>
        </w:rPr>
      </w:pPr>
      <w:bookmarkStart w:id="260" w:name="_Toc87797159"/>
      <w:r w:rsidRPr="003D2D46">
        <w:rPr>
          <w:rFonts w:ascii="Times New Roman" w:hAnsi="Times New Roman" w:cs="Times New Roman"/>
          <w:color w:val="000000" w:themeColor="text1"/>
        </w:rPr>
        <w:lastRenderedPageBreak/>
        <w:t>APPENDICES</w:t>
      </w:r>
      <w:bookmarkEnd w:id="260"/>
    </w:p>
    <w:p w14:paraId="68250CF4" w14:textId="6B182428" w:rsidR="005C71D2" w:rsidRPr="003D2D46" w:rsidRDefault="00C81385">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7CBCAB7D" w14:textId="5C9E937B" w:rsidR="005C71D2" w:rsidRPr="003D2D46" w:rsidRDefault="005C71D2" w:rsidP="004F0890">
      <w:pPr>
        <w:pStyle w:val="Heading2"/>
        <w:rPr>
          <w:rFonts w:cs="Times New Roman"/>
          <w:szCs w:val="24"/>
        </w:rPr>
      </w:pPr>
      <w:bookmarkStart w:id="261" w:name="_Toc87797160"/>
      <w:r w:rsidRPr="003D2D46">
        <w:rPr>
          <w:rFonts w:cs="Times New Roman"/>
          <w:szCs w:val="24"/>
        </w:rPr>
        <w:lastRenderedPageBreak/>
        <w:t xml:space="preserve">Appendix </w:t>
      </w:r>
      <w:r w:rsidR="00254AEF" w:rsidRPr="003D2D46">
        <w:rPr>
          <w:rFonts w:cs="Times New Roman"/>
          <w:b w:val="0"/>
        </w:rPr>
        <w:t>A</w:t>
      </w:r>
      <w:r w:rsidRPr="003D2D46">
        <w:rPr>
          <w:rFonts w:cs="Times New Roman"/>
          <w:szCs w:val="24"/>
        </w:rPr>
        <w:t>: Demographic Questionnaire</w:t>
      </w:r>
      <w:bookmarkEnd w:id="261"/>
    </w:p>
    <w:p w14:paraId="6D0BD9F0" w14:textId="77777777" w:rsidR="005C71D2" w:rsidRPr="003D2D46" w:rsidRDefault="005C71D2" w:rsidP="005C71D2">
      <w:pPr>
        <w:spacing w:line="480" w:lineRule="auto"/>
        <w:ind w:right="-15"/>
        <w:jc w:val="right"/>
        <w:rPr>
          <w:rFonts w:ascii="Times New Roman" w:hAnsi="Times New Roman" w:cs="Times New Roman"/>
        </w:rPr>
      </w:pPr>
      <w:r w:rsidRPr="003D2D46">
        <w:rPr>
          <w:rFonts w:ascii="Times New Roman" w:eastAsia="Cambria" w:hAnsi="Times New Roman" w:cs="Times New Roman"/>
        </w:rPr>
        <w:t>Date:_______________</w:t>
      </w:r>
      <w:r w:rsidRPr="003D2D46">
        <w:rPr>
          <w:rFonts w:ascii="Times New Roman" w:eastAsia="Cambria" w:hAnsi="Times New Roman" w:cs="Times New Roman"/>
        </w:rPr>
        <w:tab/>
        <w:t xml:space="preserve">   </w:t>
      </w:r>
    </w:p>
    <w:p w14:paraId="7AB4AC04" w14:textId="77777777" w:rsidR="005C71D2" w:rsidRPr="003D2D46" w:rsidRDefault="005C71D2" w:rsidP="005C71D2">
      <w:pPr>
        <w:spacing w:line="480" w:lineRule="auto"/>
        <w:ind w:right="-15"/>
        <w:jc w:val="right"/>
        <w:rPr>
          <w:rFonts w:ascii="Times New Roman" w:hAnsi="Times New Roman" w:cs="Times New Roman"/>
        </w:rPr>
      </w:pPr>
      <w:r w:rsidRPr="003D2D46">
        <w:rPr>
          <w:rFonts w:ascii="Times New Roman" w:eastAsia="Cambria" w:hAnsi="Times New Roman" w:cs="Times New Roman"/>
        </w:rPr>
        <w:t>Participant</w:t>
      </w:r>
      <w:r w:rsidRPr="003D2D46">
        <w:rPr>
          <w:rFonts w:ascii="Times New Roman" w:eastAsia="Cambria" w:hAnsi="Times New Roman" w:cs="Times New Roman"/>
        </w:rPr>
        <w:tab/>
        <w:t xml:space="preserve">   Number</w:t>
      </w:r>
      <w:r w:rsidRPr="003D2D46">
        <w:rPr>
          <w:rFonts w:ascii="Times New Roman" w:eastAsia="Cambria" w:hAnsi="Times New Roman" w:cs="Times New Roman"/>
        </w:rPr>
        <w:tab/>
        <w:t xml:space="preserve">   ________</w:t>
      </w:r>
      <w:r w:rsidRPr="003D2D46">
        <w:rPr>
          <w:rFonts w:ascii="Times New Roman" w:eastAsia="Cambria" w:hAnsi="Times New Roman" w:cs="Times New Roman"/>
        </w:rPr>
        <w:tab/>
        <w:t xml:space="preserve">   </w:t>
      </w:r>
    </w:p>
    <w:p w14:paraId="003821F3" w14:textId="77777777" w:rsidR="005C71D2" w:rsidRPr="003D2D46" w:rsidRDefault="005C71D2" w:rsidP="005C71D2">
      <w:pPr>
        <w:spacing w:line="480" w:lineRule="auto"/>
        <w:rPr>
          <w:rFonts w:ascii="Times New Roman" w:hAnsi="Times New Roman" w:cs="Times New Roman"/>
        </w:rPr>
      </w:pPr>
      <w:r w:rsidRPr="003D2D46">
        <w:rPr>
          <w:rFonts w:ascii="Times New Roman" w:hAnsi="Times New Roman" w:cs="Times New Roman"/>
          <w:b/>
        </w:rPr>
        <w:t>Age:</w:t>
      </w:r>
      <w:r w:rsidRPr="003D2D46">
        <w:rPr>
          <w:rFonts w:ascii="Times New Roman" w:hAnsi="Times New Roman" w:cs="Times New Roman"/>
        </w:rPr>
        <w:t xml:space="preserve">  _____________  </w:t>
      </w:r>
    </w:p>
    <w:p w14:paraId="047B0A93" w14:textId="77777777" w:rsidR="005C71D2" w:rsidRPr="003D2D46" w:rsidRDefault="005C71D2" w:rsidP="005C71D2">
      <w:pPr>
        <w:tabs>
          <w:tab w:val="center" w:pos="3960"/>
          <w:tab w:val="center" w:pos="5634"/>
          <w:tab w:val="center" w:pos="6480"/>
        </w:tabs>
        <w:spacing w:line="480" w:lineRule="auto"/>
        <w:ind w:left="-15"/>
        <w:rPr>
          <w:rFonts w:ascii="Times New Roman" w:hAnsi="Times New Roman" w:cs="Times New Roman"/>
        </w:rPr>
      </w:pPr>
      <w:r w:rsidRPr="003D2D46">
        <w:rPr>
          <w:rFonts w:ascii="Times New Roman" w:hAnsi="Times New Roman" w:cs="Times New Roman"/>
          <w:b/>
        </w:rPr>
        <w:t>Gender  (please  circle):</w:t>
      </w:r>
      <w:r w:rsidRPr="003D2D46">
        <w:rPr>
          <w:rFonts w:ascii="Times New Roman" w:hAnsi="Times New Roman" w:cs="Times New Roman"/>
        </w:rPr>
        <w:t xml:space="preserve">      Male        </w:t>
      </w:r>
      <w:r w:rsidRPr="003D2D46">
        <w:rPr>
          <w:rFonts w:ascii="Times New Roman" w:hAnsi="Times New Roman" w:cs="Times New Roman"/>
        </w:rPr>
        <w:tab/>
        <w:t xml:space="preserve">  Female        </w:t>
      </w:r>
      <w:r w:rsidRPr="003D2D46">
        <w:rPr>
          <w:rFonts w:ascii="Times New Roman" w:hAnsi="Times New Roman" w:cs="Times New Roman"/>
        </w:rPr>
        <w:tab/>
        <w:t xml:space="preserve">Transgender    </w:t>
      </w:r>
      <w:r w:rsidRPr="003D2D46">
        <w:rPr>
          <w:rFonts w:ascii="Times New Roman" w:hAnsi="Times New Roman" w:cs="Times New Roman"/>
        </w:rPr>
        <w:tab/>
        <w:t xml:space="preserve">  </w:t>
      </w:r>
    </w:p>
    <w:p w14:paraId="7F514BB8" w14:textId="77777777" w:rsidR="005C71D2" w:rsidRPr="003D2D46" w:rsidRDefault="005C71D2" w:rsidP="005C71D2">
      <w:pPr>
        <w:spacing w:line="480" w:lineRule="auto"/>
        <w:ind w:left="2170"/>
        <w:rPr>
          <w:rFonts w:ascii="Times New Roman" w:hAnsi="Times New Roman" w:cs="Times New Roman"/>
        </w:rPr>
      </w:pPr>
      <w:r w:rsidRPr="003D2D46">
        <w:rPr>
          <w:rFonts w:ascii="Times New Roman" w:hAnsi="Times New Roman" w:cs="Times New Roman"/>
        </w:rPr>
        <w:t xml:space="preserve">      Another  Gender  Identity  (fill  in  blank  if  desired):__________________        </w:t>
      </w:r>
    </w:p>
    <w:p w14:paraId="6CD2C165" w14:textId="77777777" w:rsidR="005C71D2" w:rsidRPr="003D2D46" w:rsidRDefault="005C71D2" w:rsidP="005C71D2">
      <w:pPr>
        <w:spacing w:line="480" w:lineRule="auto"/>
        <w:ind w:left="2170"/>
        <w:rPr>
          <w:rFonts w:ascii="Times New Roman" w:hAnsi="Times New Roman" w:cs="Times New Roman"/>
        </w:rPr>
      </w:pPr>
      <w:r w:rsidRPr="003D2D46">
        <w:rPr>
          <w:rFonts w:ascii="Times New Roman" w:hAnsi="Times New Roman" w:cs="Times New Roman"/>
        </w:rPr>
        <w:t xml:space="preserve">      Prefer  not  to  answer              </w:t>
      </w:r>
    </w:p>
    <w:p w14:paraId="6C523ACC" w14:textId="77777777" w:rsidR="005C71D2" w:rsidRPr="003D2D46" w:rsidRDefault="005C71D2" w:rsidP="005C71D2">
      <w:pPr>
        <w:spacing w:line="480" w:lineRule="auto"/>
        <w:rPr>
          <w:rFonts w:ascii="Times New Roman" w:hAnsi="Times New Roman" w:cs="Times New Roman"/>
        </w:rPr>
      </w:pPr>
      <w:r w:rsidRPr="003D2D46">
        <w:rPr>
          <w:rFonts w:ascii="Times New Roman" w:hAnsi="Times New Roman" w:cs="Times New Roman"/>
          <w:b/>
        </w:rPr>
        <w:t>Race/Ethnicity  (Circle  all  that  apply):</w:t>
      </w:r>
      <w:r w:rsidRPr="003D2D46">
        <w:rPr>
          <w:rFonts w:ascii="Times New Roman" w:hAnsi="Times New Roman" w:cs="Times New Roman"/>
        </w:rPr>
        <w:t xml:space="preserve">        White  (Non-­Hispanic)          Hispanic          Black            Other:________________  </w:t>
      </w:r>
    </w:p>
    <w:p w14:paraId="29A68EBC" w14:textId="77777777" w:rsidR="005C71D2" w:rsidRPr="003D2D46" w:rsidRDefault="005C71D2" w:rsidP="005C71D2">
      <w:pPr>
        <w:spacing w:line="480" w:lineRule="auto"/>
        <w:ind w:left="-5"/>
        <w:rPr>
          <w:rFonts w:ascii="Times New Roman" w:hAnsi="Times New Roman" w:cs="Times New Roman"/>
        </w:rPr>
      </w:pPr>
      <w:r w:rsidRPr="003D2D46">
        <w:rPr>
          <w:rFonts w:ascii="Times New Roman" w:hAnsi="Times New Roman" w:cs="Times New Roman"/>
          <w:b/>
        </w:rPr>
        <w:t>Education  (please  circle):</w:t>
      </w:r>
      <w:r w:rsidRPr="003D2D46">
        <w:rPr>
          <w:rFonts w:ascii="Times New Roman" w:hAnsi="Times New Roman" w:cs="Times New Roman"/>
        </w:rPr>
        <w:t xml:space="preserve">      </w:t>
      </w:r>
    </w:p>
    <w:p w14:paraId="75BE880D"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rPr>
        <w:t xml:space="preserve">Some  High  School        </w:t>
      </w:r>
    </w:p>
    <w:p w14:paraId="29765F0C"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rPr>
        <w:t xml:space="preserve">High  School  Degree          </w:t>
      </w:r>
    </w:p>
    <w:p w14:paraId="3D2920CF"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rPr>
        <w:t xml:space="preserve">Some  College            </w:t>
      </w:r>
    </w:p>
    <w:p w14:paraId="6DDC69AE"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rPr>
        <w:t xml:space="preserve">College  Degree            </w:t>
      </w:r>
    </w:p>
    <w:p w14:paraId="3BCF392A"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rPr>
        <w:t xml:space="preserve">Graduate/Professional  Degree  </w:t>
      </w:r>
    </w:p>
    <w:p w14:paraId="17D0CAF7" w14:textId="77777777" w:rsidR="005C71D2" w:rsidRPr="003D2D46" w:rsidRDefault="005C71D2" w:rsidP="005C71D2">
      <w:pPr>
        <w:spacing w:line="480" w:lineRule="auto"/>
        <w:ind w:left="-5"/>
        <w:rPr>
          <w:rFonts w:ascii="Times New Roman" w:hAnsi="Times New Roman" w:cs="Times New Roman"/>
        </w:rPr>
      </w:pPr>
      <w:r w:rsidRPr="003D2D46">
        <w:rPr>
          <w:rFonts w:ascii="Times New Roman" w:hAnsi="Times New Roman" w:cs="Times New Roman"/>
          <w:b/>
        </w:rPr>
        <w:t xml:space="preserve">Average  Annual  Income  (please  circle):  </w:t>
      </w:r>
    </w:p>
    <w:p w14:paraId="40071CE1" w14:textId="77777777" w:rsidR="005C71D2" w:rsidRPr="003D2D46" w:rsidRDefault="005C71D2" w:rsidP="005C71D2">
      <w:pPr>
        <w:tabs>
          <w:tab w:val="center" w:pos="1083"/>
          <w:tab w:val="center" w:pos="2160"/>
          <w:tab w:val="center" w:pos="2880"/>
          <w:tab w:val="center" w:pos="4244"/>
        </w:tabs>
        <w:spacing w:line="480" w:lineRule="auto"/>
        <w:rPr>
          <w:rFonts w:ascii="Times New Roman" w:hAnsi="Times New Roman" w:cs="Times New Roman"/>
        </w:rPr>
      </w:pPr>
      <w:r w:rsidRPr="003D2D46">
        <w:rPr>
          <w:rFonts w:ascii="Times New Roman" w:hAnsi="Times New Roman" w:cs="Times New Roman"/>
        </w:rPr>
        <w:t xml:space="preserve">  </w:t>
      </w:r>
      <w:r w:rsidRPr="003D2D46">
        <w:rPr>
          <w:rFonts w:ascii="Times New Roman" w:hAnsi="Times New Roman" w:cs="Times New Roman"/>
        </w:rPr>
        <w:tab/>
        <w:t xml:space="preserve">&lt;10,000  </w:t>
      </w:r>
      <w:r w:rsidRPr="003D2D46">
        <w:rPr>
          <w:rFonts w:ascii="Times New Roman" w:hAnsi="Times New Roman" w:cs="Times New Roman"/>
        </w:rPr>
        <w:tab/>
        <w:t xml:space="preserve">  </w:t>
      </w:r>
      <w:r w:rsidRPr="003D2D46">
        <w:rPr>
          <w:rFonts w:ascii="Times New Roman" w:hAnsi="Times New Roman" w:cs="Times New Roman"/>
        </w:rPr>
        <w:tab/>
        <w:t xml:space="preserve">  </w:t>
      </w:r>
      <w:r w:rsidRPr="003D2D46">
        <w:rPr>
          <w:rFonts w:ascii="Times New Roman" w:hAnsi="Times New Roman" w:cs="Times New Roman"/>
        </w:rPr>
        <w:tab/>
        <w:t xml:space="preserve">10,001-­25,000  </w:t>
      </w:r>
    </w:p>
    <w:p w14:paraId="6BEBB196" w14:textId="77777777" w:rsidR="005C71D2" w:rsidRPr="003D2D46" w:rsidRDefault="005C71D2" w:rsidP="005C71D2">
      <w:pPr>
        <w:tabs>
          <w:tab w:val="center" w:pos="1364"/>
          <w:tab w:val="center" w:pos="2880"/>
          <w:tab w:val="center" w:pos="4244"/>
        </w:tabs>
        <w:spacing w:line="480" w:lineRule="auto"/>
        <w:rPr>
          <w:rFonts w:ascii="Times New Roman" w:hAnsi="Times New Roman" w:cs="Times New Roman"/>
        </w:rPr>
      </w:pPr>
      <w:r w:rsidRPr="003D2D46">
        <w:rPr>
          <w:rFonts w:ascii="Times New Roman" w:hAnsi="Times New Roman" w:cs="Times New Roman"/>
        </w:rPr>
        <w:t xml:space="preserve">  </w:t>
      </w:r>
      <w:r w:rsidRPr="003D2D46">
        <w:rPr>
          <w:rFonts w:ascii="Times New Roman" w:hAnsi="Times New Roman" w:cs="Times New Roman"/>
        </w:rPr>
        <w:tab/>
        <w:t xml:space="preserve">25,001-­40,000     </w:t>
      </w:r>
      <w:r w:rsidRPr="003D2D46">
        <w:rPr>
          <w:rFonts w:ascii="Times New Roman" w:hAnsi="Times New Roman" w:cs="Times New Roman"/>
        </w:rPr>
        <w:tab/>
        <w:t xml:space="preserve">  </w:t>
      </w:r>
      <w:r w:rsidRPr="003D2D46">
        <w:rPr>
          <w:rFonts w:ascii="Times New Roman" w:hAnsi="Times New Roman" w:cs="Times New Roman"/>
        </w:rPr>
        <w:tab/>
        <w:t xml:space="preserve">40,001-­60,000  </w:t>
      </w:r>
    </w:p>
    <w:p w14:paraId="4C08BD21" w14:textId="77777777" w:rsidR="005C71D2" w:rsidRPr="003D2D46" w:rsidRDefault="005C71D2" w:rsidP="005C71D2">
      <w:pPr>
        <w:tabs>
          <w:tab w:val="center" w:pos="1364"/>
          <w:tab w:val="center" w:pos="2880"/>
          <w:tab w:val="center" w:pos="3963"/>
        </w:tabs>
        <w:spacing w:line="480" w:lineRule="auto"/>
        <w:rPr>
          <w:rFonts w:ascii="Times New Roman" w:hAnsi="Times New Roman" w:cs="Times New Roman"/>
        </w:rPr>
      </w:pPr>
      <w:r w:rsidRPr="003D2D46">
        <w:rPr>
          <w:rFonts w:ascii="Times New Roman" w:hAnsi="Times New Roman" w:cs="Times New Roman"/>
        </w:rPr>
        <w:t xml:space="preserve">  </w:t>
      </w:r>
      <w:r w:rsidRPr="003D2D46">
        <w:rPr>
          <w:rFonts w:ascii="Times New Roman" w:hAnsi="Times New Roman" w:cs="Times New Roman"/>
        </w:rPr>
        <w:tab/>
        <w:t xml:space="preserve">60,001-­75,000     </w:t>
      </w:r>
      <w:r w:rsidRPr="003D2D46">
        <w:rPr>
          <w:rFonts w:ascii="Times New Roman" w:hAnsi="Times New Roman" w:cs="Times New Roman"/>
        </w:rPr>
        <w:tab/>
        <w:t xml:space="preserve">  </w:t>
      </w:r>
      <w:r w:rsidRPr="003D2D46">
        <w:rPr>
          <w:rFonts w:ascii="Times New Roman" w:hAnsi="Times New Roman" w:cs="Times New Roman"/>
        </w:rPr>
        <w:tab/>
        <w:t xml:space="preserve">&gt;75,000  </w:t>
      </w:r>
    </w:p>
    <w:p w14:paraId="26C95157" w14:textId="77777777" w:rsidR="005C71D2" w:rsidRPr="003D2D46" w:rsidRDefault="005C71D2">
      <w:pPr>
        <w:rPr>
          <w:rFonts w:ascii="Times New Roman" w:hAnsi="Times New Roman" w:cs="Times New Roman"/>
        </w:rPr>
      </w:pPr>
      <w:r w:rsidRPr="003D2D46">
        <w:rPr>
          <w:rFonts w:ascii="Times New Roman" w:hAnsi="Times New Roman" w:cs="Times New Roman"/>
        </w:rPr>
        <w:br w:type="page"/>
      </w:r>
    </w:p>
    <w:p w14:paraId="3F332ECA" w14:textId="77777777" w:rsidR="005C71D2" w:rsidRPr="003D2D46" w:rsidRDefault="005C71D2" w:rsidP="005C71D2">
      <w:pPr>
        <w:spacing w:line="480" w:lineRule="auto"/>
        <w:ind w:left="-5"/>
        <w:rPr>
          <w:rFonts w:ascii="Times New Roman" w:hAnsi="Times New Roman" w:cs="Times New Roman"/>
        </w:rPr>
      </w:pPr>
      <w:r w:rsidRPr="003D2D46">
        <w:rPr>
          <w:rFonts w:ascii="Times New Roman" w:hAnsi="Times New Roman" w:cs="Times New Roman"/>
          <w:b/>
        </w:rPr>
        <w:lastRenderedPageBreak/>
        <w:t xml:space="preserve">Do  you  have  health  insurance?  (please  circle):          </w:t>
      </w:r>
      <w:r w:rsidRPr="003D2D46">
        <w:rPr>
          <w:rFonts w:ascii="Times New Roman" w:hAnsi="Times New Roman" w:cs="Times New Roman"/>
        </w:rPr>
        <w:t xml:space="preserve">Yes            No  </w:t>
      </w:r>
    </w:p>
    <w:p w14:paraId="2996D945" w14:textId="77777777" w:rsidR="005C71D2" w:rsidRPr="003D2D46" w:rsidRDefault="005C71D2" w:rsidP="005C71D2">
      <w:pPr>
        <w:tabs>
          <w:tab w:val="center" w:pos="1390"/>
          <w:tab w:val="center" w:pos="3430"/>
        </w:tabs>
        <w:spacing w:line="480" w:lineRule="auto"/>
        <w:rPr>
          <w:rFonts w:ascii="Times New Roman" w:hAnsi="Times New Roman" w:cs="Times New Roman"/>
        </w:rPr>
      </w:pPr>
      <w:r w:rsidRPr="003D2D46">
        <w:rPr>
          <w:rFonts w:ascii="Times New Roman" w:hAnsi="Times New Roman" w:cs="Times New Roman"/>
        </w:rPr>
        <w:t xml:space="preserve">  </w:t>
      </w:r>
      <w:r w:rsidRPr="003D2D46">
        <w:rPr>
          <w:rFonts w:ascii="Times New Roman" w:hAnsi="Times New Roman" w:cs="Times New Roman"/>
        </w:rPr>
        <w:tab/>
      </w:r>
      <w:r w:rsidRPr="003D2D46">
        <w:rPr>
          <w:rFonts w:ascii="Times New Roman" w:hAnsi="Times New Roman" w:cs="Times New Roman"/>
          <w:b/>
        </w:rPr>
        <w:t>If  yes:</w:t>
      </w:r>
      <w:r w:rsidRPr="003D2D46">
        <w:rPr>
          <w:rFonts w:ascii="Times New Roman" w:hAnsi="Times New Roman" w:cs="Times New Roman"/>
        </w:rPr>
        <w:t xml:space="preserve">   Private     </w:t>
      </w:r>
      <w:r w:rsidRPr="003D2D46">
        <w:rPr>
          <w:rFonts w:ascii="Times New Roman" w:hAnsi="Times New Roman" w:cs="Times New Roman"/>
        </w:rPr>
        <w:tab/>
        <w:t xml:space="preserve">Government  </w:t>
      </w:r>
    </w:p>
    <w:p w14:paraId="4E0E61B9" w14:textId="77777777" w:rsidR="005C71D2" w:rsidRPr="003D2D46" w:rsidRDefault="005C71D2" w:rsidP="005C71D2">
      <w:pPr>
        <w:spacing w:line="480" w:lineRule="auto"/>
        <w:ind w:left="-5"/>
        <w:rPr>
          <w:rFonts w:ascii="Times New Roman" w:hAnsi="Times New Roman" w:cs="Times New Roman"/>
        </w:rPr>
      </w:pPr>
      <w:r w:rsidRPr="003D2D46">
        <w:rPr>
          <w:rFonts w:ascii="Times New Roman" w:hAnsi="Times New Roman" w:cs="Times New Roman"/>
          <w:b/>
        </w:rPr>
        <w:t>Have  you  ever  received  a  vaccine?  (please  circle):</w:t>
      </w:r>
      <w:r w:rsidRPr="003D2D46">
        <w:rPr>
          <w:rFonts w:ascii="Times New Roman" w:hAnsi="Times New Roman" w:cs="Times New Roman"/>
        </w:rPr>
        <w:t xml:space="preserve">    Yes            No  </w:t>
      </w:r>
    </w:p>
    <w:p w14:paraId="18C7D8AA" w14:textId="77777777" w:rsidR="005C71D2" w:rsidRPr="003D2D46" w:rsidRDefault="005C71D2" w:rsidP="005C71D2">
      <w:pPr>
        <w:tabs>
          <w:tab w:val="center" w:pos="4066"/>
          <w:tab w:val="center" w:pos="8386"/>
        </w:tabs>
        <w:spacing w:line="480" w:lineRule="auto"/>
        <w:rPr>
          <w:rFonts w:ascii="Times New Roman" w:hAnsi="Times New Roman" w:cs="Times New Roman"/>
        </w:rPr>
      </w:pPr>
      <w:r w:rsidRPr="003D2D46">
        <w:rPr>
          <w:rFonts w:ascii="Times New Roman" w:eastAsia="Calibri" w:hAnsi="Times New Roman" w:cs="Times New Roman"/>
        </w:rPr>
        <w:tab/>
      </w:r>
      <w:r w:rsidRPr="003D2D46">
        <w:rPr>
          <w:rFonts w:ascii="Times New Roman" w:hAnsi="Times New Roman" w:cs="Times New Roman"/>
          <w:b/>
        </w:rPr>
        <w:t xml:space="preserve">If  yes,  </w:t>
      </w:r>
      <w:r w:rsidRPr="003D2D46">
        <w:rPr>
          <w:rFonts w:ascii="Times New Roman" w:hAnsi="Times New Roman" w:cs="Times New Roman"/>
        </w:rPr>
        <w:t xml:space="preserve">Have  you  gotten  a  tetanus  shot  in  the  last  10  years?  </w:t>
      </w:r>
      <w:r w:rsidRPr="003D2D46">
        <w:rPr>
          <w:rFonts w:ascii="Times New Roman" w:hAnsi="Times New Roman" w:cs="Times New Roman"/>
          <w:b/>
        </w:rPr>
        <w:t>(please  circle):</w:t>
      </w:r>
      <w:r w:rsidRPr="003D2D46">
        <w:rPr>
          <w:rFonts w:ascii="Times New Roman" w:hAnsi="Times New Roman" w:cs="Times New Roman"/>
        </w:rPr>
        <w:t xml:space="preserve">  </w:t>
      </w:r>
      <w:r w:rsidRPr="003D2D46">
        <w:rPr>
          <w:rFonts w:ascii="Times New Roman" w:hAnsi="Times New Roman" w:cs="Times New Roman"/>
        </w:rPr>
        <w:tab/>
        <w:t xml:space="preserve">Yes            No  </w:t>
      </w:r>
    </w:p>
    <w:p w14:paraId="45CFBF29"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b/>
        </w:rPr>
        <w:t xml:space="preserve">If  yes,  </w:t>
      </w:r>
      <w:r w:rsidRPr="003D2D46">
        <w:rPr>
          <w:rFonts w:ascii="Times New Roman" w:hAnsi="Times New Roman" w:cs="Times New Roman"/>
        </w:rPr>
        <w:t xml:space="preserve">do  you  know  if  it  included  protection  against  pertussis/whooping  cough  (Tdap)?  </w:t>
      </w:r>
      <w:r w:rsidRPr="003D2D46">
        <w:rPr>
          <w:rFonts w:ascii="Times New Roman" w:hAnsi="Times New Roman" w:cs="Times New Roman"/>
          <w:b/>
        </w:rPr>
        <w:t>(please  circle):</w:t>
      </w:r>
      <w:r w:rsidRPr="003D2D46">
        <w:rPr>
          <w:rFonts w:ascii="Times New Roman" w:hAnsi="Times New Roman" w:cs="Times New Roman"/>
        </w:rPr>
        <w:t xml:space="preserve">      </w:t>
      </w:r>
    </w:p>
    <w:p w14:paraId="4DE553B9" w14:textId="77777777" w:rsidR="005C71D2" w:rsidRPr="003D2D46" w:rsidRDefault="005C71D2" w:rsidP="005C71D2">
      <w:pPr>
        <w:spacing w:line="480" w:lineRule="auto"/>
        <w:ind w:left="1450"/>
        <w:rPr>
          <w:rFonts w:ascii="Times New Roman" w:hAnsi="Times New Roman" w:cs="Times New Roman"/>
        </w:rPr>
      </w:pPr>
      <w:r w:rsidRPr="003D2D46">
        <w:rPr>
          <w:rFonts w:ascii="Times New Roman" w:hAnsi="Times New Roman" w:cs="Times New Roman"/>
        </w:rPr>
        <w:t xml:space="preserve">Yes            No            Don’t  Know  </w:t>
      </w:r>
    </w:p>
    <w:p w14:paraId="71C9B326" w14:textId="77777777" w:rsidR="005C71D2" w:rsidRPr="003D2D46" w:rsidRDefault="005C71D2" w:rsidP="005C71D2">
      <w:pPr>
        <w:spacing w:line="480" w:lineRule="auto"/>
        <w:ind w:left="-5"/>
        <w:rPr>
          <w:rFonts w:ascii="Times New Roman" w:hAnsi="Times New Roman" w:cs="Times New Roman"/>
        </w:rPr>
      </w:pPr>
      <w:r w:rsidRPr="003D2D46">
        <w:rPr>
          <w:rFonts w:ascii="Times New Roman" w:hAnsi="Times New Roman" w:cs="Times New Roman"/>
          <w:b/>
        </w:rPr>
        <w:t>Do  you  have  children?  (please  circle):</w:t>
      </w:r>
      <w:r w:rsidRPr="003D2D46">
        <w:rPr>
          <w:rFonts w:ascii="Times New Roman" w:hAnsi="Times New Roman" w:cs="Times New Roman"/>
        </w:rPr>
        <w:t xml:space="preserve">        Yes              No</w:t>
      </w:r>
      <w:r w:rsidRPr="003D2D46">
        <w:rPr>
          <w:rFonts w:ascii="Times New Roman" w:hAnsi="Times New Roman" w:cs="Times New Roman"/>
          <w:b/>
        </w:rPr>
        <w:t xml:space="preserve">  </w:t>
      </w:r>
    </w:p>
    <w:p w14:paraId="61EABBED"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b/>
        </w:rPr>
        <w:t>If  yes</w:t>
      </w:r>
      <w:r w:rsidRPr="003D2D46">
        <w:rPr>
          <w:rFonts w:ascii="Times New Roman" w:hAnsi="Times New Roman" w:cs="Times New Roman"/>
        </w:rPr>
        <w:t xml:space="preserve">,  have  they  ever  received  a  vaccine?        Yes              No  </w:t>
      </w:r>
    </w:p>
    <w:p w14:paraId="05386E82" w14:textId="77777777" w:rsidR="005C71D2" w:rsidRPr="003D2D46" w:rsidRDefault="005C71D2" w:rsidP="005C71D2">
      <w:pPr>
        <w:spacing w:line="480" w:lineRule="auto"/>
        <w:ind w:left="715"/>
        <w:rPr>
          <w:rFonts w:ascii="Times New Roman" w:hAnsi="Times New Roman" w:cs="Times New Roman"/>
        </w:rPr>
      </w:pPr>
      <w:r w:rsidRPr="003D2D46">
        <w:rPr>
          <w:rFonts w:ascii="Times New Roman" w:hAnsi="Times New Roman" w:cs="Times New Roman"/>
          <w:b/>
        </w:rPr>
        <w:t xml:space="preserve">If  yes,  </w:t>
      </w:r>
      <w:r w:rsidRPr="003D2D46">
        <w:rPr>
          <w:rFonts w:ascii="Times New Roman" w:hAnsi="Times New Roman" w:cs="Times New Roman"/>
        </w:rPr>
        <w:t>have  they  received  their  pertussis/whooping  cough  (DTaP)  series?</w:t>
      </w:r>
      <w:r w:rsidRPr="003D2D46">
        <w:rPr>
          <w:rFonts w:ascii="Times New Roman" w:hAnsi="Times New Roman" w:cs="Times New Roman"/>
          <w:b/>
        </w:rPr>
        <w:t>:</w:t>
      </w:r>
      <w:r w:rsidRPr="003D2D46">
        <w:rPr>
          <w:rFonts w:ascii="Times New Roman" w:hAnsi="Times New Roman" w:cs="Times New Roman"/>
        </w:rPr>
        <w:t xml:space="preserve">              Yes            No  </w:t>
      </w:r>
    </w:p>
    <w:p w14:paraId="05A7B8EE" w14:textId="35912C13" w:rsidR="00972A83" w:rsidRPr="003D2D46" w:rsidRDefault="00972A83">
      <w:pPr>
        <w:rPr>
          <w:rFonts w:ascii="Times New Roman" w:hAnsi="Times New Roman" w:cs="Times New Roman"/>
          <w:color w:val="000000" w:themeColor="text1"/>
        </w:rPr>
      </w:pPr>
    </w:p>
    <w:p w14:paraId="211D7B02" w14:textId="77777777" w:rsidR="00724BC1" w:rsidRPr="003D2D46" w:rsidRDefault="00724BC1">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56F1BCC5" w14:textId="37EF6D33" w:rsidR="005C02FA" w:rsidRPr="003D2D46" w:rsidRDefault="005C02FA" w:rsidP="004F0890">
      <w:pPr>
        <w:pStyle w:val="Heading2"/>
        <w:spacing w:before="0" w:after="0" w:line="480" w:lineRule="auto"/>
        <w:rPr>
          <w:rFonts w:cs="Times New Roman"/>
          <w:b w:val="0"/>
          <w:szCs w:val="24"/>
        </w:rPr>
      </w:pPr>
      <w:bookmarkStart w:id="262" w:name="_Toc87797161"/>
      <w:r w:rsidRPr="003D2D46">
        <w:rPr>
          <w:rFonts w:cs="Times New Roman"/>
          <w:szCs w:val="24"/>
        </w:rPr>
        <w:lastRenderedPageBreak/>
        <w:t xml:space="preserve">Appendix </w:t>
      </w:r>
      <w:r w:rsidR="00254AEF" w:rsidRPr="003D2D46">
        <w:rPr>
          <w:rFonts w:cs="Times New Roman"/>
          <w:b w:val="0"/>
        </w:rPr>
        <w:t>B</w:t>
      </w:r>
      <w:r w:rsidRPr="003D2D46">
        <w:rPr>
          <w:rFonts w:cs="Times New Roman"/>
          <w:szCs w:val="24"/>
        </w:rPr>
        <w:t>: Interview Question</w:t>
      </w:r>
      <w:r w:rsidR="00896ED8" w:rsidRPr="003D2D46">
        <w:rPr>
          <w:rFonts w:cs="Times New Roman"/>
          <w:szCs w:val="24"/>
        </w:rPr>
        <w:t>naire</w:t>
      </w:r>
      <w:bookmarkEnd w:id="262"/>
    </w:p>
    <w:p w14:paraId="463BA389" w14:textId="77777777" w:rsidR="005C02FA" w:rsidRPr="003D2D46" w:rsidRDefault="005C02FA" w:rsidP="00C57B46">
      <w:pPr>
        <w:pStyle w:val="ListParagraph"/>
        <w:numPr>
          <w:ilvl w:val="0"/>
          <w:numId w:val="22"/>
        </w:numPr>
        <w:spacing w:line="480" w:lineRule="auto"/>
        <w:rPr>
          <w:rFonts w:ascii="Times New Roman" w:hAnsi="Times New Roman" w:cs="Times New Roman"/>
          <w:b/>
        </w:rPr>
      </w:pPr>
      <w:r w:rsidRPr="003D2D46">
        <w:rPr>
          <w:rFonts w:ascii="Times New Roman" w:eastAsia="Calibri" w:hAnsi="Times New Roman" w:cs="Times New Roman"/>
          <w:b/>
        </w:rPr>
        <w:t>Vaccine</w:t>
      </w:r>
      <w:r w:rsidRPr="003D2D46">
        <w:rPr>
          <w:rFonts w:ascii="Times New Roman" w:hAnsi="Times New Roman" w:cs="Times New Roman"/>
          <w:b/>
        </w:rPr>
        <w:t xml:space="preserve"> </w:t>
      </w:r>
      <w:r w:rsidRPr="003D2D46">
        <w:rPr>
          <w:rFonts w:ascii="Times New Roman" w:eastAsia="Calibri" w:hAnsi="Times New Roman" w:cs="Times New Roman"/>
          <w:b/>
        </w:rPr>
        <w:t>Attitudes</w:t>
      </w:r>
      <w:r w:rsidRPr="003D2D46">
        <w:rPr>
          <w:rFonts w:ascii="Times New Roman" w:hAnsi="Times New Roman" w:cs="Times New Roman"/>
          <w:b/>
        </w:rPr>
        <w:t xml:space="preserve"> </w:t>
      </w:r>
      <w:r w:rsidRPr="003D2D46">
        <w:rPr>
          <w:rFonts w:ascii="Times New Roman" w:eastAsia="Calibri" w:hAnsi="Times New Roman" w:cs="Times New Roman"/>
          <w:b/>
        </w:rPr>
        <w:t>and</w:t>
      </w:r>
      <w:r w:rsidRPr="003D2D46">
        <w:rPr>
          <w:rFonts w:ascii="Times New Roman" w:hAnsi="Times New Roman" w:cs="Times New Roman"/>
          <w:b/>
        </w:rPr>
        <w:t xml:space="preserve"> </w:t>
      </w:r>
      <w:r w:rsidRPr="003D2D46">
        <w:rPr>
          <w:rFonts w:ascii="Times New Roman" w:eastAsia="Calibri" w:hAnsi="Times New Roman" w:cs="Times New Roman"/>
          <w:b/>
        </w:rPr>
        <w:t>Knowledge</w:t>
      </w:r>
    </w:p>
    <w:p w14:paraId="78FD9802" w14:textId="777777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t>I</w:t>
      </w:r>
      <w:r w:rsidRPr="003D2D46">
        <w:rPr>
          <w:rFonts w:ascii="Times New Roman" w:hAnsi="Times New Roman" w:cs="Times New Roman"/>
        </w:rPr>
        <w:t>’</w:t>
      </w:r>
      <w:r w:rsidRPr="003D2D46">
        <w:rPr>
          <w:rFonts w:ascii="Times New Roman" w:eastAsia="Calibri" w:hAnsi="Times New Roman" w:cs="Times New Roman"/>
        </w:rPr>
        <w:t>d</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hear</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thoughts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general</w:t>
      </w:r>
      <w:r w:rsidRPr="003D2D46">
        <w:rPr>
          <w:rFonts w:ascii="Times New Roman" w:hAnsi="Times New Roman" w:cs="Times New Roman"/>
        </w:rPr>
        <w:t xml:space="preserve">. </w:t>
      </w:r>
    </w:p>
    <w:p w14:paraId="33BD6B61"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positive</w:t>
      </w:r>
      <w:r w:rsidRPr="003D2D46">
        <w:rPr>
          <w:rFonts w:ascii="Times New Roman" w:hAnsi="Times New Roman" w:cs="Times New Roman"/>
        </w:rPr>
        <w:t xml:space="preserve"> </w:t>
      </w:r>
      <w:r w:rsidRPr="003D2D46">
        <w:rPr>
          <w:rFonts w:ascii="Times New Roman" w:eastAsia="Calibri" w:hAnsi="Times New Roman" w:cs="Times New Roman"/>
        </w:rPr>
        <w:t>things</w:t>
      </w:r>
      <w:r w:rsidRPr="003D2D46">
        <w:rPr>
          <w:rFonts w:ascii="Times New Roman" w:hAnsi="Times New Roman" w:cs="Times New Roman"/>
        </w:rPr>
        <w:t xml:space="preserve"> </w:t>
      </w:r>
      <w:r w:rsidRPr="003D2D46">
        <w:rPr>
          <w:rFonts w:ascii="Times New Roman" w:eastAsia="Calibri" w:hAnsi="Times New Roman" w:cs="Times New Roman"/>
        </w:rPr>
        <w:t>come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mind</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w:t>
      </w:r>
    </w:p>
    <w:p w14:paraId="04CD3C63"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negative</w:t>
      </w:r>
      <w:r w:rsidRPr="003D2D46">
        <w:rPr>
          <w:rFonts w:ascii="Times New Roman" w:hAnsi="Times New Roman" w:cs="Times New Roman"/>
        </w:rPr>
        <w:t xml:space="preserve"> </w:t>
      </w:r>
      <w:r w:rsidRPr="003D2D46">
        <w:rPr>
          <w:rFonts w:ascii="Times New Roman" w:eastAsia="Calibri" w:hAnsi="Times New Roman" w:cs="Times New Roman"/>
        </w:rPr>
        <w:t>things</w:t>
      </w:r>
      <w:r w:rsidRPr="003D2D46">
        <w:rPr>
          <w:rFonts w:ascii="Times New Roman" w:hAnsi="Times New Roman" w:cs="Times New Roman"/>
        </w:rPr>
        <w:t xml:space="preserve"> </w:t>
      </w:r>
      <w:r w:rsidRPr="003D2D46">
        <w:rPr>
          <w:rFonts w:ascii="Times New Roman" w:eastAsia="Calibri" w:hAnsi="Times New Roman" w:cs="Times New Roman"/>
        </w:rPr>
        <w:t>come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mind</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w:t>
      </w:r>
    </w:p>
    <w:p w14:paraId="509254C4" w14:textId="77777777" w:rsidR="005C02FA" w:rsidRPr="003D2D46" w:rsidRDefault="005C02FA" w:rsidP="005C02FA">
      <w:pPr>
        <w:pStyle w:val="ListParagraph"/>
        <w:numPr>
          <w:ilvl w:val="1"/>
          <w:numId w:val="22"/>
        </w:numPr>
        <w:spacing w:line="480" w:lineRule="auto"/>
        <w:rPr>
          <w:rFonts w:ascii="Times New Roman" w:hAnsi="Times New Roman" w:cs="Times New Roman"/>
          <w:b/>
          <w:i/>
        </w:rPr>
      </w:pPr>
      <w:r w:rsidRPr="003D2D46">
        <w:rPr>
          <w:rFonts w:ascii="Times New Roman" w:eastAsia="Calibri" w:hAnsi="Times New Roman" w:cs="Times New Roman"/>
        </w:rPr>
        <w:t>Who</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talk</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18CAC2E4"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talk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talk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35A35695"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Who</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feel</w:t>
      </w:r>
      <w:r w:rsidRPr="003D2D46">
        <w:rPr>
          <w:rFonts w:ascii="Times New Roman" w:hAnsi="Times New Roman" w:cs="Times New Roman"/>
        </w:rPr>
        <w:t xml:space="preserve"> </w:t>
      </w:r>
      <w:r w:rsidRPr="003D2D46">
        <w:rPr>
          <w:rFonts w:ascii="Times New Roman" w:eastAsia="Calibri" w:hAnsi="Times New Roman" w:cs="Times New Roman"/>
        </w:rPr>
        <w:t>most</w:t>
      </w:r>
      <w:r w:rsidRPr="003D2D46">
        <w:rPr>
          <w:rFonts w:ascii="Times New Roman" w:hAnsi="Times New Roman" w:cs="Times New Roman"/>
        </w:rPr>
        <w:t xml:space="preserve"> </w:t>
      </w:r>
      <w:r w:rsidRPr="003D2D46">
        <w:rPr>
          <w:rFonts w:ascii="Times New Roman" w:eastAsia="Calibri" w:hAnsi="Times New Roman" w:cs="Times New Roman"/>
        </w:rPr>
        <w:t>comfortable</w:t>
      </w:r>
      <w:r w:rsidRPr="003D2D46">
        <w:rPr>
          <w:rFonts w:ascii="Times New Roman" w:hAnsi="Times New Roman" w:cs="Times New Roman"/>
        </w:rPr>
        <w:t xml:space="preserve"> </w:t>
      </w:r>
      <w:r w:rsidRPr="003D2D46">
        <w:rPr>
          <w:rFonts w:ascii="Times New Roman" w:eastAsia="Calibri" w:hAnsi="Times New Roman" w:cs="Times New Roman"/>
        </w:rPr>
        <w:t>talking</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563D5CFB" w14:textId="77777777" w:rsidR="005C02FA" w:rsidRPr="003D2D46" w:rsidRDefault="005C02FA" w:rsidP="005C02FA">
      <w:pPr>
        <w:pStyle w:val="ListParagraph"/>
        <w:numPr>
          <w:ilvl w:val="1"/>
          <w:numId w:val="22"/>
        </w:numPr>
        <w:spacing w:line="480" w:lineRule="auto"/>
        <w:rPr>
          <w:rFonts w:ascii="Times New Roman" w:hAnsi="Times New Roman" w:cs="Times New Roman"/>
          <w:b/>
          <w:i/>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describe</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family</w:t>
      </w:r>
      <w:r w:rsidRPr="003D2D46">
        <w:rPr>
          <w:rFonts w:ascii="Times New Roman" w:hAnsi="Times New Roman" w:cs="Times New Roman"/>
        </w:rPr>
        <w:t>’</w:t>
      </w:r>
      <w:r w:rsidRPr="003D2D46">
        <w:rPr>
          <w:rFonts w:ascii="Times New Roman" w:eastAsia="Calibri" w:hAnsi="Times New Roman" w:cs="Times New Roman"/>
        </w:rPr>
        <w:t>s</w:t>
      </w:r>
      <w:r w:rsidRPr="003D2D46">
        <w:rPr>
          <w:rFonts w:ascii="Times New Roman" w:hAnsi="Times New Roman" w:cs="Times New Roman"/>
        </w:rPr>
        <w:t xml:space="preserve"> </w:t>
      </w:r>
      <w:r w:rsidRPr="003D2D46">
        <w:rPr>
          <w:rFonts w:ascii="Times New Roman" w:eastAsia="Calibri" w:hAnsi="Times New Roman" w:cs="Times New Roman"/>
        </w:rPr>
        <w:t>attitudes</w:t>
      </w:r>
      <w:r w:rsidRPr="003D2D46">
        <w:rPr>
          <w:rFonts w:ascii="Times New Roman" w:hAnsi="Times New Roman" w:cs="Times New Roman"/>
        </w:rPr>
        <w:t xml:space="preserve"> </w:t>
      </w:r>
      <w:r w:rsidRPr="003D2D46">
        <w:rPr>
          <w:rFonts w:ascii="Times New Roman" w:eastAsia="Calibri" w:hAnsi="Times New Roman" w:cs="Times New Roman"/>
        </w:rPr>
        <w:t>towards</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p>
    <w:p w14:paraId="0B24F4A2"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they</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23C9B076"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concerns</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they</w:t>
      </w:r>
      <w:r w:rsidRPr="003D2D46">
        <w:rPr>
          <w:rFonts w:ascii="Times New Roman" w:hAnsi="Times New Roman" w:cs="Times New Roman"/>
        </w:rPr>
        <w:t xml:space="preserve"> </w:t>
      </w:r>
      <w:r w:rsidRPr="003D2D46">
        <w:rPr>
          <w:rFonts w:ascii="Times New Roman" w:eastAsia="Calibri" w:hAnsi="Times New Roman" w:cs="Times New Roman"/>
        </w:rPr>
        <w:t>expressed</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0B836EE5" w14:textId="77777777" w:rsidR="005C02FA" w:rsidRPr="003D2D46" w:rsidRDefault="005C02FA" w:rsidP="005C02FA">
      <w:pPr>
        <w:pStyle w:val="ListParagraph"/>
        <w:numPr>
          <w:ilvl w:val="1"/>
          <w:numId w:val="22"/>
        </w:numPr>
        <w:spacing w:line="480" w:lineRule="auto"/>
        <w:rPr>
          <w:rFonts w:ascii="Times New Roman" w:hAnsi="Times New Roman" w:cs="Times New Roman"/>
          <w:b/>
          <w:i/>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describe</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friends</w:t>
      </w:r>
      <w:r w:rsidRPr="003D2D46">
        <w:rPr>
          <w:rFonts w:ascii="Times New Roman" w:hAnsi="Times New Roman" w:cs="Times New Roman"/>
        </w:rPr>
        <w:t xml:space="preserve">’ </w:t>
      </w:r>
      <w:r w:rsidRPr="003D2D46">
        <w:rPr>
          <w:rFonts w:ascii="Times New Roman" w:eastAsia="Calibri" w:hAnsi="Times New Roman" w:cs="Times New Roman"/>
        </w:rPr>
        <w:t>attitudes</w:t>
      </w:r>
      <w:r w:rsidRPr="003D2D46">
        <w:rPr>
          <w:rFonts w:ascii="Times New Roman" w:hAnsi="Times New Roman" w:cs="Times New Roman"/>
        </w:rPr>
        <w:t xml:space="preserve"> </w:t>
      </w:r>
      <w:r w:rsidRPr="003D2D46">
        <w:rPr>
          <w:rFonts w:ascii="Times New Roman" w:eastAsia="Calibri" w:hAnsi="Times New Roman" w:cs="Times New Roman"/>
        </w:rPr>
        <w:t>towards</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p>
    <w:p w14:paraId="4C41FA5E"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they</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1A2EC450" w14:textId="77777777" w:rsidR="005C02FA" w:rsidRPr="003D2D46" w:rsidRDefault="005C02FA" w:rsidP="005C02FA">
      <w:pPr>
        <w:pStyle w:val="ListParagraph"/>
        <w:numPr>
          <w:ilvl w:val="2"/>
          <w:numId w:val="22"/>
        </w:numPr>
        <w:spacing w:line="480" w:lineRule="auto"/>
        <w:rPr>
          <w:rFonts w:ascii="Times New Roman" w:hAnsi="Times New Roman" w:cs="Times New Roman"/>
          <w:b/>
          <w:i/>
        </w:rPr>
      </w:pP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them</w:t>
      </w:r>
      <w:r w:rsidRPr="003D2D46">
        <w:rPr>
          <w:rFonts w:ascii="Times New Roman" w:hAnsi="Times New Roman" w:cs="Times New Roman"/>
        </w:rPr>
        <w:t xml:space="preserve"> </w:t>
      </w:r>
      <w:r w:rsidRPr="003D2D46">
        <w:rPr>
          <w:rFonts w:ascii="Times New Roman" w:eastAsia="Calibri" w:hAnsi="Times New Roman" w:cs="Times New Roman"/>
        </w:rPr>
        <w:t>ever</w:t>
      </w:r>
      <w:r w:rsidRPr="003D2D46">
        <w:rPr>
          <w:rFonts w:ascii="Times New Roman" w:hAnsi="Times New Roman" w:cs="Times New Roman"/>
        </w:rPr>
        <w:t xml:space="preserve"> </w:t>
      </w:r>
      <w:r w:rsidRPr="003D2D46">
        <w:rPr>
          <w:rFonts w:ascii="Times New Roman" w:eastAsia="Calibri" w:hAnsi="Times New Roman" w:cs="Times New Roman"/>
        </w:rPr>
        <w:t>expressed</w:t>
      </w:r>
      <w:r w:rsidRPr="003D2D46">
        <w:rPr>
          <w:rFonts w:ascii="Times New Roman" w:hAnsi="Times New Roman" w:cs="Times New Roman"/>
        </w:rPr>
        <w:t xml:space="preserve"> </w:t>
      </w:r>
      <w:r w:rsidRPr="003D2D46">
        <w:rPr>
          <w:rFonts w:ascii="Times New Roman" w:eastAsia="Calibri" w:hAnsi="Times New Roman" w:cs="Times New Roman"/>
        </w:rPr>
        <w:t>concern</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were</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0F2DF494" w14:textId="77777777" w:rsidR="005C02FA" w:rsidRPr="003D2D46" w:rsidRDefault="005C02FA" w:rsidP="005C02FA">
      <w:pPr>
        <w:pStyle w:val="ListParagraph"/>
        <w:numPr>
          <w:ilvl w:val="1"/>
          <w:numId w:val="22"/>
        </w:numPr>
        <w:spacing w:line="480" w:lineRule="auto"/>
        <w:rPr>
          <w:rFonts w:ascii="Times New Roman" w:hAnsi="Times New Roman" w:cs="Times New Roman"/>
          <w:b/>
          <w:i/>
        </w:rPr>
      </w:pP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information</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710C7820" w14:textId="77777777" w:rsidR="005C02FA" w:rsidRPr="003D2D46" w:rsidRDefault="005C02FA" w:rsidP="005C02FA">
      <w:pPr>
        <w:spacing w:line="480" w:lineRule="auto"/>
        <w:rPr>
          <w:rFonts w:ascii="Times New Roman" w:hAnsi="Times New Roman" w:cs="Times New Roman"/>
        </w:rPr>
      </w:pPr>
    </w:p>
    <w:p w14:paraId="066963D5" w14:textId="77777777" w:rsidR="005C02FA" w:rsidRPr="003D2D46" w:rsidRDefault="005C02FA" w:rsidP="005C02FA">
      <w:pPr>
        <w:pStyle w:val="ListParagraph"/>
        <w:numPr>
          <w:ilvl w:val="0"/>
          <w:numId w:val="22"/>
        </w:numPr>
        <w:spacing w:line="480" w:lineRule="auto"/>
        <w:rPr>
          <w:rFonts w:ascii="Times New Roman" w:hAnsi="Times New Roman" w:cs="Times New Roman"/>
          <w:b/>
        </w:rPr>
      </w:pPr>
      <w:r w:rsidRPr="003D2D46">
        <w:rPr>
          <w:rFonts w:ascii="Times New Roman" w:eastAsia="Calibri" w:hAnsi="Times New Roman" w:cs="Times New Roman"/>
          <w:b/>
        </w:rPr>
        <w:t>Vaccination</w:t>
      </w:r>
      <w:r w:rsidRPr="003D2D46">
        <w:rPr>
          <w:rFonts w:ascii="Times New Roman" w:hAnsi="Times New Roman" w:cs="Times New Roman"/>
          <w:b/>
        </w:rPr>
        <w:t xml:space="preserve"> </w:t>
      </w:r>
      <w:r w:rsidRPr="003D2D46">
        <w:rPr>
          <w:rFonts w:ascii="Times New Roman" w:eastAsia="Calibri" w:hAnsi="Times New Roman" w:cs="Times New Roman"/>
          <w:b/>
        </w:rPr>
        <w:t>Behavior</w:t>
      </w:r>
    </w:p>
    <w:p w14:paraId="14278DC4" w14:textId="77777777" w:rsidR="005C02FA" w:rsidRPr="003D2D46" w:rsidRDefault="005C02FA" w:rsidP="005C02FA">
      <w:pPr>
        <w:pStyle w:val="ListParagraph"/>
        <w:spacing w:line="480" w:lineRule="auto"/>
        <w:ind w:left="1080"/>
        <w:rPr>
          <w:rFonts w:ascii="Times New Roman" w:hAnsi="Times New Roman" w:cs="Times New Roman"/>
          <w:b/>
        </w:rPr>
      </w:pPr>
      <w:r w:rsidRPr="003D2D46">
        <w:rPr>
          <w:rFonts w:ascii="Times New Roman" w:hAnsi="Times New Roman" w:cs="Times New Roman"/>
          <w:b/>
        </w:rPr>
        <w:t>[</w:t>
      </w:r>
      <w:r w:rsidRPr="003D2D46">
        <w:rPr>
          <w:rFonts w:ascii="Times New Roman" w:eastAsia="Calibri" w:hAnsi="Times New Roman" w:cs="Times New Roman"/>
          <w:b/>
        </w:rPr>
        <w:t>Self</w:t>
      </w:r>
      <w:r w:rsidRPr="003D2D46">
        <w:rPr>
          <w:rFonts w:ascii="Times New Roman" w:hAnsi="Times New Roman" w:cs="Times New Roman"/>
          <w:b/>
        </w:rPr>
        <w:t>]</w:t>
      </w:r>
    </w:p>
    <w:p w14:paraId="4C765232" w14:textId="77777777" w:rsidR="005C02FA" w:rsidRPr="003D2D46" w:rsidRDefault="005C02FA" w:rsidP="005C02FA">
      <w:pPr>
        <w:pStyle w:val="ListParagraph"/>
        <w:numPr>
          <w:ilvl w:val="1"/>
          <w:numId w:val="22"/>
        </w:numPr>
        <w:spacing w:line="480" w:lineRule="auto"/>
        <w:rPr>
          <w:rFonts w:ascii="Times New Roman" w:hAnsi="Times New Roman" w:cs="Times New Roman"/>
          <w:i/>
        </w:rPr>
      </w:pPr>
      <w:r w:rsidRPr="003D2D46">
        <w:rPr>
          <w:rFonts w:ascii="Times New Roman" w:hAnsi="Times New Roman" w:cs="Times New Roman"/>
        </w:rPr>
        <w:t xml:space="preserve"> </w:t>
      </w:r>
      <w:r w:rsidRPr="003D2D46">
        <w:rPr>
          <w:rFonts w:ascii="Times New Roman" w:eastAsia="Calibri" w:hAnsi="Times New Roman" w:cs="Times New Roman"/>
        </w:rPr>
        <w:t>From</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survey</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looks</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at</w:t>
      </w:r>
      <w:r w:rsidRPr="003D2D46">
        <w:rPr>
          <w:rFonts w:ascii="Times New Roman" w:hAnsi="Times New Roman" w:cs="Times New Roman"/>
        </w:rPr>
        <w:t xml:space="preserve"> </w:t>
      </w:r>
      <w:r w:rsidRPr="003D2D46">
        <w:rPr>
          <w:rFonts w:ascii="Times New Roman" w:eastAsia="Calibri" w:hAnsi="Times New Roman" w:cs="Times New Roman"/>
        </w:rPr>
        <w:t>some</w:t>
      </w:r>
      <w:r w:rsidRPr="003D2D46">
        <w:rPr>
          <w:rFonts w:ascii="Times New Roman" w:hAnsi="Times New Roman" w:cs="Times New Roman"/>
        </w:rPr>
        <w:t xml:space="preserve"> </w:t>
      </w:r>
      <w:r w:rsidRPr="003D2D46">
        <w:rPr>
          <w:rFonts w:ascii="Times New Roman" w:eastAsia="Calibri" w:hAnsi="Times New Roman" w:cs="Times New Roman"/>
        </w:rPr>
        <w:t>point</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life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received</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r w:rsidRPr="003D2D46">
        <w:rPr>
          <w:rFonts w:ascii="Times New Roman" w:eastAsia="Calibri" w:hAnsi="Times New Roman" w:cs="Times New Roman"/>
        </w:rPr>
        <w:t>Can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describe</w:t>
      </w:r>
      <w:r w:rsidRPr="003D2D46">
        <w:rPr>
          <w:rFonts w:ascii="Times New Roman" w:hAnsi="Times New Roman" w:cs="Times New Roman"/>
        </w:rPr>
        <w:t xml:space="preserve"> </w:t>
      </w:r>
      <w:r w:rsidRPr="003D2D46">
        <w:rPr>
          <w:rFonts w:ascii="Times New Roman" w:eastAsia="Calibri" w:hAnsi="Times New Roman" w:cs="Times New Roman"/>
        </w:rPr>
        <w:t>one</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w:t>
      </w:r>
      <w:r w:rsidRPr="003D2D46">
        <w:rPr>
          <w:rFonts w:ascii="Times New Roman" w:eastAsia="Calibri" w:hAnsi="Times New Roman" w:cs="Times New Roman"/>
        </w:rPr>
        <w:t>ve</w:t>
      </w:r>
      <w:r w:rsidRPr="003D2D46">
        <w:rPr>
          <w:rFonts w:ascii="Times New Roman" w:hAnsi="Times New Roman" w:cs="Times New Roman"/>
        </w:rPr>
        <w:t xml:space="preserve"> </w:t>
      </w:r>
      <w:r w:rsidRPr="003D2D46">
        <w:rPr>
          <w:rFonts w:ascii="Times New Roman" w:eastAsia="Calibri" w:hAnsi="Times New Roman" w:cs="Times New Roman"/>
        </w:rPr>
        <w:t>received</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w:t>
      </w:r>
    </w:p>
    <w:p w14:paraId="723C38A1"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lastRenderedPageBreak/>
        <w:t>Tell</w:t>
      </w:r>
      <w:r w:rsidRPr="003D2D46">
        <w:rPr>
          <w:rFonts w:ascii="Times New Roman" w:hAnsi="Times New Roman" w:cs="Times New Roman"/>
        </w:rPr>
        <w:t xml:space="preserve"> </w:t>
      </w:r>
      <w:r w:rsidRPr="003D2D46">
        <w:rPr>
          <w:rFonts w:ascii="Times New Roman" w:eastAsia="Calibri" w:hAnsi="Times New Roman" w:cs="Times New Roman"/>
        </w:rPr>
        <w:t>me</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time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purposefully</w:t>
      </w:r>
      <w:r w:rsidRPr="003D2D46">
        <w:rPr>
          <w:rFonts w:ascii="Times New Roman" w:hAnsi="Times New Roman" w:cs="Times New Roman"/>
        </w:rPr>
        <w:t xml:space="preserve"> </w:t>
      </w:r>
      <w:r w:rsidRPr="003D2D46">
        <w:rPr>
          <w:rFonts w:ascii="Times New Roman" w:eastAsia="Calibri" w:hAnsi="Times New Roman" w:cs="Times New Roman"/>
        </w:rPr>
        <w:t>sought</w:t>
      </w:r>
      <w:r w:rsidRPr="003D2D46">
        <w:rPr>
          <w:rFonts w:ascii="Times New Roman" w:hAnsi="Times New Roman" w:cs="Times New Roman"/>
        </w:rPr>
        <w:t xml:space="preserve"> </w:t>
      </w:r>
      <w:r w:rsidRPr="003D2D46">
        <w:rPr>
          <w:rFonts w:ascii="Times New Roman" w:eastAsia="Calibri" w:hAnsi="Times New Roman" w:cs="Times New Roman"/>
        </w:rPr>
        <w:t>out</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w:t>
      </w:r>
      <w:r w:rsidRPr="003D2D46">
        <w:rPr>
          <w:rFonts w:ascii="Times New Roman" w:eastAsia="Calibri" w:hAnsi="Times New Roman" w:cs="Times New Roman"/>
        </w:rPr>
        <w:t>s</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example</w:t>
      </w:r>
      <w:r w:rsidRPr="003D2D46">
        <w:rPr>
          <w:rFonts w:ascii="Times New Roman" w:hAnsi="Times New Roman" w:cs="Times New Roman"/>
        </w:rPr>
        <w:t xml:space="preserve">: </w:t>
      </w:r>
      <w:r w:rsidRPr="003D2D46">
        <w:rPr>
          <w:rFonts w:ascii="Times New Roman" w:eastAsia="Calibri" w:hAnsi="Times New Roman" w:cs="Times New Roman"/>
        </w:rPr>
        <w:t>making</w:t>
      </w:r>
      <w:r w:rsidRPr="003D2D46">
        <w:rPr>
          <w:rFonts w:ascii="Times New Roman" w:hAnsi="Times New Roman" w:cs="Times New Roman"/>
        </w:rPr>
        <w:t xml:space="preserve"> </w:t>
      </w:r>
      <w:r w:rsidRPr="003D2D46">
        <w:rPr>
          <w:rFonts w:ascii="Times New Roman" w:eastAsia="Calibri" w:hAnsi="Times New Roman" w:cs="Times New Roman"/>
        </w:rPr>
        <w:t>an</w:t>
      </w:r>
      <w:r w:rsidRPr="003D2D46">
        <w:rPr>
          <w:rFonts w:ascii="Times New Roman" w:hAnsi="Times New Roman" w:cs="Times New Roman"/>
        </w:rPr>
        <w:t xml:space="preserve"> </w:t>
      </w:r>
      <w:r w:rsidRPr="003D2D46">
        <w:rPr>
          <w:rFonts w:ascii="Times New Roman" w:eastAsia="Calibri" w:hAnsi="Times New Roman" w:cs="Times New Roman"/>
        </w:rPr>
        <w:t>appointment</w:t>
      </w:r>
      <w:r w:rsidRPr="003D2D46">
        <w:rPr>
          <w:rFonts w:ascii="Times New Roman" w:hAnsi="Times New Roman" w:cs="Times New Roman"/>
        </w:rPr>
        <w:t xml:space="preserve"> </w:t>
      </w:r>
      <w:r w:rsidRPr="003D2D46">
        <w:rPr>
          <w:rFonts w:ascii="Times New Roman" w:eastAsia="Calibri" w:hAnsi="Times New Roman" w:cs="Times New Roman"/>
        </w:rPr>
        <w:t>specifically</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one</w:t>
      </w:r>
      <w:r w:rsidRPr="003D2D46">
        <w:rPr>
          <w:rFonts w:ascii="Times New Roman" w:hAnsi="Times New Roman" w:cs="Times New Roman"/>
        </w:rPr>
        <w:t xml:space="preserve">? </w:t>
      </w:r>
    </w:p>
    <w:p w14:paraId="0B556AFB"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i/>
        </w:rPr>
        <w:t>Prompts</w:t>
      </w:r>
      <w:r w:rsidRPr="003D2D46">
        <w:rPr>
          <w:rFonts w:ascii="Times New Roman" w:hAnsi="Times New Roman" w:cs="Times New Roman"/>
          <w:i/>
        </w:rPr>
        <w:t xml:space="preserve"> </w:t>
      </w:r>
      <w:r w:rsidRPr="003D2D46">
        <w:rPr>
          <w:rFonts w:ascii="Times New Roman" w:eastAsia="Calibri" w:hAnsi="Times New Roman" w:cs="Times New Roman"/>
          <w:i/>
        </w:rPr>
        <w:t>and</w:t>
      </w:r>
      <w:r w:rsidRPr="003D2D46">
        <w:rPr>
          <w:rFonts w:ascii="Times New Roman" w:hAnsi="Times New Roman" w:cs="Times New Roman"/>
          <w:i/>
        </w:rPr>
        <w:t xml:space="preserve"> </w:t>
      </w:r>
      <w:r w:rsidRPr="003D2D46">
        <w:rPr>
          <w:rFonts w:ascii="Times New Roman" w:eastAsia="Calibri" w:hAnsi="Times New Roman" w:cs="Times New Roman"/>
          <w:i/>
        </w:rPr>
        <w:t>follow</w:t>
      </w:r>
      <w:r w:rsidRPr="003D2D46">
        <w:rPr>
          <w:rFonts w:ascii="Times New Roman" w:hAnsi="Times New Roman" w:cs="Times New Roman"/>
          <w:i/>
        </w:rPr>
        <w:t xml:space="preserve"> </w:t>
      </w:r>
      <w:r w:rsidRPr="003D2D46">
        <w:rPr>
          <w:rFonts w:ascii="Times New Roman" w:eastAsia="Calibri" w:hAnsi="Times New Roman" w:cs="Times New Roman"/>
          <w:i/>
        </w:rPr>
        <w:t>ups</w:t>
      </w:r>
      <w:r w:rsidRPr="003D2D46">
        <w:rPr>
          <w:rFonts w:ascii="Times New Roman" w:hAnsi="Times New Roman" w:cs="Times New Roman"/>
        </w:rPr>
        <w:t>:</w:t>
      </w:r>
    </w:p>
    <w:p w14:paraId="66F5E7A3" w14:textId="77777777" w:rsidR="005C02FA" w:rsidRPr="003D2D46" w:rsidRDefault="005C02FA" w:rsidP="005C02FA">
      <w:pPr>
        <w:pStyle w:val="ListParagraph"/>
        <w:numPr>
          <w:ilvl w:val="3"/>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were</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reasons</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p>
    <w:p w14:paraId="02C44ADC" w14:textId="77777777" w:rsidR="005C02FA" w:rsidRPr="003D2D46" w:rsidRDefault="005C02FA" w:rsidP="005C02FA">
      <w:pPr>
        <w:pStyle w:val="ListParagraph"/>
        <w:numPr>
          <w:ilvl w:val="3"/>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made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decide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schedule</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appointment</w:t>
      </w:r>
      <w:r w:rsidRPr="003D2D46">
        <w:rPr>
          <w:rFonts w:ascii="Times New Roman" w:hAnsi="Times New Roman" w:cs="Times New Roman"/>
        </w:rPr>
        <w:t xml:space="preserve">? </w:t>
      </w:r>
    </w:p>
    <w:p w14:paraId="3F7889F4" w14:textId="77777777" w:rsidR="005C02FA" w:rsidRPr="003D2D46" w:rsidRDefault="005C02FA" w:rsidP="005C02FA">
      <w:pPr>
        <w:pStyle w:val="ListParagraph"/>
        <w:numPr>
          <w:ilvl w:val="3"/>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if</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other</w:t>
      </w:r>
      <w:r w:rsidRPr="003D2D46">
        <w:rPr>
          <w:rFonts w:ascii="Times New Roman" w:hAnsi="Times New Roman" w:cs="Times New Roman"/>
        </w:rPr>
        <w:t xml:space="preserve"> </w:t>
      </w:r>
      <w:r w:rsidRPr="003D2D46">
        <w:rPr>
          <w:rFonts w:ascii="Times New Roman" w:eastAsia="Calibri" w:hAnsi="Times New Roman" w:cs="Times New Roman"/>
        </w:rPr>
        <w:t>options</w:t>
      </w:r>
      <w:r w:rsidRPr="003D2D46">
        <w:rPr>
          <w:rFonts w:ascii="Times New Roman" w:hAnsi="Times New Roman" w:cs="Times New Roman"/>
        </w:rPr>
        <w:t xml:space="preserve"> </w:t>
      </w:r>
      <w:r w:rsidRPr="003D2D46">
        <w:rPr>
          <w:rFonts w:ascii="Times New Roman" w:eastAsia="Calibri" w:hAnsi="Times New Roman" w:cs="Times New Roman"/>
        </w:rPr>
        <w:t>did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consider</w:t>
      </w:r>
      <w:r w:rsidRPr="003D2D46">
        <w:rPr>
          <w:rFonts w:ascii="Times New Roman" w:hAnsi="Times New Roman" w:cs="Times New Roman"/>
        </w:rPr>
        <w:t xml:space="preserve"> </w:t>
      </w:r>
      <w:r w:rsidRPr="003D2D46">
        <w:rPr>
          <w:rFonts w:ascii="Times New Roman" w:eastAsia="Calibri" w:hAnsi="Times New Roman" w:cs="Times New Roman"/>
        </w:rPr>
        <w:t>instead</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 xml:space="preserve">? </w:t>
      </w:r>
    </w:p>
    <w:p w14:paraId="5852EFFE"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find</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easiest</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w:t>
      </w:r>
    </w:p>
    <w:p w14:paraId="00CDBD91"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this</w:t>
      </w:r>
      <w:r w:rsidRPr="003D2D46">
        <w:rPr>
          <w:rFonts w:ascii="Times New Roman" w:hAnsi="Times New Roman" w:cs="Times New Roman"/>
        </w:rPr>
        <w:t xml:space="preserve"> </w:t>
      </w:r>
      <w:r w:rsidRPr="003D2D46">
        <w:rPr>
          <w:rFonts w:ascii="Times New Roman" w:eastAsia="Calibri" w:hAnsi="Times New Roman" w:cs="Times New Roman"/>
        </w:rPr>
        <w:t>place</w:t>
      </w:r>
      <w:r w:rsidRPr="003D2D46">
        <w:rPr>
          <w:rFonts w:ascii="Times New Roman" w:hAnsi="Times New Roman" w:cs="Times New Roman"/>
        </w:rPr>
        <w:t xml:space="preserve"> </w:t>
      </w:r>
      <w:r w:rsidRPr="003D2D46">
        <w:rPr>
          <w:rFonts w:ascii="Times New Roman" w:eastAsia="Calibri" w:hAnsi="Times New Roman" w:cs="Times New Roman"/>
        </w:rPr>
        <w:t>makes</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easier</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w:t>
      </w:r>
    </w:p>
    <w:p w14:paraId="6FEE126E"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there</w:t>
      </w:r>
      <w:r w:rsidRPr="003D2D46">
        <w:rPr>
          <w:rFonts w:ascii="Times New Roman" w:hAnsi="Times New Roman" w:cs="Times New Roman"/>
        </w:rPr>
        <w:t xml:space="preserve"> </w:t>
      </w:r>
      <w:r w:rsidRPr="003D2D46">
        <w:rPr>
          <w:rFonts w:ascii="Times New Roman" w:eastAsia="Calibri" w:hAnsi="Times New Roman" w:cs="Times New Roman"/>
        </w:rPr>
        <w:t>anything</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change</w:t>
      </w:r>
      <w:r w:rsidRPr="003D2D46">
        <w:rPr>
          <w:rFonts w:ascii="Times New Roman" w:hAnsi="Times New Roman" w:cs="Times New Roman"/>
        </w:rPr>
        <w:t>?</w:t>
      </w:r>
    </w:p>
    <w:p w14:paraId="1B45ECFE"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kind</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unpleasant</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had</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w:t>
      </w:r>
    </w:p>
    <w:p w14:paraId="64A181FF"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caused</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unpleasantness</w:t>
      </w:r>
      <w:r w:rsidRPr="003D2D46">
        <w:rPr>
          <w:rFonts w:ascii="Times New Roman" w:hAnsi="Times New Roman" w:cs="Times New Roman"/>
        </w:rPr>
        <w:t xml:space="preserve">? </w:t>
      </w:r>
    </w:p>
    <w:p w14:paraId="2304F68B"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negative</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one</w:t>
      </w:r>
      <w:r w:rsidRPr="003D2D46">
        <w:rPr>
          <w:rFonts w:ascii="Times New Roman" w:hAnsi="Times New Roman" w:cs="Times New Roman"/>
        </w:rPr>
        <w:t xml:space="preserve"> </w:t>
      </w:r>
      <w:r w:rsidRPr="003D2D46">
        <w:rPr>
          <w:rFonts w:ascii="Times New Roman" w:eastAsia="Calibri" w:hAnsi="Times New Roman" w:cs="Times New Roman"/>
        </w:rPr>
        <w:t>influenced</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thoughts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future</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w:t>
      </w:r>
    </w:p>
    <w:p w14:paraId="10730359"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feel</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going</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doctor</w:t>
      </w:r>
      <w:r w:rsidRPr="003D2D46">
        <w:rPr>
          <w:rFonts w:ascii="Times New Roman" w:hAnsi="Times New Roman" w:cs="Times New Roman"/>
        </w:rPr>
        <w:t xml:space="preserve"> </w:t>
      </w:r>
      <w:r w:rsidRPr="003D2D46">
        <w:rPr>
          <w:rFonts w:ascii="Times New Roman" w:eastAsia="Calibri" w:hAnsi="Times New Roman" w:cs="Times New Roman"/>
        </w:rPr>
        <w:t>or</w:t>
      </w:r>
      <w:r w:rsidRPr="003D2D46">
        <w:rPr>
          <w:rFonts w:ascii="Times New Roman" w:hAnsi="Times New Roman" w:cs="Times New Roman"/>
        </w:rPr>
        <w:t xml:space="preserve"> </w:t>
      </w:r>
      <w:r w:rsidRPr="003D2D46">
        <w:rPr>
          <w:rFonts w:ascii="Times New Roman" w:eastAsia="Calibri" w:hAnsi="Times New Roman" w:cs="Times New Roman"/>
        </w:rPr>
        <w:t>talking</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doctors</w:t>
      </w:r>
      <w:r w:rsidRPr="003D2D46">
        <w:rPr>
          <w:rFonts w:ascii="Times New Roman" w:hAnsi="Times New Roman" w:cs="Times New Roman"/>
        </w:rPr>
        <w:t>?</w:t>
      </w:r>
    </w:p>
    <w:p w14:paraId="2754206F"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has</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doctor</w:t>
      </w:r>
      <w:r w:rsidRPr="003D2D46">
        <w:rPr>
          <w:rFonts w:ascii="Times New Roman" w:hAnsi="Times New Roman" w:cs="Times New Roman"/>
        </w:rPr>
        <w:t xml:space="preserve"> </w:t>
      </w:r>
      <w:r w:rsidRPr="003D2D46">
        <w:rPr>
          <w:rFonts w:ascii="Times New Roman" w:eastAsia="Calibri" w:hAnsi="Times New Roman" w:cs="Times New Roman"/>
        </w:rPr>
        <w:t>impacted</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r w:rsidRPr="003D2D46">
        <w:rPr>
          <w:rFonts w:ascii="Times New Roman" w:eastAsia="Calibri" w:hAnsi="Times New Roman" w:cs="Times New Roman"/>
        </w:rPr>
        <w:t>behavior</w:t>
      </w:r>
      <w:r w:rsidRPr="003D2D46">
        <w:rPr>
          <w:rFonts w:ascii="Times New Roman" w:hAnsi="Times New Roman" w:cs="Times New Roman"/>
        </w:rPr>
        <w:t xml:space="preserve">? </w:t>
      </w:r>
    </w:p>
    <w:p w14:paraId="616D1784"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Tell</w:t>
      </w:r>
      <w:r w:rsidRPr="003D2D46">
        <w:rPr>
          <w:rFonts w:ascii="Times New Roman" w:hAnsi="Times New Roman" w:cs="Times New Roman"/>
        </w:rPr>
        <w:t xml:space="preserve"> </w:t>
      </w:r>
      <w:r w:rsidRPr="003D2D46">
        <w:rPr>
          <w:rFonts w:ascii="Times New Roman" w:eastAsia="Calibri" w:hAnsi="Times New Roman" w:cs="Times New Roman"/>
        </w:rPr>
        <w:t>me</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thought</w:t>
      </w:r>
      <w:r w:rsidRPr="003D2D46">
        <w:rPr>
          <w:rFonts w:ascii="Times New Roman" w:hAnsi="Times New Roman" w:cs="Times New Roman"/>
        </w:rPr>
        <w:t xml:space="preserve"> </w:t>
      </w:r>
      <w:r w:rsidRPr="003D2D46">
        <w:rPr>
          <w:rFonts w:ascii="Times New Roman" w:eastAsia="Calibri" w:hAnsi="Times New Roman" w:cs="Times New Roman"/>
        </w:rPr>
        <w:t>process</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hearing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physicians</w:t>
      </w:r>
      <w:r w:rsidRPr="003D2D46">
        <w:rPr>
          <w:rFonts w:ascii="Times New Roman" w:hAnsi="Times New Roman" w:cs="Times New Roman"/>
        </w:rPr>
        <w:t xml:space="preserve">’ </w:t>
      </w:r>
      <w:r w:rsidRPr="003D2D46">
        <w:rPr>
          <w:rFonts w:ascii="Times New Roman" w:eastAsia="Calibri" w:hAnsi="Times New Roman" w:cs="Times New Roman"/>
        </w:rPr>
        <w:t>recommendation</w:t>
      </w:r>
      <w:r w:rsidRPr="003D2D46">
        <w:rPr>
          <w:rFonts w:ascii="Times New Roman" w:hAnsi="Times New Roman" w:cs="Times New Roman"/>
        </w:rPr>
        <w:t>.</w:t>
      </w:r>
    </w:p>
    <w:p w14:paraId="312C10F3" w14:textId="77777777" w:rsidR="005C02FA" w:rsidRPr="003D2D46" w:rsidRDefault="005C02FA" w:rsidP="005C02FA">
      <w:pPr>
        <w:spacing w:line="480" w:lineRule="auto"/>
        <w:rPr>
          <w:rFonts w:ascii="Times New Roman" w:hAnsi="Times New Roman" w:cs="Times New Roman"/>
        </w:rPr>
      </w:pPr>
    </w:p>
    <w:p w14:paraId="029306A2" w14:textId="77777777" w:rsidR="005C02FA" w:rsidRPr="003D2D46" w:rsidRDefault="005C02FA" w:rsidP="005C02FA">
      <w:pPr>
        <w:spacing w:line="480" w:lineRule="auto"/>
        <w:rPr>
          <w:rFonts w:ascii="Times New Roman" w:hAnsi="Times New Roman" w:cs="Times New Roman"/>
        </w:rPr>
      </w:pPr>
      <w:r w:rsidRPr="003D2D46">
        <w:rPr>
          <w:rFonts w:ascii="Times New Roman" w:eastAsia="Calibri" w:hAnsi="Times New Roman" w:cs="Times New Roman"/>
        </w:rPr>
        <w:t>IF</w:t>
      </w:r>
      <w:r w:rsidRPr="003D2D46">
        <w:rPr>
          <w:rFonts w:ascii="Times New Roman" w:hAnsi="Times New Roman" w:cs="Times New Roman"/>
        </w:rPr>
        <w:t xml:space="preserve"> “</w:t>
      </w:r>
      <w:r w:rsidRPr="003D2D46">
        <w:rPr>
          <w:rFonts w:ascii="Times New Roman" w:eastAsia="Calibri" w:hAnsi="Times New Roman" w:cs="Times New Roman"/>
        </w:rPr>
        <w:t>NO</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HAVING</w:t>
      </w:r>
      <w:r w:rsidRPr="003D2D46">
        <w:rPr>
          <w:rFonts w:ascii="Times New Roman" w:hAnsi="Times New Roman" w:cs="Times New Roman"/>
        </w:rPr>
        <w:t xml:space="preserve"> </w:t>
      </w:r>
      <w:r w:rsidRPr="003D2D46">
        <w:rPr>
          <w:rFonts w:ascii="Times New Roman" w:eastAsia="Calibri" w:hAnsi="Times New Roman" w:cs="Times New Roman"/>
        </w:rPr>
        <w:t>CHILDREN</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QUESTIONNAIRE</w:t>
      </w:r>
      <w:r w:rsidRPr="003D2D46">
        <w:rPr>
          <w:rFonts w:ascii="Times New Roman" w:hAnsi="Times New Roman" w:cs="Times New Roman"/>
        </w:rPr>
        <w:t xml:space="preserve">, </w:t>
      </w:r>
      <w:r w:rsidRPr="003D2D46">
        <w:rPr>
          <w:rFonts w:ascii="Times New Roman" w:eastAsia="Calibri" w:hAnsi="Times New Roman" w:cs="Times New Roman"/>
        </w:rPr>
        <w:t>SKIP</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III</w:t>
      </w:r>
      <w:r w:rsidRPr="003D2D46">
        <w:rPr>
          <w:rFonts w:ascii="Times New Roman" w:hAnsi="Times New Roman" w:cs="Times New Roman"/>
        </w:rPr>
        <w:t xml:space="preserve">. </w:t>
      </w:r>
      <w:r w:rsidRPr="003D2D46">
        <w:rPr>
          <w:rFonts w:ascii="Times New Roman" w:eastAsia="Calibri" w:hAnsi="Times New Roman" w:cs="Times New Roman"/>
        </w:rPr>
        <w:t>PERTUSSIS</w:t>
      </w:r>
      <w:r w:rsidRPr="003D2D46">
        <w:rPr>
          <w:rFonts w:ascii="Times New Roman" w:hAnsi="Times New Roman" w:cs="Times New Roman"/>
        </w:rPr>
        <w:t xml:space="preserve"> </w:t>
      </w:r>
      <w:r w:rsidRPr="003D2D46">
        <w:rPr>
          <w:rFonts w:ascii="Times New Roman" w:eastAsia="Calibri" w:hAnsi="Times New Roman" w:cs="Times New Roman"/>
        </w:rPr>
        <w:t>KNOWLEDGE</w:t>
      </w:r>
      <w:r w:rsidRPr="003D2D46">
        <w:rPr>
          <w:rFonts w:ascii="Times New Roman" w:hAnsi="Times New Roman" w:cs="Times New Roman"/>
        </w:rPr>
        <w:t xml:space="preserve">. </w:t>
      </w:r>
    </w:p>
    <w:p w14:paraId="5D722BD9" w14:textId="77777777" w:rsidR="005C02FA" w:rsidRPr="003D2D46" w:rsidRDefault="005C02FA" w:rsidP="005C02FA">
      <w:pPr>
        <w:pStyle w:val="ListParagraph"/>
        <w:spacing w:line="480" w:lineRule="auto"/>
        <w:ind w:left="0"/>
        <w:rPr>
          <w:rFonts w:ascii="Times New Roman" w:hAnsi="Times New Roman" w:cs="Times New Roman"/>
        </w:rPr>
      </w:pPr>
    </w:p>
    <w:p w14:paraId="00090A1E" w14:textId="77777777" w:rsidR="005C02FA" w:rsidRPr="003D2D46" w:rsidRDefault="005C02FA" w:rsidP="005C02FA">
      <w:pPr>
        <w:spacing w:line="480" w:lineRule="auto"/>
        <w:rPr>
          <w:rFonts w:ascii="Times New Roman" w:hAnsi="Times New Roman" w:cs="Times New Roman"/>
        </w:rPr>
      </w:pPr>
      <w:r w:rsidRPr="003D2D46">
        <w:rPr>
          <w:rFonts w:ascii="Times New Roman" w:eastAsia="Calibri" w:hAnsi="Times New Roman" w:cs="Times New Roman"/>
        </w:rPr>
        <w:lastRenderedPageBreak/>
        <w:t>IF</w:t>
      </w:r>
      <w:r w:rsidRPr="003D2D46">
        <w:rPr>
          <w:rFonts w:ascii="Times New Roman" w:hAnsi="Times New Roman" w:cs="Times New Roman"/>
        </w:rPr>
        <w:t xml:space="preserve"> “</w:t>
      </w:r>
      <w:r w:rsidRPr="003D2D46">
        <w:rPr>
          <w:rFonts w:ascii="Times New Roman" w:eastAsia="Calibri" w:hAnsi="Times New Roman" w:cs="Times New Roman"/>
        </w:rPr>
        <w:t>YES</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VACCINATING</w:t>
      </w:r>
      <w:r w:rsidRPr="003D2D46">
        <w:rPr>
          <w:rFonts w:ascii="Times New Roman" w:hAnsi="Times New Roman" w:cs="Times New Roman"/>
        </w:rPr>
        <w:t xml:space="preserve"> </w:t>
      </w:r>
      <w:r w:rsidRPr="003D2D46">
        <w:rPr>
          <w:rFonts w:ascii="Times New Roman" w:eastAsia="Calibri" w:hAnsi="Times New Roman" w:cs="Times New Roman"/>
        </w:rPr>
        <w:t>THEIR</w:t>
      </w:r>
      <w:r w:rsidRPr="003D2D46">
        <w:rPr>
          <w:rFonts w:ascii="Times New Roman" w:hAnsi="Times New Roman" w:cs="Times New Roman"/>
        </w:rPr>
        <w:t xml:space="preserve"> </w:t>
      </w:r>
      <w:r w:rsidRPr="003D2D46">
        <w:rPr>
          <w:rFonts w:ascii="Times New Roman" w:eastAsia="Calibri" w:hAnsi="Times New Roman" w:cs="Times New Roman"/>
        </w:rPr>
        <w:t>CHILDREN</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QUESTIONNAIRE</w:t>
      </w:r>
      <w:r w:rsidRPr="003D2D46">
        <w:rPr>
          <w:rFonts w:ascii="Times New Roman" w:hAnsi="Times New Roman" w:cs="Times New Roman"/>
        </w:rPr>
        <w:t xml:space="preserve">: </w:t>
      </w:r>
    </w:p>
    <w:p w14:paraId="249AD712" w14:textId="77777777" w:rsidR="005C02FA" w:rsidRPr="003D2D46" w:rsidRDefault="005C02FA" w:rsidP="005C02FA">
      <w:pPr>
        <w:spacing w:line="480" w:lineRule="auto"/>
        <w:ind w:left="1440"/>
        <w:rPr>
          <w:rFonts w:ascii="Times New Roman" w:hAnsi="Times New Roman" w:cs="Times New Roman"/>
          <w:b/>
        </w:rPr>
      </w:pPr>
      <w:r w:rsidRPr="003D2D46">
        <w:rPr>
          <w:rFonts w:ascii="Times New Roman" w:hAnsi="Times New Roman" w:cs="Times New Roman"/>
          <w:b/>
        </w:rPr>
        <w:t>[</w:t>
      </w:r>
      <w:r w:rsidRPr="003D2D46">
        <w:rPr>
          <w:rFonts w:ascii="Times New Roman" w:eastAsia="Calibri" w:hAnsi="Times New Roman" w:cs="Times New Roman"/>
          <w:b/>
        </w:rPr>
        <w:t>Child</w:t>
      </w:r>
      <w:r w:rsidRPr="003D2D46">
        <w:rPr>
          <w:rFonts w:ascii="Times New Roman" w:hAnsi="Times New Roman" w:cs="Times New Roman"/>
          <w:b/>
        </w:rPr>
        <w:t>]</w:t>
      </w:r>
    </w:p>
    <w:p w14:paraId="63399BD6"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filled</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questionnaire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I</w:t>
      </w:r>
      <w:r w:rsidRPr="003D2D46">
        <w:rPr>
          <w:rFonts w:ascii="Times New Roman" w:hAnsi="Times New Roman" w:cs="Times New Roman"/>
        </w:rPr>
        <w:t>’</w:t>
      </w:r>
      <w:r w:rsidRPr="003D2D46">
        <w:rPr>
          <w:rFonts w:ascii="Times New Roman" w:eastAsia="Calibri" w:hAnsi="Times New Roman" w:cs="Times New Roman"/>
        </w:rPr>
        <w:t>d</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hear</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p>
    <w:p w14:paraId="341C59D4"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Why</w:t>
      </w:r>
      <w:r w:rsidRPr="003D2D46">
        <w:rPr>
          <w:rFonts w:ascii="Times New Roman" w:hAnsi="Times New Roman" w:cs="Times New Roman"/>
        </w:rPr>
        <w:t xml:space="preserve"> </w:t>
      </w:r>
      <w:r w:rsidRPr="003D2D46">
        <w:rPr>
          <w:rFonts w:ascii="Times New Roman" w:eastAsia="Calibri" w:hAnsi="Times New Roman" w:cs="Times New Roman"/>
        </w:rPr>
        <w:t>did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w:t>
      </w:r>
    </w:p>
    <w:p w14:paraId="3EAEE1DF"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bringing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p>
    <w:p w14:paraId="561C0945"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find</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easiest</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p>
    <w:p w14:paraId="0C9C6D11"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part</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process</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change</w:t>
      </w:r>
      <w:r w:rsidRPr="003D2D46">
        <w:rPr>
          <w:rFonts w:ascii="Times New Roman" w:hAnsi="Times New Roman" w:cs="Times New Roman"/>
        </w:rPr>
        <w:t>?</w:t>
      </w:r>
    </w:p>
    <w:p w14:paraId="6810E636"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does</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experience</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r w:rsidRPr="003D2D46">
        <w:rPr>
          <w:rFonts w:ascii="Times New Roman" w:eastAsia="Calibri" w:hAnsi="Times New Roman" w:cs="Times New Roman"/>
        </w:rPr>
        <w:t>compare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yourself</w:t>
      </w:r>
      <w:r w:rsidRPr="003D2D46">
        <w:rPr>
          <w:rFonts w:ascii="Times New Roman" w:hAnsi="Times New Roman" w:cs="Times New Roman"/>
        </w:rPr>
        <w:t xml:space="preserve">? </w:t>
      </w:r>
    </w:p>
    <w:p w14:paraId="6B5C98EE"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Did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concerns</w:t>
      </w:r>
      <w:r w:rsidRPr="003D2D46">
        <w:rPr>
          <w:rFonts w:ascii="Times New Roman" w:hAnsi="Times New Roman" w:cs="Times New Roman"/>
        </w:rPr>
        <w:t xml:space="preserve"> </w:t>
      </w:r>
      <w:r w:rsidRPr="003D2D46">
        <w:rPr>
          <w:rFonts w:ascii="Times New Roman" w:eastAsia="Calibri" w:hAnsi="Times New Roman" w:cs="Times New Roman"/>
        </w:rPr>
        <w:t>or</w:t>
      </w:r>
      <w:r w:rsidRPr="003D2D46">
        <w:rPr>
          <w:rFonts w:ascii="Times New Roman" w:hAnsi="Times New Roman" w:cs="Times New Roman"/>
        </w:rPr>
        <w:t xml:space="preserve"> </w:t>
      </w:r>
      <w:r w:rsidRPr="003D2D46">
        <w:rPr>
          <w:rFonts w:ascii="Times New Roman" w:eastAsia="Calibri" w:hAnsi="Times New Roman" w:cs="Times New Roman"/>
        </w:rPr>
        <w:t>questions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w:t>
      </w:r>
      <w:r w:rsidRPr="003D2D46">
        <w:rPr>
          <w:rFonts w:ascii="Times New Roman" w:eastAsia="Calibri" w:hAnsi="Times New Roman" w:cs="Times New Roman"/>
        </w:rPr>
        <w:t>s</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didn</w:t>
      </w:r>
      <w:r w:rsidRPr="003D2D46">
        <w:rPr>
          <w:rFonts w:ascii="Times New Roman" w:hAnsi="Times New Roman" w:cs="Times New Roman"/>
        </w:rPr>
        <w:t>’</w:t>
      </w:r>
      <w:r w:rsidRPr="003D2D46">
        <w:rPr>
          <w:rFonts w:ascii="Times New Roman" w:eastAsia="Calibri" w:hAnsi="Times New Roman" w:cs="Times New Roman"/>
        </w:rPr>
        <w:t>t</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were</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w:t>
      </w:r>
    </w:p>
    <w:p w14:paraId="1D5E6592" w14:textId="77777777" w:rsidR="005C02FA" w:rsidRPr="003D2D46" w:rsidRDefault="005C02FA" w:rsidP="005C02FA">
      <w:pPr>
        <w:spacing w:line="480" w:lineRule="auto"/>
        <w:rPr>
          <w:rFonts w:ascii="Times New Roman" w:hAnsi="Times New Roman" w:cs="Times New Roman"/>
        </w:rPr>
      </w:pPr>
      <w:r w:rsidRPr="003D2D46">
        <w:rPr>
          <w:rFonts w:ascii="Times New Roman" w:eastAsia="Calibri" w:hAnsi="Times New Roman" w:cs="Times New Roman"/>
        </w:rPr>
        <w:t>IF</w:t>
      </w:r>
      <w:r w:rsidRPr="003D2D46">
        <w:rPr>
          <w:rFonts w:ascii="Times New Roman" w:hAnsi="Times New Roman" w:cs="Times New Roman"/>
        </w:rPr>
        <w:t xml:space="preserve"> “</w:t>
      </w:r>
      <w:r w:rsidRPr="003D2D46">
        <w:rPr>
          <w:rFonts w:ascii="Times New Roman" w:eastAsia="Calibri" w:hAnsi="Times New Roman" w:cs="Times New Roman"/>
        </w:rPr>
        <w:t>NO</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VACCINATING</w:t>
      </w:r>
      <w:r w:rsidRPr="003D2D46">
        <w:rPr>
          <w:rFonts w:ascii="Times New Roman" w:hAnsi="Times New Roman" w:cs="Times New Roman"/>
        </w:rPr>
        <w:t xml:space="preserve"> </w:t>
      </w:r>
      <w:r w:rsidRPr="003D2D46">
        <w:rPr>
          <w:rFonts w:ascii="Times New Roman" w:eastAsia="Calibri" w:hAnsi="Times New Roman" w:cs="Times New Roman"/>
        </w:rPr>
        <w:t>THEIR</w:t>
      </w:r>
      <w:r w:rsidRPr="003D2D46">
        <w:rPr>
          <w:rFonts w:ascii="Times New Roman" w:hAnsi="Times New Roman" w:cs="Times New Roman"/>
        </w:rPr>
        <w:t xml:space="preserve"> </w:t>
      </w:r>
      <w:r w:rsidRPr="003D2D46">
        <w:rPr>
          <w:rFonts w:ascii="Times New Roman" w:eastAsia="Calibri" w:hAnsi="Times New Roman" w:cs="Times New Roman"/>
        </w:rPr>
        <w:t>CHILDREN</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SCHEDULE</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QUESTIONNAIRE</w:t>
      </w:r>
      <w:r w:rsidRPr="003D2D46">
        <w:rPr>
          <w:rFonts w:ascii="Times New Roman" w:hAnsi="Times New Roman" w:cs="Times New Roman"/>
        </w:rPr>
        <w:t xml:space="preserve">: </w:t>
      </w:r>
    </w:p>
    <w:p w14:paraId="34875CEB" w14:textId="77777777" w:rsidR="005C02FA" w:rsidRPr="003D2D46" w:rsidRDefault="005C02FA" w:rsidP="005C02FA">
      <w:pPr>
        <w:spacing w:line="480" w:lineRule="auto"/>
        <w:ind w:left="1440"/>
        <w:rPr>
          <w:rFonts w:ascii="Times New Roman" w:hAnsi="Times New Roman" w:cs="Times New Roman"/>
          <w:b/>
        </w:rPr>
      </w:pPr>
      <w:r w:rsidRPr="003D2D46">
        <w:rPr>
          <w:rFonts w:ascii="Times New Roman" w:hAnsi="Times New Roman" w:cs="Times New Roman"/>
          <w:b/>
        </w:rPr>
        <w:t>[</w:t>
      </w:r>
      <w:r w:rsidRPr="003D2D46">
        <w:rPr>
          <w:rFonts w:ascii="Times New Roman" w:eastAsia="Calibri" w:hAnsi="Times New Roman" w:cs="Times New Roman"/>
          <w:b/>
        </w:rPr>
        <w:t>Child</w:t>
      </w:r>
      <w:r w:rsidRPr="003D2D46">
        <w:rPr>
          <w:rFonts w:ascii="Times New Roman" w:hAnsi="Times New Roman" w:cs="Times New Roman"/>
          <w:b/>
        </w:rPr>
        <w:t>]</w:t>
      </w:r>
    </w:p>
    <w:p w14:paraId="48046DED"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filled</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questionnaire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I</w:t>
      </w:r>
      <w:r w:rsidRPr="003D2D46">
        <w:rPr>
          <w:rFonts w:ascii="Times New Roman" w:hAnsi="Times New Roman" w:cs="Times New Roman"/>
        </w:rPr>
        <w:t>’</w:t>
      </w:r>
      <w:r w:rsidRPr="003D2D46">
        <w:rPr>
          <w:rFonts w:ascii="Times New Roman" w:eastAsia="Calibri" w:hAnsi="Times New Roman" w:cs="Times New Roman"/>
        </w:rPr>
        <w:t>d</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hear</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p>
    <w:p w14:paraId="6CF9ECAB"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made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decide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not</w:t>
      </w:r>
      <w:r w:rsidRPr="003D2D46">
        <w:rPr>
          <w:rFonts w:ascii="Times New Roman" w:hAnsi="Times New Roman" w:cs="Times New Roman"/>
        </w:rPr>
        <w:t xml:space="preserve"> </w:t>
      </w:r>
      <w:r w:rsidRPr="003D2D46">
        <w:rPr>
          <w:rFonts w:ascii="Times New Roman" w:eastAsia="Calibri" w:hAnsi="Times New Roman" w:cs="Times New Roman"/>
        </w:rPr>
        <w:t>vaccinate</w:t>
      </w:r>
      <w:r w:rsidRPr="003D2D46">
        <w:rPr>
          <w:rFonts w:ascii="Times New Roman" w:hAnsi="Times New Roman" w:cs="Times New Roman"/>
        </w:rPr>
        <w:t>/</w:t>
      </w:r>
      <w:r w:rsidRPr="003D2D46">
        <w:rPr>
          <w:rFonts w:ascii="Times New Roman" w:eastAsia="Calibri" w:hAnsi="Times New Roman" w:cs="Times New Roman"/>
        </w:rPr>
        <w:t>vaccinate</w:t>
      </w:r>
      <w:r w:rsidRPr="003D2D46">
        <w:rPr>
          <w:rFonts w:ascii="Times New Roman" w:hAnsi="Times New Roman" w:cs="Times New Roman"/>
        </w:rPr>
        <w:t xml:space="preserve"> </w:t>
      </w:r>
      <w:r w:rsidRPr="003D2D46">
        <w:rPr>
          <w:rFonts w:ascii="Times New Roman" w:eastAsia="Calibri" w:hAnsi="Times New Roman" w:cs="Times New Roman"/>
        </w:rPr>
        <w:t>on</w:t>
      </w:r>
      <w:r w:rsidRPr="003D2D46">
        <w:rPr>
          <w:rFonts w:ascii="Times New Roman" w:hAnsi="Times New Roman" w:cs="Times New Roman"/>
        </w:rPr>
        <w:t xml:space="preserve"> </w:t>
      </w:r>
      <w:r w:rsidRPr="003D2D46">
        <w:rPr>
          <w:rFonts w:ascii="Times New Roman" w:eastAsia="Calibri" w:hAnsi="Times New Roman" w:cs="Times New Roman"/>
        </w:rPr>
        <w:t>an</w:t>
      </w:r>
      <w:r w:rsidRPr="003D2D46">
        <w:rPr>
          <w:rFonts w:ascii="Times New Roman" w:hAnsi="Times New Roman" w:cs="Times New Roman"/>
        </w:rPr>
        <w:t xml:space="preserve"> </w:t>
      </w:r>
      <w:r w:rsidRPr="003D2D46">
        <w:rPr>
          <w:rFonts w:ascii="Times New Roman" w:eastAsia="Calibri" w:hAnsi="Times New Roman" w:cs="Times New Roman"/>
        </w:rPr>
        <w:t>alternative</w:t>
      </w:r>
      <w:r w:rsidRPr="003D2D46">
        <w:rPr>
          <w:rFonts w:ascii="Times New Roman" w:hAnsi="Times New Roman" w:cs="Times New Roman"/>
        </w:rPr>
        <w:t xml:space="preserve"> </w:t>
      </w:r>
      <w:r w:rsidRPr="003D2D46">
        <w:rPr>
          <w:rFonts w:ascii="Times New Roman" w:eastAsia="Calibri" w:hAnsi="Times New Roman" w:cs="Times New Roman"/>
        </w:rPr>
        <w:t>schedule</w:t>
      </w:r>
      <w:r w:rsidRPr="003D2D46">
        <w:rPr>
          <w:rFonts w:ascii="Times New Roman" w:hAnsi="Times New Roman" w:cs="Times New Roman"/>
        </w:rPr>
        <w:t>?</w:t>
      </w:r>
    </w:p>
    <w:p w14:paraId="4AF95894" w14:textId="77777777" w:rsidR="005C02FA" w:rsidRPr="003D2D46" w:rsidRDefault="005C02FA" w:rsidP="005C02FA">
      <w:pPr>
        <w:pStyle w:val="ListParagraph"/>
        <w:spacing w:line="480" w:lineRule="auto"/>
        <w:ind w:left="1440"/>
        <w:rPr>
          <w:rFonts w:ascii="Times New Roman" w:hAnsi="Times New Roman" w:cs="Times New Roman"/>
        </w:rPr>
      </w:pPr>
    </w:p>
    <w:p w14:paraId="5AC7F45D" w14:textId="77777777" w:rsidR="005C02FA" w:rsidRPr="003D2D46" w:rsidRDefault="005C02FA" w:rsidP="005C02FA">
      <w:pPr>
        <w:spacing w:line="480" w:lineRule="auto"/>
        <w:ind w:left="1440"/>
        <w:rPr>
          <w:rFonts w:ascii="Times New Roman" w:hAnsi="Times New Roman" w:cs="Times New Roman"/>
          <w:b/>
        </w:rPr>
      </w:pPr>
      <w:r w:rsidRPr="003D2D46">
        <w:rPr>
          <w:rFonts w:ascii="Times New Roman" w:hAnsi="Times New Roman" w:cs="Times New Roman"/>
          <w:b/>
        </w:rPr>
        <w:t>[</w:t>
      </w:r>
      <w:r w:rsidRPr="003D2D46">
        <w:rPr>
          <w:rFonts w:ascii="Times New Roman" w:eastAsia="Calibri" w:hAnsi="Times New Roman" w:cs="Times New Roman"/>
          <w:b/>
        </w:rPr>
        <w:t>VACCINATED</w:t>
      </w:r>
      <w:r w:rsidRPr="003D2D46">
        <w:rPr>
          <w:rFonts w:ascii="Times New Roman" w:hAnsi="Times New Roman" w:cs="Times New Roman"/>
          <w:b/>
        </w:rPr>
        <w:t xml:space="preserve">, </w:t>
      </w:r>
      <w:r w:rsidRPr="003D2D46">
        <w:rPr>
          <w:rFonts w:ascii="Times New Roman" w:eastAsia="Calibri" w:hAnsi="Times New Roman" w:cs="Times New Roman"/>
          <w:b/>
        </w:rPr>
        <w:t>BUT</w:t>
      </w:r>
      <w:r w:rsidRPr="003D2D46">
        <w:rPr>
          <w:rFonts w:ascii="Times New Roman" w:hAnsi="Times New Roman" w:cs="Times New Roman"/>
          <w:b/>
        </w:rPr>
        <w:t xml:space="preserve"> </w:t>
      </w:r>
      <w:r w:rsidRPr="003D2D46">
        <w:rPr>
          <w:rFonts w:ascii="Times New Roman" w:eastAsia="Calibri" w:hAnsi="Times New Roman" w:cs="Times New Roman"/>
          <w:b/>
        </w:rPr>
        <w:t>OFF</w:t>
      </w:r>
      <w:r w:rsidRPr="003D2D46">
        <w:rPr>
          <w:rFonts w:ascii="Times New Roman" w:hAnsi="Times New Roman" w:cs="Times New Roman"/>
          <w:b/>
        </w:rPr>
        <w:t xml:space="preserve"> </w:t>
      </w:r>
      <w:r w:rsidRPr="003D2D46">
        <w:rPr>
          <w:rFonts w:ascii="Times New Roman" w:eastAsia="Calibri" w:hAnsi="Times New Roman" w:cs="Times New Roman"/>
          <w:b/>
        </w:rPr>
        <w:t>SCHEDULE</w:t>
      </w:r>
      <w:r w:rsidRPr="003D2D46">
        <w:rPr>
          <w:rFonts w:ascii="Times New Roman" w:hAnsi="Times New Roman" w:cs="Times New Roman"/>
          <w:b/>
        </w:rPr>
        <w:t>]</w:t>
      </w:r>
    </w:p>
    <w:p w14:paraId="43F68261"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bringing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p>
    <w:p w14:paraId="62F4A0F9"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find</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easiest</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p>
    <w:p w14:paraId="5DD05336"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lastRenderedPageBreak/>
        <w:t>What</w:t>
      </w:r>
      <w:r w:rsidRPr="003D2D46">
        <w:rPr>
          <w:rFonts w:ascii="Times New Roman" w:hAnsi="Times New Roman" w:cs="Times New Roman"/>
        </w:rPr>
        <w:t xml:space="preserve"> </w:t>
      </w:r>
      <w:r w:rsidRPr="003D2D46">
        <w:rPr>
          <w:rFonts w:ascii="Times New Roman" w:eastAsia="Calibri" w:hAnsi="Times New Roman" w:cs="Times New Roman"/>
        </w:rPr>
        <w:t>part</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process</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a</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change</w:t>
      </w:r>
      <w:r w:rsidRPr="003D2D46">
        <w:rPr>
          <w:rFonts w:ascii="Times New Roman" w:hAnsi="Times New Roman" w:cs="Times New Roman"/>
        </w:rPr>
        <w:t>?</w:t>
      </w:r>
    </w:p>
    <w:p w14:paraId="1C1527E5"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does</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experience</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ren</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 xml:space="preserve"> </w:t>
      </w:r>
      <w:r w:rsidRPr="003D2D46">
        <w:rPr>
          <w:rFonts w:ascii="Times New Roman" w:eastAsia="Calibri" w:hAnsi="Times New Roman" w:cs="Times New Roman"/>
        </w:rPr>
        <w:t>compare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vaccines</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yourself</w:t>
      </w:r>
      <w:r w:rsidRPr="003D2D46">
        <w:rPr>
          <w:rFonts w:ascii="Times New Roman" w:hAnsi="Times New Roman" w:cs="Times New Roman"/>
        </w:rPr>
        <w:t xml:space="preserve">? </w:t>
      </w:r>
    </w:p>
    <w:p w14:paraId="72A83788"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Did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concerns</w:t>
      </w:r>
      <w:r w:rsidRPr="003D2D46">
        <w:rPr>
          <w:rFonts w:ascii="Times New Roman" w:hAnsi="Times New Roman" w:cs="Times New Roman"/>
        </w:rPr>
        <w:t xml:space="preserve"> </w:t>
      </w:r>
      <w:r w:rsidRPr="003D2D46">
        <w:rPr>
          <w:rFonts w:ascii="Times New Roman" w:eastAsia="Calibri" w:hAnsi="Times New Roman" w:cs="Times New Roman"/>
        </w:rPr>
        <w:t>or</w:t>
      </w:r>
      <w:r w:rsidRPr="003D2D46">
        <w:rPr>
          <w:rFonts w:ascii="Times New Roman" w:hAnsi="Times New Roman" w:cs="Times New Roman"/>
        </w:rPr>
        <w:t xml:space="preserve"> </w:t>
      </w:r>
      <w:r w:rsidRPr="003D2D46">
        <w:rPr>
          <w:rFonts w:ascii="Times New Roman" w:eastAsia="Calibri" w:hAnsi="Times New Roman" w:cs="Times New Roman"/>
        </w:rPr>
        <w:t>questions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vaccine</w:t>
      </w:r>
      <w:r w:rsidRPr="003D2D46">
        <w:rPr>
          <w:rFonts w:ascii="Times New Roman" w:hAnsi="Times New Roman" w:cs="Times New Roman"/>
        </w:rPr>
        <w:t>(</w:t>
      </w:r>
      <w:r w:rsidRPr="003D2D46">
        <w:rPr>
          <w:rFonts w:ascii="Times New Roman" w:eastAsia="Calibri" w:hAnsi="Times New Roman" w:cs="Times New Roman"/>
        </w:rPr>
        <w:t>s</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didn</w:t>
      </w:r>
      <w:r w:rsidRPr="003D2D46">
        <w:rPr>
          <w:rFonts w:ascii="Times New Roman" w:hAnsi="Times New Roman" w:cs="Times New Roman"/>
        </w:rPr>
        <w:t>’</w:t>
      </w:r>
      <w:r w:rsidRPr="003D2D46">
        <w:rPr>
          <w:rFonts w:ascii="Times New Roman" w:eastAsia="Calibri" w:hAnsi="Times New Roman" w:cs="Times New Roman"/>
        </w:rPr>
        <w:t>t</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when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were</w:t>
      </w:r>
      <w:r w:rsidRPr="003D2D46">
        <w:rPr>
          <w:rFonts w:ascii="Times New Roman" w:hAnsi="Times New Roman" w:cs="Times New Roman"/>
        </w:rPr>
        <w:t xml:space="preserve"> </w:t>
      </w:r>
      <w:r w:rsidRPr="003D2D46">
        <w:rPr>
          <w:rFonts w:ascii="Times New Roman" w:eastAsia="Calibri" w:hAnsi="Times New Roman" w:cs="Times New Roman"/>
        </w:rPr>
        <w:t>getting</w:t>
      </w:r>
      <w:r w:rsidRPr="003D2D46">
        <w:rPr>
          <w:rFonts w:ascii="Times New Roman" w:hAnsi="Times New Roman" w:cs="Times New Roman"/>
        </w:rPr>
        <w:t xml:space="preserve"> </w:t>
      </w:r>
      <w:r w:rsidRPr="003D2D46">
        <w:rPr>
          <w:rFonts w:ascii="Times New Roman" w:eastAsia="Calibri" w:hAnsi="Times New Roman" w:cs="Times New Roman"/>
        </w:rPr>
        <w:t>vaccinated</w:t>
      </w:r>
      <w:r w:rsidRPr="003D2D46">
        <w:rPr>
          <w:rFonts w:ascii="Times New Roman" w:hAnsi="Times New Roman" w:cs="Times New Roman"/>
        </w:rPr>
        <w:t>?</w:t>
      </w:r>
    </w:p>
    <w:p w14:paraId="3A675737" w14:textId="77777777" w:rsidR="005C02FA" w:rsidRPr="003D2D46" w:rsidRDefault="005C02FA" w:rsidP="005C02FA">
      <w:pPr>
        <w:pStyle w:val="ListParagraph"/>
        <w:spacing w:line="480" w:lineRule="auto"/>
        <w:ind w:left="2880"/>
        <w:rPr>
          <w:rFonts w:ascii="Times New Roman" w:hAnsi="Times New Roman" w:cs="Times New Roman"/>
        </w:rPr>
      </w:pPr>
    </w:p>
    <w:p w14:paraId="2989A7BB" w14:textId="77777777" w:rsidR="005C02FA" w:rsidRPr="003D2D46" w:rsidRDefault="005C02FA" w:rsidP="005C02FA">
      <w:pPr>
        <w:spacing w:line="480" w:lineRule="auto"/>
        <w:ind w:left="1440"/>
        <w:rPr>
          <w:rFonts w:ascii="Times New Roman" w:hAnsi="Times New Roman" w:cs="Times New Roman"/>
          <w:b/>
        </w:rPr>
      </w:pPr>
      <w:r w:rsidRPr="003D2D46">
        <w:rPr>
          <w:rFonts w:ascii="Times New Roman" w:hAnsi="Times New Roman" w:cs="Times New Roman"/>
          <w:b/>
        </w:rPr>
        <w:t>[</w:t>
      </w:r>
      <w:r w:rsidRPr="003D2D46">
        <w:rPr>
          <w:rFonts w:ascii="Times New Roman" w:eastAsia="Calibri" w:hAnsi="Times New Roman" w:cs="Times New Roman"/>
          <w:b/>
        </w:rPr>
        <w:t>NOT</w:t>
      </w:r>
      <w:r w:rsidRPr="003D2D46">
        <w:rPr>
          <w:rFonts w:ascii="Times New Roman" w:hAnsi="Times New Roman" w:cs="Times New Roman"/>
          <w:b/>
        </w:rPr>
        <w:t xml:space="preserve"> </w:t>
      </w:r>
      <w:r w:rsidRPr="003D2D46">
        <w:rPr>
          <w:rFonts w:ascii="Times New Roman" w:eastAsia="Calibri" w:hAnsi="Times New Roman" w:cs="Times New Roman"/>
          <w:b/>
        </w:rPr>
        <w:t>VACCINATED</w:t>
      </w:r>
      <w:r w:rsidRPr="003D2D46">
        <w:rPr>
          <w:rFonts w:ascii="Times New Roman" w:hAnsi="Times New Roman" w:cs="Times New Roman"/>
          <w:b/>
        </w:rPr>
        <w:t>]</w:t>
      </w:r>
    </w:p>
    <w:p w14:paraId="20F4871A" w14:textId="77777777" w:rsidR="005C02FA" w:rsidRPr="003D2D46" w:rsidRDefault="005C02FA" w:rsidP="005C02FA">
      <w:pPr>
        <w:pStyle w:val="ListParagraph"/>
        <w:numPr>
          <w:ilvl w:val="1"/>
          <w:numId w:val="22"/>
        </w:numPr>
        <w:spacing w:line="480" w:lineRule="auto"/>
        <w:rPr>
          <w:rFonts w:ascii="Times New Roman" w:hAnsi="Times New Roman" w:cs="Times New Roman"/>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has</w:t>
      </w:r>
      <w:r w:rsidRPr="003D2D46">
        <w:rPr>
          <w:rFonts w:ascii="Times New Roman" w:hAnsi="Times New Roman" w:cs="Times New Roman"/>
        </w:rPr>
        <w:t xml:space="preserve"> </w:t>
      </w:r>
      <w:r w:rsidRPr="003D2D46">
        <w:rPr>
          <w:rFonts w:ascii="Times New Roman" w:eastAsia="Calibri" w:hAnsi="Times New Roman" w:cs="Times New Roman"/>
        </w:rPr>
        <w:t>been</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response</w:t>
      </w:r>
      <w:r w:rsidRPr="003D2D46">
        <w:rPr>
          <w:rFonts w:ascii="Times New Roman" w:hAnsi="Times New Roman" w:cs="Times New Roman"/>
        </w:rPr>
        <w:t xml:space="preserve"> </w:t>
      </w:r>
      <w:r w:rsidRPr="003D2D46">
        <w:rPr>
          <w:rFonts w:ascii="Times New Roman" w:eastAsia="Calibri" w:hAnsi="Times New Roman" w:cs="Times New Roman"/>
        </w:rPr>
        <w:t>from</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w:t>
      </w:r>
      <w:r w:rsidRPr="003D2D46">
        <w:rPr>
          <w:rFonts w:ascii="Times New Roman" w:hAnsi="Times New Roman" w:cs="Times New Roman"/>
        </w:rPr>
        <w:t>’</w:t>
      </w:r>
      <w:r w:rsidRPr="003D2D46">
        <w:rPr>
          <w:rFonts w:ascii="Times New Roman" w:eastAsia="Calibri" w:hAnsi="Times New Roman" w:cs="Times New Roman"/>
        </w:rPr>
        <w:t>s</w:t>
      </w:r>
      <w:r w:rsidRPr="003D2D46">
        <w:rPr>
          <w:rFonts w:ascii="Times New Roman" w:hAnsi="Times New Roman" w:cs="Times New Roman"/>
        </w:rPr>
        <w:t xml:space="preserve"> </w:t>
      </w:r>
      <w:r w:rsidRPr="003D2D46">
        <w:rPr>
          <w:rFonts w:ascii="Times New Roman" w:eastAsia="Calibri" w:hAnsi="Times New Roman" w:cs="Times New Roman"/>
        </w:rPr>
        <w:t>medical</w:t>
      </w:r>
      <w:r w:rsidRPr="003D2D46">
        <w:rPr>
          <w:rFonts w:ascii="Times New Roman" w:hAnsi="Times New Roman" w:cs="Times New Roman"/>
        </w:rPr>
        <w:t xml:space="preserve"> </w:t>
      </w:r>
      <w:r w:rsidRPr="003D2D46">
        <w:rPr>
          <w:rFonts w:ascii="Times New Roman" w:eastAsia="Calibri" w:hAnsi="Times New Roman" w:cs="Times New Roman"/>
        </w:rPr>
        <w:t>caregivers</w:t>
      </w:r>
      <w:r w:rsidRPr="003D2D46">
        <w:rPr>
          <w:rFonts w:ascii="Times New Roman" w:hAnsi="Times New Roman" w:cs="Times New Roman"/>
        </w:rPr>
        <w:t xml:space="preserve"> </w:t>
      </w:r>
      <w:r w:rsidRPr="003D2D46">
        <w:rPr>
          <w:rFonts w:ascii="Times New Roman" w:eastAsia="Calibri" w:hAnsi="Times New Roman" w:cs="Times New Roman"/>
        </w:rPr>
        <w:t>regarding</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choice</w:t>
      </w:r>
      <w:r w:rsidRPr="003D2D46">
        <w:rPr>
          <w:rFonts w:ascii="Times New Roman" w:hAnsi="Times New Roman" w:cs="Times New Roman"/>
        </w:rPr>
        <w:t xml:space="preserve"> </w:t>
      </w:r>
      <w:r w:rsidRPr="003D2D46">
        <w:rPr>
          <w:rFonts w:ascii="Times New Roman" w:eastAsia="Calibri" w:hAnsi="Times New Roman" w:cs="Times New Roman"/>
        </w:rPr>
        <w:t>not</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vaccinate</w:t>
      </w:r>
      <w:r w:rsidRPr="003D2D46">
        <w:rPr>
          <w:rFonts w:ascii="Times New Roman" w:hAnsi="Times New Roman" w:cs="Times New Roman"/>
        </w:rPr>
        <w:t xml:space="preserve">? </w:t>
      </w:r>
    </w:p>
    <w:p w14:paraId="5FEFC5F0"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feel</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this</w:t>
      </w:r>
      <w:r w:rsidRPr="003D2D46">
        <w:rPr>
          <w:rFonts w:ascii="Times New Roman" w:hAnsi="Times New Roman" w:cs="Times New Roman"/>
        </w:rPr>
        <w:t xml:space="preserve"> </w:t>
      </w:r>
      <w:r w:rsidRPr="003D2D46">
        <w:rPr>
          <w:rFonts w:ascii="Times New Roman" w:eastAsia="Calibri" w:hAnsi="Times New Roman" w:cs="Times New Roman"/>
        </w:rPr>
        <w:t>feedback</w:t>
      </w:r>
      <w:r w:rsidRPr="003D2D46">
        <w:rPr>
          <w:rFonts w:ascii="Times New Roman" w:hAnsi="Times New Roman" w:cs="Times New Roman"/>
        </w:rPr>
        <w:t>?</w:t>
      </w:r>
    </w:p>
    <w:p w14:paraId="0C896BB2" w14:textId="77777777" w:rsidR="005C02FA" w:rsidRPr="003D2D46" w:rsidRDefault="005C02FA" w:rsidP="005C02FA">
      <w:pPr>
        <w:spacing w:line="480" w:lineRule="auto"/>
        <w:rPr>
          <w:rFonts w:ascii="Times New Roman" w:hAnsi="Times New Roman" w:cs="Times New Roman"/>
          <w:b/>
          <w:i/>
        </w:rPr>
      </w:pPr>
    </w:p>
    <w:p w14:paraId="0EF54789" w14:textId="77777777" w:rsidR="005C02FA" w:rsidRPr="003D2D46" w:rsidRDefault="005C02FA" w:rsidP="005C02FA">
      <w:pPr>
        <w:pStyle w:val="ListParagraph"/>
        <w:numPr>
          <w:ilvl w:val="0"/>
          <w:numId w:val="22"/>
        </w:numPr>
        <w:spacing w:line="480" w:lineRule="auto"/>
        <w:rPr>
          <w:rFonts w:ascii="Times New Roman" w:hAnsi="Times New Roman" w:cs="Times New Roman"/>
          <w:b/>
        </w:rPr>
      </w:pPr>
      <w:r w:rsidRPr="003D2D46">
        <w:rPr>
          <w:rFonts w:ascii="Times New Roman" w:eastAsia="Calibri" w:hAnsi="Times New Roman" w:cs="Times New Roman"/>
          <w:b/>
        </w:rPr>
        <w:t>Knowledge</w:t>
      </w:r>
      <w:r w:rsidRPr="003D2D46">
        <w:rPr>
          <w:rFonts w:ascii="Times New Roman" w:hAnsi="Times New Roman" w:cs="Times New Roman"/>
          <w:b/>
        </w:rPr>
        <w:t xml:space="preserve"> </w:t>
      </w:r>
      <w:r w:rsidRPr="003D2D46">
        <w:rPr>
          <w:rFonts w:ascii="Times New Roman" w:eastAsia="Calibri" w:hAnsi="Times New Roman" w:cs="Times New Roman"/>
          <w:b/>
        </w:rPr>
        <w:t>of</w:t>
      </w:r>
      <w:r w:rsidRPr="003D2D46">
        <w:rPr>
          <w:rFonts w:ascii="Times New Roman" w:hAnsi="Times New Roman" w:cs="Times New Roman"/>
          <w:b/>
        </w:rPr>
        <w:t xml:space="preserve"> </w:t>
      </w:r>
      <w:r w:rsidRPr="003D2D46">
        <w:rPr>
          <w:rFonts w:ascii="Times New Roman" w:eastAsia="Calibri" w:hAnsi="Times New Roman" w:cs="Times New Roman"/>
          <w:b/>
        </w:rPr>
        <w:t>Pertussis</w:t>
      </w:r>
    </w:p>
    <w:p w14:paraId="72C60B43" w14:textId="777777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know</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w:t>
      </w:r>
    </w:p>
    <w:p w14:paraId="32AB07E5" w14:textId="77777777" w:rsidR="005C02FA" w:rsidRPr="003D2D46" w:rsidRDefault="005C02FA" w:rsidP="005C02FA">
      <w:pPr>
        <w:pStyle w:val="ListParagraph"/>
        <w:numPr>
          <w:ilvl w:val="2"/>
          <w:numId w:val="22"/>
        </w:numPr>
        <w:spacing w:line="480" w:lineRule="auto"/>
        <w:rPr>
          <w:rFonts w:ascii="Times New Roman" w:hAnsi="Times New Roman" w:cs="Times New Roman"/>
        </w:rPr>
      </w:pP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there</w:t>
      </w:r>
      <w:r w:rsidRPr="003D2D46">
        <w:rPr>
          <w:rFonts w:ascii="Times New Roman" w:hAnsi="Times New Roman" w:cs="Times New Roman"/>
        </w:rPr>
        <w:t xml:space="preserve"> </w:t>
      </w:r>
      <w:r w:rsidRPr="003D2D46">
        <w:rPr>
          <w:rFonts w:ascii="Times New Roman" w:eastAsia="Calibri" w:hAnsi="Times New Roman" w:cs="Times New Roman"/>
        </w:rPr>
        <w:t>anything</w:t>
      </w:r>
      <w:r w:rsidRPr="003D2D46">
        <w:rPr>
          <w:rFonts w:ascii="Times New Roman" w:hAnsi="Times New Roman" w:cs="Times New Roman"/>
        </w:rPr>
        <w:t xml:space="preserve"> </w:t>
      </w:r>
      <w:r w:rsidRPr="003D2D46">
        <w:rPr>
          <w:rFonts w:ascii="Times New Roman" w:eastAsia="Calibri" w:hAnsi="Times New Roman" w:cs="Times New Roman"/>
        </w:rPr>
        <w:t>else</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can</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know</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this</w:t>
      </w:r>
      <w:r w:rsidRPr="003D2D46">
        <w:rPr>
          <w:rFonts w:ascii="Times New Roman" w:hAnsi="Times New Roman" w:cs="Times New Roman"/>
        </w:rPr>
        <w:t xml:space="preserve"> </w:t>
      </w:r>
      <w:r w:rsidRPr="003D2D46">
        <w:rPr>
          <w:rFonts w:ascii="Times New Roman" w:eastAsia="Calibri" w:hAnsi="Times New Roman" w:cs="Times New Roman"/>
        </w:rPr>
        <w:t>illness</w:t>
      </w:r>
      <w:r w:rsidRPr="003D2D46">
        <w:rPr>
          <w:rFonts w:ascii="Times New Roman" w:hAnsi="Times New Roman" w:cs="Times New Roman"/>
        </w:rPr>
        <w:t>?</w:t>
      </w:r>
    </w:p>
    <w:p w14:paraId="665AAE16" w14:textId="777777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t>Sometimes</w:t>
      </w:r>
      <w:r w:rsidRPr="003D2D46">
        <w:rPr>
          <w:rFonts w:ascii="Times New Roman" w:hAnsi="Times New Roman" w:cs="Times New Roman"/>
        </w:rPr>
        <w:t xml:space="preserve"> </w:t>
      </w:r>
      <w:r w:rsidRPr="003D2D46">
        <w:rPr>
          <w:rFonts w:ascii="Times New Roman" w:eastAsia="Calibri" w:hAnsi="Times New Roman" w:cs="Times New Roman"/>
        </w:rPr>
        <w:t>doctors</w:t>
      </w:r>
      <w:r w:rsidRPr="003D2D46">
        <w:rPr>
          <w:rFonts w:ascii="Times New Roman" w:hAnsi="Times New Roman" w:cs="Times New Roman"/>
        </w:rPr>
        <w:t xml:space="preserve"> </w:t>
      </w:r>
      <w:r w:rsidRPr="003D2D46">
        <w:rPr>
          <w:rFonts w:ascii="Times New Roman" w:eastAsia="Calibri" w:hAnsi="Times New Roman" w:cs="Times New Roman"/>
        </w:rPr>
        <w:t>tell</w:t>
      </w:r>
      <w:r w:rsidRPr="003D2D46">
        <w:rPr>
          <w:rFonts w:ascii="Times New Roman" w:hAnsi="Times New Roman" w:cs="Times New Roman"/>
        </w:rPr>
        <w:t xml:space="preserve"> </w:t>
      </w:r>
      <w:r w:rsidRPr="003D2D46">
        <w:rPr>
          <w:rFonts w:ascii="Times New Roman" w:eastAsia="Calibri" w:hAnsi="Times New Roman" w:cs="Times New Roman"/>
        </w:rPr>
        <w:t>us</w:t>
      </w:r>
      <w:r w:rsidRPr="003D2D46">
        <w:rPr>
          <w:rFonts w:ascii="Times New Roman" w:hAnsi="Times New Roman" w:cs="Times New Roman"/>
        </w:rPr>
        <w:t xml:space="preserve"> </w:t>
      </w:r>
      <w:r w:rsidRPr="003D2D46">
        <w:rPr>
          <w:rFonts w:ascii="Times New Roman" w:eastAsia="Calibri" w:hAnsi="Times New Roman" w:cs="Times New Roman"/>
        </w:rPr>
        <w:t>things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specific</w:t>
      </w:r>
      <w:r w:rsidRPr="003D2D46">
        <w:rPr>
          <w:rFonts w:ascii="Times New Roman" w:hAnsi="Times New Roman" w:cs="Times New Roman"/>
        </w:rPr>
        <w:t xml:space="preserve"> </w:t>
      </w:r>
      <w:r w:rsidRPr="003D2D46">
        <w:rPr>
          <w:rFonts w:ascii="Times New Roman" w:eastAsia="Calibri" w:hAnsi="Times New Roman" w:cs="Times New Roman"/>
        </w:rPr>
        <w:t>illnesses</w:t>
      </w:r>
      <w:r w:rsidRPr="003D2D46">
        <w:rPr>
          <w:rFonts w:ascii="Times New Roman" w:hAnsi="Times New Roman" w:cs="Times New Roman"/>
        </w:rPr>
        <w:t xml:space="preserve">. </w:t>
      </w: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has</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doctor</w:t>
      </w:r>
      <w:r w:rsidRPr="003D2D46">
        <w:rPr>
          <w:rFonts w:ascii="Times New Roman" w:hAnsi="Times New Roman" w:cs="Times New Roman"/>
        </w:rPr>
        <w:t xml:space="preserve"> </w:t>
      </w:r>
      <w:r w:rsidRPr="003D2D46">
        <w:rPr>
          <w:rFonts w:ascii="Times New Roman" w:eastAsia="Calibri" w:hAnsi="Times New Roman" w:cs="Times New Roman"/>
        </w:rPr>
        <w:t>told</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w:t>
      </w:r>
    </w:p>
    <w:p w14:paraId="3DC0384C" w14:textId="77777777" w:rsidR="005C02FA" w:rsidRPr="003D2D46" w:rsidRDefault="005C02FA">
      <w:pPr>
        <w:rPr>
          <w:rFonts w:ascii="Times New Roman" w:eastAsia="Calibri" w:hAnsi="Times New Roman" w:cs="Times New Roman"/>
        </w:rPr>
      </w:pPr>
      <w:r w:rsidRPr="003D2D46">
        <w:rPr>
          <w:rFonts w:ascii="Times New Roman" w:eastAsia="Calibri" w:hAnsi="Times New Roman" w:cs="Times New Roman"/>
        </w:rPr>
        <w:br w:type="page"/>
      </w:r>
    </w:p>
    <w:p w14:paraId="3FD57049" w14:textId="078CC0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lastRenderedPageBreak/>
        <w:t>Besides</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doctor</w:t>
      </w:r>
      <w:r w:rsidRPr="003D2D46">
        <w:rPr>
          <w:rFonts w:ascii="Times New Roman" w:hAnsi="Times New Roman" w:cs="Times New Roman"/>
        </w:rPr>
        <w:t xml:space="preserve">, </w:t>
      </w: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else</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heard</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w:t>
      </w:r>
    </w:p>
    <w:p w14:paraId="7A4188BE" w14:textId="77777777" w:rsidR="005C02FA" w:rsidRPr="003D2D46" w:rsidRDefault="005C02FA" w:rsidP="005C02FA">
      <w:pPr>
        <w:pStyle w:val="ListParagraph"/>
        <w:numPr>
          <w:ilvl w:val="2"/>
          <w:numId w:val="22"/>
        </w:numPr>
        <w:spacing w:line="480" w:lineRule="auto"/>
        <w:rPr>
          <w:rFonts w:ascii="Times New Roman" w:hAnsi="Times New Roman" w:cs="Times New Roman"/>
          <w:b/>
        </w:rPr>
      </w:pPr>
      <w:r w:rsidRPr="003D2D46">
        <w:rPr>
          <w:rFonts w:ascii="Times New Roman" w:eastAsia="Calibri" w:hAnsi="Times New Roman" w:cs="Times New Roman"/>
        </w:rPr>
        <w:t>Some</w:t>
      </w:r>
      <w:r w:rsidRPr="003D2D46">
        <w:rPr>
          <w:rFonts w:ascii="Times New Roman" w:hAnsi="Times New Roman" w:cs="Times New Roman"/>
        </w:rPr>
        <w:t xml:space="preserve"> </w:t>
      </w:r>
      <w:r w:rsidRPr="003D2D46">
        <w:rPr>
          <w:rFonts w:ascii="Times New Roman" w:eastAsia="Calibri" w:hAnsi="Times New Roman" w:cs="Times New Roman"/>
        </w:rPr>
        <w:t>people</w:t>
      </w:r>
      <w:r w:rsidRPr="003D2D46">
        <w:rPr>
          <w:rFonts w:ascii="Times New Roman" w:hAnsi="Times New Roman" w:cs="Times New Roman"/>
        </w:rPr>
        <w:t xml:space="preserve"> </w:t>
      </w:r>
      <w:r w:rsidRPr="003D2D46">
        <w:rPr>
          <w:rFonts w:ascii="Times New Roman" w:eastAsia="Calibri" w:hAnsi="Times New Roman" w:cs="Times New Roman"/>
        </w:rPr>
        <w:t>tell</w:t>
      </w:r>
      <w:r w:rsidRPr="003D2D46">
        <w:rPr>
          <w:rFonts w:ascii="Times New Roman" w:hAnsi="Times New Roman" w:cs="Times New Roman"/>
        </w:rPr>
        <w:t xml:space="preserve"> </w:t>
      </w:r>
      <w:r w:rsidRPr="003D2D46">
        <w:rPr>
          <w:rFonts w:ascii="Times New Roman" w:eastAsia="Calibri" w:hAnsi="Times New Roman" w:cs="Times New Roman"/>
        </w:rPr>
        <w:t>us</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they</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information</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 xml:space="preserve"> </w:t>
      </w:r>
      <w:r w:rsidRPr="003D2D46">
        <w:rPr>
          <w:rFonts w:ascii="Times New Roman" w:eastAsia="Calibri" w:hAnsi="Times New Roman" w:cs="Times New Roman"/>
        </w:rPr>
        <w:t>from</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internet</w:t>
      </w:r>
      <w:r w:rsidRPr="003D2D46">
        <w:rPr>
          <w:rFonts w:ascii="Times New Roman" w:hAnsi="Times New Roman" w:cs="Times New Roman"/>
        </w:rPr>
        <w:t xml:space="preserve">, </w:t>
      </w:r>
      <w:r w:rsidRPr="003D2D46">
        <w:rPr>
          <w:rFonts w:ascii="Times New Roman" w:eastAsia="Calibri" w:hAnsi="Times New Roman" w:cs="Times New Roman"/>
        </w:rPr>
        <w:t>friends</w:t>
      </w:r>
      <w:r w:rsidRPr="003D2D46">
        <w:rPr>
          <w:rFonts w:ascii="Times New Roman" w:hAnsi="Times New Roman" w:cs="Times New Roman"/>
        </w:rPr>
        <w:t xml:space="preserve">, </w:t>
      </w:r>
      <w:r w:rsidRPr="003D2D46">
        <w:rPr>
          <w:rFonts w:ascii="Times New Roman" w:eastAsia="Calibri" w:hAnsi="Times New Roman" w:cs="Times New Roman"/>
        </w:rPr>
        <w:t>and</w:t>
      </w:r>
      <w:r w:rsidRPr="003D2D46">
        <w:rPr>
          <w:rFonts w:ascii="Times New Roman" w:hAnsi="Times New Roman" w:cs="Times New Roman"/>
        </w:rPr>
        <w:t xml:space="preserve"> </w:t>
      </w:r>
      <w:r w:rsidRPr="003D2D46">
        <w:rPr>
          <w:rFonts w:ascii="Times New Roman" w:eastAsia="Calibri" w:hAnsi="Times New Roman" w:cs="Times New Roman"/>
        </w:rPr>
        <w:t>brochures</w:t>
      </w:r>
      <w:r w:rsidRPr="003D2D46">
        <w:rPr>
          <w:rFonts w:ascii="Times New Roman" w:hAnsi="Times New Roman" w:cs="Times New Roman"/>
        </w:rPr>
        <w:t xml:space="preserve"> </w:t>
      </w:r>
      <w:r w:rsidRPr="003D2D46">
        <w:rPr>
          <w:rFonts w:ascii="Times New Roman" w:eastAsia="Calibri" w:hAnsi="Times New Roman" w:cs="Times New Roman"/>
        </w:rPr>
        <w:t>at</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health</w:t>
      </w:r>
      <w:r w:rsidRPr="003D2D46">
        <w:rPr>
          <w:rFonts w:ascii="Times New Roman" w:hAnsi="Times New Roman" w:cs="Times New Roman"/>
        </w:rPr>
        <w:t xml:space="preserve"> </w:t>
      </w:r>
      <w:r w:rsidRPr="003D2D46">
        <w:rPr>
          <w:rFonts w:ascii="Times New Roman" w:eastAsia="Calibri" w:hAnsi="Times New Roman" w:cs="Times New Roman"/>
        </w:rPr>
        <w:t>department</w:t>
      </w:r>
      <w:r w:rsidRPr="003D2D46">
        <w:rPr>
          <w:rFonts w:ascii="Times New Roman" w:hAnsi="Times New Roman" w:cs="Times New Roman"/>
        </w:rPr>
        <w:t xml:space="preserve">. </w:t>
      </w:r>
      <w:r w:rsidRPr="003D2D46">
        <w:rPr>
          <w:rFonts w:ascii="Times New Roman" w:eastAsia="Calibri" w:hAnsi="Times New Roman" w:cs="Times New Roman"/>
        </w:rPr>
        <w:t>Can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of</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places</w:t>
      </w:r>
      <w:r w:rsidRPr="003D2D46">
        <w:rPr>
          <w:rFonts w:ascii="Times New Roman" w:hAnsi="Times New Roman" w:cs="Times New Roman"/>
        </w:rPr>
        <w:t xml:space="preserve"> </w:t>
      </w:r>
      <w:r w:rsidRPr="003D2D46">
        <w:rPr>
          <w:rFonts w:ascii="Times New Roman" w:eastAsia="Calibri" w:hAnsi="Times New Roman" w:cs="Times New Roman"/>
        </w:rPr>
        <w:t>where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heard</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w:t>
      </w:r>
    </w:p>
    <w:p w14:paraId="3F27D443" w14:textId="777777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t>Can</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tell</w:t>
      </w:r>
      <w:r w:rsidRPr="003D2D46">
        <w:rPr>
          <w:rFonts w:ascii="Times New Roman" w:hAnsi="Times New Roman" w:cs="Times New Roman"/>
        </w:rPr>
        <w:t xml:space="preserve"> </w:t>
      </w:r>
      <w:r w:rsidRPr="003D2D46">
        <w:rPr>
          <w:rFonts w:ascii="Times New Roman" w:eastAsia="Calibri" w:hAnsi="Times New Roman" w:cs="Times New Roman"/>
        </w:rPr>
        <w:t>me</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any</w:t>
      </w:r>
      <w:r w:rsidRPr="003D2D46">
        <w:rPr>
          <w:rFonts w:ascii="Times New Roman" w:hAnsi="Times New Roman" w:cs="Times New Roman"/>
        </w:rPr>
        <w:t xml:space="preserve"> </w:t>
      </w:r>
      <w:r w:rsidRPr="003D2D46">
        <w:rPr>
          <w:rFonts w:ascii="Times New Roman" w:eastAsia="Calibri" w:hAnsi="Times New Roman" w:cs="Times New Roman"/>
        </w:rPr>
        <w:t>experience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have</w:t>
      </w:r>
      <w:r w:rsidRPr="003D2D46">
        <w:rPr>
          <w:rFonts w:ascii="Times New Roman" w:hAnsi="Times New Roman" w:cs="Times New Roman"/>
        </w:rPr>
        <w:t xml:space="preserve"> </w:t>
      </w:r>
      <w:r w:rsidRPr="003D2D46">
        <w:rPr>
          <w:rFonts w:ascii="Times New Roman" w:eastAsia="Calibri" w:hAnsi="Times New Roman" w:cs="Times New Roman"/>
        </w:rPr>
        <w:t>had</w:t>
      </w:r>
      <w:r w:rsidRPr="003D2D46">
        <w:rPr>
          <w:rFonts w:ascii="Times New Roman" w:hAnsi="Times New Roman" w:cs="Times New Roman"/>
        </w:rPr>
        <w:t xml:space="preserve"> </w:t>
      </w:r>
      <w:r w:rsidRPr="003D2D46">
        <w:rPr>
          <w:rFonts w:ascii="Times New Roman" w:eastAsia="Calibri" w:hAnsi="Times New Roman" w:cs="Times New Roman"/>
        </w:rPr>
        <w:t>with</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disease</w:t>
      </w:r>
      <w:r w:rsidRPr="003D2D46">
        <w:rPr>
          <w:rFonts w:ascii="Times New Roman" w:hAnsi="Times New Roman" w:cs="Times New Roman"/>
        </w:rPr>
        <w:t>?</w:t>
      </w:r>
    </w:p>
    <w:p w14:paraId="7606F643" w14:textId="77777777" w:rsidR="005C02FA" w:rsidRPr="003D2D46" w:rsidRDefault="005C02FA" w:rsidP="005C02FA">
      <w:pPr>
        <w:pStyle w:val="ListParagraph"/>
        <w:numPr>
          <w:ilvl w:val="2"/>
          <w:numId w:val="22"/>
        </w:numPr>
        <w:spacing w:line="480" w:lineRule="auto"/>
        <w:rPr>
          <w:rFonts w:ascii="Times New Roman" w:hAnsi="Times New Roman" w:cs="Times New Roman"/>
          <w:b/>
        </w:rPr>
      </w:pPr>
      <w:r w:rsidRPr="003D2D46">
        <w:rPr>
          <w:rFonts w:ascii="Times New Roman" w:eastAsia="Calibri" w:hAnsi="Times New Roman" w:cs="Times New Roman"/>
        </w:rPr>
        <w:t>I</w:t>
      </w:r>
      <w:r w:rsidRPr="003D2D46">
        <w:rPr>
          <w:rFonts w:ascii="Times New Roman" w:hAnsi="Times New Roman" w:cs="Times New Roman"/>
        </w:rPr>
        <w:t>’</w:t>
      </w:r>
      <w:r w:rsidRPr="003D2D46">
        <w:rPr>
          <w:rFonts w:ascii="Times New Roman" w:eastAsia="Calibri" w:hAnsi="Times New Roman" w:cs="Times New Roman"/>
        </w:rPr>
        <w:t>d</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know</w:t>
      </w:r>
      <w:r w:rsidRPr="003D2D46">
        <w:rPr>
          <w:rFonts w:ascii="Times New Roman" w:hAnsi="Times New Roman" w:cs="Times New Roman"/>
        </w:rPr>
        <w:t xml:space="preserve"> </w:t>
      </w:r>
      <w:r w:rsidRPr="003D2D46">
        <w:rPr>
          <w:rFonts w:ascii="Times New Roman" w:eastAsia="Calibri" w:hAnsi="Times New Roman" w:cs="Times New Roman"/>
        </w:rPr>
        <w:t>more</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anyone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know</w:t>
      </w:r>
      <w:r w:rsidRPr="003D2D46">
        <w:rPr>
          <w:rFonts w:ascii="Times New Roman" w:hAnsi="Times New Roman" w:cs="Times New Roman"/>
        </w:rPr>
        <w:t xml:space="preserve">, </w:t>
      </w:r>
      <w:r w:rsidRPr="003D2D46">
        <w:rPr>
          <w:rFonts w:ascii="Times New Roman" w:eastAsia="Calibri" w:hAnsi="Times New Roman" w:cs="Times New Roman"/>
        </w:rPr>
        <w:t>in</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family</w:t>
      </w:r>
      <w:r w:rsidRPr="003D2D46">
        <w:rPr>
          <w:rFonts w:ascii="Times New Roman" w:hAnsi="Times New Roman" w:cs="Times New Roman"/>
        </w:rPr>
        <w:t xml:space="preserve"> </w:t>
      </w:r>
      <w:r w:rsidRPr="003D2D46">
        <w:rPr>
          <w:rFonts w:ascii="Times New Roman" w:eastAsia="Calibri" w:hAnsi="Times New Roman" w:cs="Times New Roman"/>
        </w:rPr>
        <w:t>or</w:t>
      </w:r>
      <w:r w:rsidRPr="003D2D46">
        <w:rPr>
          <w:rFonts w:ascii="Times New Roman" w:hAnsi="Times New Roman" w:cs="Times New Roman"/>
        </w:rPr>
        <w:t xml:space="preserve"> </w:t>
      </w:r>
      <w:r w:rsidRPr="003D2D46">
        <w:rPr>
          <w:rFonts w:ascii="Times New Roman" w:eastAsia="Calibri" w:hAnsi="Times New Roman" w:cs="Times New Roman"/>
        </w:rPr>
        <w:t>community</w:t>
      </w:r>
      <w:r w:rsidRPr="003D2D46">
        <w:rPr>
          <w:rFonts w:ascii="Times New Roman" w:hAnsi="Times New Roman" w:cs="Times New Roman"/>
        </w:rPr>
        <w:t xml:space="preserve"> </w:t>
      </w:r>
      <w:r w:rsidRPr="003D2D46">
        <w:rPr>
          <w:rFonts w:ascii="Times New Roman" w:eastAsia="Calibri" w:hAnsi="Times New Roman" w:cs="Times New Roman"/>
        </w:rPr>
        <w:t>for</w:t>
      </w:r>
      <w:r w:rsidRPr="003D2D46">
        <w:rPr>
          <w:rFonts w:ascii="Times New Roman" w:hAnsi="Times New Roman" w:cs="Times New Roman"/>
        </w:rPr>
        <w:t xml:space="preserve"> </w:t>
      </w:r>
      <w:r w:rsidRPr="003D2D46">
        <w:rPr>
          <w:rFonts w:ascii="Times New Roman" w:eastAsia="Calibri" w:hAnsi="Times New Roman" w:cs="Times New Roman"/>
        </w:rPr>
        <w:t>example</w:t>
      </w:r>
      <w:r w:rsidRPr="003D2D46">
        <w:rPr>
          <w:rFonts w:ascii="Times New Roman" w:hAnsi="Times New Roman" w:cs="Times New Roman"/>
        </w:rPr>
        <w:t xml:space="preserve">, </w:t>
      </w:r>
      <w:r w:rsidRPr="003D2D46">
        <w:rPr>
          <w:rFonts w:ascii="Times New Roman" w:eastAsia="Calibri" w:hAnsi="Times New Roman" w:cs="Times New Roman"/>
        </w:rPr>
        <w:t>who</w:t>
      </w:r>
      <w:r w:rsidRPr="003D2D46">
        <w:rPr>
          <w:rFonts w:ascii="Times New Roman" w:hAnsi="Times New Roman" w:cs="Times New Roman"/>
        </w:rPr>
        <w:t xml:space="preserve"> </w:t>
      </w:r>
      <w:r w:rsidRPr="003D2D46">
        <w:rPr>
          <w:rFonts w:ascii="Times New Roman" w:eastAsia="Calibri" w:hAnsi="Times New Roman" w:cs="Times New Roman"/>
        </w:rPr>
        <w:t>has</w:t>
      </w:r>
      <w:r w:rsidRPr="003D2D46">
        <w:rPr>
          <w:rFonts w:ascii="Times New Roman" w:hAnsi="Times New Roman" w:cs="Times New Roman"/>
        </w:rPr>
        <w:t xml:space="preserve"> </w:t>
      </w:r>
      <w:r w:rsidRPr="003D2D46">
        <w:rPr>
          <w:rFonts w:ascii="Times New Roman" w:eastAsia="Calibri" w:hAnsi="Times New Roman" w:cs="Times New Roman"/>
        </w:rPr>
        <w:t>had</w:t>
      </w:r>
      <w:r w:rsidRPr="003D2D46">
        <w:rPr>
          <w:rFonts w:ascii="Times New Roman" w:hAnsi="Times New Roman" w:cs="Times New Roman"/>
        </w:rPr>
        <w:t xml:space="preserve"> </w:t>
      </w:r>
      <w:r w:rsidRPr="003D2D46">
        <w:rPr>
          <w:rFonts w:ascii="Times New Roman" w:eastAsia="Calibri" w:hAnsi="Times New Roman" w:cs="Times New Roman"/>
        </w:rPr>
        <w:t>the</w:t>
      </w:r>
      <w:r w:rsidRPr="003D2D46">
        <w:rPr>
          <w:rFonts w:ascii="Times New Roman" w:hAnsi="Times New Roman" w:cs="Times New Roman"/>
        </w:rPr>
        <w:t xml:space="preserve"> </w:t>
      </w:r>
      <w:r w:rsidRPr="003D2D46">
        <w:rPr>
          <w:rFonts w:ascii="Times New Roman" w:eastAsia="Calibri" w:hAnsi="Times New Roman" w:cs="Times New Roman"/>
        </w:rPr>
        <w:t>disease</w:t>
      </w:r>
      <w:r w:rsidRPr="003D2D46">
        <w:rPr>
          <w:rFonts w:ascii="Times New Roman" w:hAnsi="Times New Roman" w:cs="Times New Roman"/>
        </w:rPr>
        <w:t xml:space="preserve">. </w:t>
      </w:r>
    </w:p>
    <w:p w14:paraId="04226613" w14:textId="77777777" w:rsidR="005C02FA" w:rsidRPr="003D2D46" w:rsidRDefault="005C02FA" w:rsidP="005C02FA">
      <w:pPr>
        <w:pStyle w:val="ListParagraph"/>
        <w:numPr>
          <w:ilvl w:val="1"/>
          <w:numId w:val="22"/>
        </w:numPr>
        <w:spacing w:line="480" w:lineRule="auto"/>
        <w:rPr>
          <w:rFonts w:ascii="Times New Roman" w:hAnsi="Times New Roman" w:cs="Times New Roman"/>
          <w:b/>
        </w:rPr>
      </w:pPr>
      <w:r w:rsidRPr="003D2D46">
        <w:rPr>
          <w:rFonts w:ascii="Times New Roman" w:eastAsia="Calibri" w:hAnsi="Times New Roman" w:cs="Times New Roman"/>
        </w:rPr>
        <w:t>How</w:t>
      </w:r>
      <w:r w:rsidRPr="003D2D46">
        <w:rPr>
          <w:rFonts w:ascii="Times New Roman" w:hAnsi="Times New Roman" w:cs="Times New Roman"/>
        </w:rPr>
        <w:t xml:space="preserve"> </w:t>
      </w:r>
      <w:r w:rsidRPr="003D2D46">
        <w:rPr>
          <w:rFonts w:ascii="Times New Roman" w:eastAsia="Calibri" w:hAnsi="Times New Roman" w:cs="Times New Roman"/>
        </w:rPr>
        <w:t>likely</w:t>
      </w:r>
      <w:r w:rsidRPr="003D2D46">
        <w:rPr>
          <w:rFonts w:ascii="Times New Roman" w:hAnsi="Times New Roman" w:cs="Times New Roman"/>
        </w:rPr>
        <w:t xml:space="preserve"> </w:t>
      </w:r>
      <w:r w:rsidRPr="003D2D46">
        <w:rPr>
          <w:rFonts w:ascii="Times New Roman" w:eastAsia="Calibri" w:hAnsi="Times New Roman" w:cs="Times New Roman"/>
        </w:rPr>
        <w:t>do</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think</w:t>
      </w:r>
      <w:r w:rsidRPr="003D2D46">
        <w:rPr>
          <w:rFonts w:ascii="Times New Roman" w:hAnsi="Times New Roman" w:cs="Times New Roman"/>
        </w:rPr>
        <w:t xml:space="preserve"> </w:t>
      </w:r>
      <w:r w:rsidRPr="003D2D46">
        <w:rPr>
          <w:rFonts w:ascii="Times New Roman" w:eastAsia="Calibri" w:hAnsi="Times New Roman" w:cs="Times New Roman"/>
        </w:rPr>
        <w:t>it</w:t>
      </w:r>
      <w:r w:rsidRPr="003D2D46">
        <w:rPr>
          <w:rFonts w:ascii="Times New Roman" w:hAnsi="Times New Roman" w:cs="Times New Roman"/>
        </w:rPr>
        <w:t xml:space="preserve"> </w:t>
      </w: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that</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 xml:space="preserve"> </w:t>
      </w:r>
      <w:r w:rsidRPr="003D2D46">
        <w:rPr>
          <w:rFonts w:ascii="Times New Roman" w:eastAsia="Calibri" w:hAnsi="Times New Roman" w:cs="Times New Roman"/>
        </w:rPr>
        <w:t>would</w:t>
      </w:r>
      <w:r w:rsidRPr="003D2D46">
        <w:rPr>
          <w:rFonts w:ascii="Times New Roman" w:hAnsi="Times New Roman" w:cs="Times New Roman"/>
        </w:rPr>
        <w:t xml:space="preserve"> </w:t>
      </w:r>
      <w:r w:rsidRPr="003D2D46">
        <w:rPr>
          <w:rFonts w:ascii="Times New Roman" w:eastAsia="Calibri" w:hAnsi="Times New Roman" w:cs="Times New Roman"/>
        </w:rPr>
        <w:t>get</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 xml:space="preserve">? </w:t>
      </w:r>
    </w:p>
    <w:p w14:paraId="36B29296" w14:textId="77777777" w:rsidR="005C02FA" w:rsidRPr="003D2D46" w:rsidRDefault="005C02FA" w:rsidP="005C02FA">
      <w:pPr>
        <w:pStyle w:val="ListParagraph"/>
        <w:numPr>
          <w:ilvl w:val="2"/>
          <w:numId w:val="22"/>
        </w:numPr>
        <w:spacing w:line="480" w:lineRule="auto"/>
        <w:rPr>
          <w:rFonts w:ascii="Times New Roman" w:hAnsi="Times New Roman" w:cs="Times New Roman"/>
          <w:b/>
        </w:rPr>
      </w:pPr>
      <w:r w:rsidRPr="003D2D46">
        <w:rPr>
          <w:rFonts w:ascii="Times New Roman" w:eastAsia="Calibri" w:hAnsi="Times New Roman" w:cs="Times New Roman"/>
        </w:rPr>
        <w:t>What</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children</w:t>
      </w:r>
      <w:r w:rsidRPr="003D2D46">
        <w:rPr>
          <w:rFonts w:ascii="Times New Roman" w:hAnsi="Times New Roman" w:cs="Times New Roman"/>
        </w:rPr>
        <w:t>? [</w:t>
      </w:r>
      <w:r w:rsidRPr="003D2D46">
        <w:rPr>
          <w:rFonts w:ascii="Times New Roman" w:eastAsia="Calibri" w:hAnsi="Times New Roman" w:cs="Times New Roman"/>
        </w:rPr>
        <w:t>if</w:t>
      </w:r>
      <w:r w:rsidRPr="003D2D46">
        <w:rPr>
          <w:rFonts w:ascii="Times New Roman" w:hAnsi="Times New Roman" w:cs="Times New Roman"/>
        </w:rPr>
        <w:t xml:space="preserve"> </w:t>
      </w:r>
      <w:r w:rsidRPr="003D2D46">
        <w:rPr>
          <w:rFonts w:ascii="Times New Roman" w:eastAsia="Calibri" w:hAnsi="Times New Roman" w:cs="Times New Roman"/>
        </w:rPr>
        <w:t>applicable</w:t>
      </w:r>
      <w:r w:rsidRPr="003D2D46">
        <w:rPr>
          <w:rFonts w:ascii="Times New Roman" w:hAnsi="Times New Roman" w:cs="Times New Roman"/>
        </w:rPr>
        <w:t xml:space="preserve">] . </w:t>
      </w:r>
    </w:p>
    <w:p w14:paraId="7BAE5A5B" w14:textId="77777777" w:rsidR="005C02FA" w:rsidRPr="003D2D46" w:rsidRDefault="005C02FA" w:rsidP="005C02FA">
      <w:pPr>
        <w:spacing w:line="480" w:lineRule="auto"/>
        <w:rPr>
          <w:rFonts w:ascii="Times New Roman" w:eastAsia="Calibri" w:hAnsi="Times New Roman" w:cs="Times New Roman"/>
        </w:rPr>
      </w:pPr>
    </w:p>
    <w:p w14:paraId="6ACD5B67" w14:textId="77777777" w:rsidR="005C02FA" w:rsidRPr="003D2D46" w:rsidRDefault="005C02FA" w:rsidP="005C02FA">
      <w:pPr>
        <w:spacing w:line="480" w:lineRule="auto"/>
        <w:rPr>
          <w:rFonts w:ascii="Times New Roman" w:hAnsi="Times New Roman" w:cs="Times New Roman"/>
        </w:rPr>
      </w:pPr>
      <w:r w:rsidRPr="003D2D46">
        <w:rPr>
          <w:rFonts w:ascii="Times New Roman" w:eastAsia="Calibri" w:hAnsi="Times New Roman" w:cs="Times New Roman"/>
        </w:rPr>
        <w:t>Is</w:t>
      </w:r>
      <w:r w:rsidRPr="003D2D46">
        <w:rPr>
          <w:rFonts w:ascii="Times New Roman" w:hAnsi="Times New Roman" w:cs="Times New Roman"/>
        </w:rPr>
        <w:t xml:space="preserve"> </w:t>
      </w:r>
      <w:r w:rsidRPr="003D2D46">
        <w:rPr>
          <w:rFonts w:ascii="Times New Roman" w:eastAsia="Calibri" w:hAnsi="Times New Roman" w:cs="Times New Roman"/>
        </w:rPr>
        <w:t>there</w:t>
      </w:r>
      <w:r w:rsidRPr="003D2D46">
        <w:rPr>
          <w:rFonts w:ascii="Times New Roman" w:hAnsi="Times New Roman" w:cs="Times New Roman"/>
        </w:rPr>
        <w:t xml:space="preserve"> </w:t>
      </w:r>
      <w:r w:rsidRPr="003D2D46">
        <w:rPr>
          <w:rFonts w:ascii="Times New Roman" w:eastAsia="Calibri" w:hAnsi="Times New Roman" w:cs="Times New Roman"/>
        </w:rPr>
        <w:t>anything</w:t>
      </w:r>
      <w:r w:rsidRPr="003D2D46">
        <w:rPr>
          <w:rFonts w:ascii="Times New Roman" w:hAnsi="Times New Roman" w:cs="Times New Roman"/>
        </w:rPr>
        <w:t xml:space="preserve"> </w:t>
      </w:r>
      <w:r w:rsidRPr="003D2D46">
        <w:rPr>
          <w:rFonts w:ascii="Times New Roman" w:eastAsia="Calibri" w:hAnsi="Times New Roman" w:cs="Times New Roman"/>
        </w:rPr>
        <w:t>else</w:t>
      </w:r>
      <w:r w:rsidRPr="003D2D46">
        <w:rPr>
          <w:rFonts w:ascii="Times New Roman" w:hAnsi="Times New Roman" w:cs="Times New Roman"/>
        </w:rPr>
        <w:t xml:space="preserve"> </w:t>
      </w:r>
      <w:r w:rsidRPr="003D2D46">
        <w:rPr>
          <w:rFonts w:ascii="Times New Roman" w:eastAsia="Calibri" w:hAnsi="Times New Roman" w:cs="Times New Roman"/>
        </w:rPr>
        <w:t>you</w:t>
      </w:r>
      <w:r w:rsidRPr="003D2D46">
        <w:rPr>
          <w:rFonts w:ascii="Times New Roman" w:hAnsi="Times New Roman" w:cs="Times New Roman"/>
        </w:rPr>
        <w:t>’</w:t>
      </w:r>
      <w:r w:rsidRPr="003D2D46">
        <w:rPr>
          <w:rFonts w:ascii="Times New Roman" w:eastAsia="Calibri" w:hAnsi="Times New Roman" w:cs="Times New Roman"/>
        </w:rPr>
        <w:t>d</w:t>
      </w:r>
      <w:r w:rsidRPr="003D2D46">
        <w:rPr>
          <w:rFonts w:ascii="Times New Roman" w:hAnsi="Times New Roman" w:cs="Times New Roman"/>
        </w:rPr>
        <w:t xml:space="preserve"> </w:t>
      </w:r>
      <w:r w:rsidRPr="003D2D46">
        <w:rPr>
          <w:rFonts w:ascii="Times New Roman" w:eastAsia="Calibri" w:hAnsi="Times New Roman" w:cs="Times New Roman"/>
        </w:rPr>
        <w:t>like</w:t>
      </w:r>
      <w:r w:rsidRPr="003D2D46">
        <w:rPr>
          <w:rFonts w:ascii="Times New Roman" w:hAnsi="Times New Roman" w:cs="Times New Roman"/>
        </w:rPr>
        <w:t xml:space="preserve"> </w:t>
      </w:r>
      <w:r w:rsidRPr="003D2D46">
        <w:rPr>
          <w:rFonts w:ascii="Times New Roman" w:eastAsia="Calibri" w:hAnsi="Times New Roman" w:cs="Times New Roman"/>
        </w:rPr>
        <w:t>to</w:t>
      </w:r>
      <w:r w:rsidRPr="003D2D46">
        <w:rPr>
          <w:rFonts w:ascii="Times New Roman" w:hAnsi="Times New Roman" w:cs="Times New Roman"/>
        </w:rPr>
        <w:t xml:space="preserve"> </w:t>
      </w:r>
      <w:r w:rsidRPr="003D2D46">
        <w:rPr>
          <w:rFonts w:ascii="Times New Roman" w:eastAsia="Calibri" w:hAnsi="Times New Roman" w:cs="Times New Roman"/>
        </w:rPr>
        <w:t>share</w:t>
      </w:r>
      <w:r w:rsidRPr="003D2D46">
        <w:rPr>
          <w:rFonts w:ascii="Times New Roman" w:hAnsi="Times New Roman" w:cs="Times New Roman"/>
        </w:rPr>
        <w:t xml:space="preserve"> </w:t>
      </w:r>
      <w:r w:rsidRPr="003D2D46">
        <w:rPr>
          <w:rFonts w:ascii="Times New Roman" w:eastAsia="Calibri" w:hAnsi="Times New Roman" w:cs="Times New Roman"/>
        </w:rPr>
        <w:t>with</w:t>
      </w:r>
      <w:r w:rsidRPr="003D2D46">
        <w:rPr>
          <w:rFonts w:ascii="Times New Roman" w:hAnsi="Times New Roman" w:cs="Times New Roman"/>
        </w:rPr>
        <w:t xml:space="preserve"> </w:t>
      </w:r>
      <w:r w:rsidRPr="003D2D46">
        <w:rPr>
          <w:rFonts w:ascii="Times New Roman" w:eastAsia="Calibri" w:hAnsi="Times New Roman" w:cs="Times New Roman"/>
        </w:rPr>
        <w:t>me</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your</w:t>
      </w:r>
      <w:r w:rsidRPr="003D2D46">
        <w:rPr>
          <w:rFonts w:ascii="Times New Roman" w:hAnsi="Times New Roman" w:cs="Times New Roman"/>
        </w:rPr>
        <w:t xml:space="preserve"> </w:t>
      </w:r>
      <w:r w:rsidRPr="003D2D46">
        <w:rPr>
          <w:rFonts w:ascii="Times New Roman" w:eastAsia="Calibri" w:hAnsi="Times New Roman" w:cs="Times New Roman"/>
        </w:rPr>
        <w:t>experiences</w:t>
      </w:r>
      <w:r w:rsidRPr="003D2D46">
        <w:rPr>
          <w:rFonts w:ascii="Times New Roman" w:hAnsi="Times New Roman" w:cs="Times New Roman"/>
        </w:rPr>
        <w:t xml:space="preserve"> </w:t>
      </w:r>
      <w:r w:rsidRPr="003D2D46">
        <w:rPr>
          <w:rFonts w:ascii="Times New Roman" w:eastAsia="Calibri" w:hAnsi="Times New Roman" w:cs="Times New Roman"/>
        </w:rPr>
        <w:t>and</w:t>
      </w:r>
      <w:r w:rsidRPr="003D2D46">
        <w:rPr>
          <w:rFonts w:ascii="Times New Roman" w:hAnsi="Times New Roman" w:cs="Times New Roman"/>
        </w:rPr>
        <w:t xml:space="preserve"> </w:t>
      </w:r>
      <w:r w:rsidRPr="003D2D46">
        <w:rPr>
          <w:rFonts w:ascii="Times New Roman" w:eastAsia="Calibri" w:hAnsi="Times New Roman" w:cs="Times New Roman"/>
        </w:rPr>
        <w:t>ideas</w:t>
      </w:r>
      <w:r w:rsidRPr="003D2D46">
        <w:rPr>
          <w:rFonts w:ascii="Times New Roman" w:hAnsi="Times New Roman" w:cs="Times New Roman"/>
        </w:rPr>
        <w:t xml:space="preserve"> </w:t>
      </w:r>
      <w:r w:rsidRPr="003D2D46">
        <w:rPr>
          <w:rFonts w:ascii="Times New Roman" w:eastAsia="Calibri" w:hAnsi="Times New Roman" w:cs="Times New Roman"/>
        </w:rPr>
        <w:t>about</w:t>
      </w:r>
      <w:r w:rsidRPr="003D2D46">
        <w:rPr>
          <w:rFonts w:ascii="Times New Roman" w:hAnsi="Times New Roman" w:cs="Times New Roman"/>
        </w:rPr>
        <w:t xml:space="preserve"> </w:t>
      </w:r>
      <w:r w:rsidRPr="003D2D46">
        <w:rPr>
          <w:rFonts w:ascii="Times New Roman" w:eastAsia="Calibri" w:hAnsi="Times New Roman" w:cs="Times New Roman"/>
        </w:rPr>
        <w:t>vaccination</w:t>
      </w:r>
      <w:r w:rsidRPr="003D2D46">
        <w:rPr>
          <w:rFonts w:ascii="Times New Roman" w:hAnsi="Times New Roman" w:cs="Times New Roman"/>
        </w:rPr>
        <w:t xml:space="preserve"> </w:t>
      </w:r>
      <w:r w:rsidRPr="003D2D46">
        <w:rPr>
          <w:rFonts w:ascii="Times New Roman" w:eastAsia="Calibri" w:hAnsi="Times New Roman" w:cs="Times New Roman"/>
        </w:rPr>
        <w:t>or</w:t>
      </w:r>
      <w:r w:rsidRPr="003D2D46">
        <w:rPr>
          <w:rFonts w:ascii="Times New Roman" w:hAnsi="Times New Roman" w:cs="Times New Roman"/>
        </w:rPr>
        <w:t xml:space="preserve"> </w:t>
      </w:r>
      <w:r w:rsidRPr="003D2D46">
        <w:rPr>
          <w:rFonts w:ascii="Times New Roman" w:eastAsia="Calibri" w:hAnsi="Times New Roman" w:cs="Times New Roman"/>
        </w:rPr>
        <w:t>whooping</w:t>
      </w:r>
      <w:r w:rsidRPr="003D2D46">
        <w:rPr>
          <w:rFonts w:ascii="Times New Roman" w:hAnsi="Times New Roman" w:cs="Times New Roman"/>
        </w:rPr>
        <w:t xml:space="preserve"> </w:t>
      </w:r>
      <w:r w:rsidRPr="003D2D46">
        <w:rPr>
          <w:rFonts w:ascii="Times New Roman" w:eastAsia="Calibri" w:hAnsi="Times New Roman" w:cs="Times New Roman"/>
        </w:rPr>
        <w:t>cough</w:t>
      </w:r>
      <w:r w:rsidRPr="003D2D46">
        <w:rPr>
          <w:rFonts w:ascii="Times New Roman" w:hAnsi="Times New Roman" w:cs="Times New Roman"/>
        </w:rPr>
        <w:t xml:space="preserve">?  </w:t>
      </w:r>
    </w:p>
    <w:p w14:paraId="2622B53F" w14:textId="77777777" w:rsidR="005C02FA" w:rsidRPr="003D2D46" w:rsidRDefault="005C02FA">
      <w:pPr>
        <w:rPr>
          <w:rFonts w:ascii="Times New Roman" w:hAnsi="Times New Roman" w:cs="Times New Roman"/>
          <w:color w:val="000000" w:themeColor="text1"/>
        </w:rPr>
      </w:pPr>
    </w:p>
    <w:p w14:paraId="521E2A3F" w14:textId="6D2B0319" w:rsidR="005C71D2" w:rsidRPr="003D2D46" w:rsidRDefault="005C71D2">
      <w:pPr>
        <w:rPr>
          <w:rFonts w:ascii="Times New Roman" w:hAnsi="Times New Roman" w:cs="Times New Roman"/>
          <w:color w:val="000000" w:themeColor="text1"/>
        </w:rPr>
      </w:pPr>
      <w:r w:rsidRPr="003D2D46">
        <w:rPr>
          <w:rFonts w:ascii="Times New Roman" w:hAnsi="Times New Roman" w:cs="Times New Roman"/>
          <w:color w:val="000000" w:themeColor="text1"/>
        </w:rPr>
        <w:br w:type="page"/>
      </w:r>
    </w:p>
    <w:p w14:paraId="36C176B8" w14:textId="77777777" w:rsidR="00236E6D" w:rsidRPr="003D2D46" w:rsidRDefault="00526151">
      <w:pPr>
        <w:pStyle w:val="Heading1"/>
        <w:spacing w:line="480" w:lineRule="auto"/>
        <w:rPr>
          <w:rFonts w:ascii="Times New Roman" w:hAnsi="Times New Roman" w:cs="Times New Roman"/>
          <w:color w:val="000000" w:themeColor="text1"/>
          <w:sz w:val="24"/>
        </w:rPr>
      </w:pPr>
      <w:bookmarkStart w:id="263" w:name="_Toc289175845"/>
      <w:bookmarkStart w:id="264" w:name="_Toc82445593"/>
      <w:bookmarkStart w:id="265" w:name="_Toc87797162"/>
      <w:r w:rsidRPr="003D2D46">
        <w:rPr>
          <w:rFonts w:ascii="Times New Roman" w:hAnsi="Times New Roman" w:cs="Times New Roman"/>
          <w:color w:val="000000" w:themeColor="text1"/>
          <w:sz w:val="24"/>
        </w:rPr>
        <w:lastRenderedPageBreak/>
        <w:t>VITA</w:t>
      </w:r>
      <w:bookmarkEnd w:id="263"/>
      <w:bookmarkEnd w:id="264"/>
      <w:bookmarkEnd w:id="265"/>
    </w:p>
    <w:p w14:paraId="5566274C" w14:textId="77777777" w:rsidR="00CE7F01" w:rsidRPr="003D2D46" w:rsidRDefault="00CE7F01" w:rsidP="00580A15">
      <w:pPr>
        <w:spacing w:line="480" w:lineRule="auto"/>
        <w:rPr>
          <w:rFonts w:ascii="Times New Roman" w:hAnsi="Times New Roman" w:cs="Times New Roman"/>
          <w:color w:val="000000" w:themeColor="text1"/>
        </w:rPr>
      </w:pPr>
      <w:r w:rsidRPr="003D2D46">
        <w:rPr>
          <w:rFonts w:ascii="Times New Roman" w:hAnsi="Times New Roman" w:cs="Times New Roman"/>
          <w:color w:val="000000" w:themeColor="text1"/>
        </w:rPr>
        <w:t xml:space="preserve">Corinne Tandy was born in Knoxville, TN. They pursued degrees in Anthropology at the University of Tennessee, Knoxville (BA, 2009) and Forensic Anthropology at </w:t>
      </w:r>
      <w:r w:rsidR="006639D5" w:rsidRPr="003D2D46">
        <w:rPr>
          <w:rFonts w:ascii="Times New Roman" w:hAnsi="Times New Roman" w:cs="Times New Roman"/>
          <w:color w:val="000000" w:themeColor="text1"/>
        </w:rPr>
        <w:t xml:space="preserve">the </w:t>
      </w:r>
      <w:r w:rsidRPr="003D2D46">
        <w:rPr>
          <w:rFonts w:ascii="Times New Roman" w:hAnsi="Times New Roman" w:cs="Times New Roman"/>
          <w:color w:val="000000" w:themeColor="text1"/>
        </w:rPr>
        <w:t xml:space="preserve">Boston University School of Medicine (MS, 2011) before pursuing </w:t>
      </w:r>
      <w:r w:rsidR="00C34911" w:rsidRPr="003D2D46">
        <w:rPr>
          <w:rFonts w:ascii="Times New Roman" w:hAnsi="Times New Roman" w:cs="Times New Roman"/>
          <w:color w:val="000000" w:themeColor="text1"/>
        </w:rPr>
        <w:t>their</w:t>
      </w:r>
      <w:r w:rsidRPr="003D2D46">
        <w:rPr>
          <w:rFonts w:ascii="Times New Roman" w:hAnsi="Times New Roman" w:cs="Times New Roman"/>
          <w:color w:val="000000" w:themeColor="text1"/>
        </w:rPr>
        <w:t xml:space="preserve"> PhD in Comparative and Experimental Medicine with concentration</w:t>
      </w:r>
      <w:r w:rsidR="00EB69CD" w:rsidRPr="003D2D46">
        <w:rPr>
          <w:rFonts w:ascii="Times New Roman" w:hAnsi="Times New Roman" w:cs="Times New Roman"/>
          <w:color w:val="000000" w:themeColor="text1"/>
        </w:rPr>
        <w:t>s</w:t>
      </w:r>
      <w:r w:rsidRPr="003D2D46">
        <w:rPr>
          <w:rFonts w:ascii="Times New Roman" w:hAnsi="Times New Roman" w:cs="Times New Roman"/>
          <w:color w:val="000000" w:themeColor="text1"/>
        </w:rPr>
        <w:t xml:space="preserve"> in infectious diseases and epidemiology at the University of Tennessee, Knoxville. </w:t>
      </w:r>
    </w:p>
    <w:sectPr w:rsidR="00CE7F01" w:rsidRPr="003D2D46" w:rsidSect="002958A6">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29344" w14:textId="77777777" w:rsidR="00D32FDA" w:rsidRDefault="00D32FDA" w:rsidP="005E54E2">
      <w:r>
        <w:separator/>
      </w:r>
    </w:p>
    <w:p w14:paraId="4A486E9F" w14:textId="77777777" w:rsidR="00D32FDA" w:rsidRDefault="00D32FDA" w:rsidP="005E54E2"/>
    <w:p w14:paraId="57C89836" w14:textId="77777777" w:rsidR="00D32FDA" w:rsidRDefault="00D32FDA" w:rsidP="005E54E2"/>
    <w:p w14:paraId="45843046" w14:textId="77777777" w:rsidR="00D32FDA" w:rsidRDefault="00D32FDA" w:rsidP="005E54E2"/>
  </w:endnote>
  <w:endnote w:type="continuationSeparator" w:id="0">
    <w:p w14:paraId="67871EC9" w14:textId="77777777" w:rsidR="00D32FDA" w:rsidRDefault="00D32FDA" w:rsidP="005E54E2">
      <w:r>
        <w:continuationSeparator/>
      </w:r>
    </w:p>
    <w:p w14:paraId="45B4F556" w14:textId="77777777" w:rsidR="00D32FDA" w:rsidRDefault="00D32FDA" w:rsidP="005E54E2"/>
    <w:p w14:paraId="4A34C8CC" w14:textId="77777777" w:rsidR="00D32FDA" w:rsidRDefault="00D32FDA" w:rsidP="005E54E2"/>
    <w:p w14:paraId="66080ACE" w14:textId="77777777" w:rsidR="00D32FDA" w:rsidRDefault="00D32FD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6112D" w14:textId="77777777" w:rsidR="004F0890" w:rsidRPr="004F0890" w:rsidRDefault="004F0890">
    <w:pPr>
      <w:pStyle w:val="Footer"/>
      <w:jc w:val="right"/>
      <w:rPr>
        <w:rFonts w:ascii="Times New Roman" w:hAnsi="Times New Roman" w:cs="Times New Roman"/>
      </w:rPr>
    </w:pPr>
    <w:r w:rsidRPr="004F0890">
      <w:rPr>
        <w:rFonts w:ascii="Times New Roman" w:hAnsi="Times New Roman" w:cs="Times New Roman"/>
      </w:rPr>
      <w:fldChar w:fldCharType="begin"/>
    </w:r>
    <w:r w:rsidRPr="004F0890">
      <w:rPr>
        <w:rFonts w:ascii="Times New Roman" w:hAnsi="Times New Roman" w:cs="Times New Roman"/>
      </w:rPr>
      <w:instrText xml:space="preserve"> PAGE   \* MERGEFORMAT </w:instrText>
    </w:r>
    <w:r w:rsidRPr="004F0890">
      <w:rPr>
        <w:rFonts w:ascii="Times New Roman" w:hAnsi="Times New Roman" w:cs="Times New Roman"/>
      </w:rPr>
      <w:fldChar w:fldCharType="separate"/>
    </w:r>
    <w:r w:rsidRPr="004F0890">
      <w:rPr>
        <w:rFonts w:ascii="Times New Roman" w:hAnsi="Times New Roman" w:cs="Times New Roman"/>
        <w:noProof/>
      </w:rPr>
      <w:t>13</w:t>
    </w:r>
    <w:r w:rsidRPr="004F0890">
      <w:rPr>
        <w:rFonts w:ascii="Times New Roman" w:hAnsi="Times New Roman" w:cs="Times New Roman"/>
        <w:noProof/>
      </w:rPr>
      <w:fldChar w:fldCharType="end"/>
    </w:r>
  </w:p>
  <w:p w14:paraId="2E7DC7BC" w14:textId="77777777" w:rsidR="004F0890" w:rsidRDefault="004F0890"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69C1B" w14:textId="77777777" w:rsidR="00D32FDA" w:rsidRDefault="00D32FDA" w:rsidP="005E54E2">
      <w:r>
        <w:separator/>
      </w:r>
    </w:p>
    <w:p w14:paraId="6C0F758C" w14:textId="77777777" w:rsidR="00D32FDA" w:rsidRDefault="00D32FDA" w:rsidP="005E54E2"/>
    <w:p w14:paraId="281D6F7A" w14:textId="77777777" w:rsidR="00D32FDA" w:rsidRDefault="00D32FDA" w:rsidP="005E54E2"/>
    <w:p w14:paraId="0C4A594A" w14:textId="77777777" w:rsidR="00D32FDA" w:rsidRDefault="00D32FDA" w:rsidP="005E54E2"/>
  </w:footnote>
  <w:footnote w:type="continuationSeparator" w:id="0">
    <w:p w14:paraId="6D0EEFBC" w14:textId="77777777" w:rsidR="00D32FDA" w:rsidRDefault="00D32FDA" w:rsidP="005E54E2">
      <w:r>
        <w:continuationSeparator/>
      </w:r>
    </w:p>
    <w:p w14:paraId="711001F8" w14:textId="77777777" w:rsidR="00D32FDA" w:rsidRDefault="00D32FDA" w:rsidP="005E54E2"/>
    <w:p w14:paraId="0E287EE8" w14:textId="77777777" w:rsidR="00D32FDA" w:rsidRDefault="00D32FDA" w:rsidP="005E54E2"/>
    <w:p w14:paraId="42994ED7" w14:textId="77777777" w:rsidR="00D32FDA" w:rsidRDefault="00D32FDA"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F3CC9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7F8F8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E669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7B407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B98B0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0C24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FEBC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3C49B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F26B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8A38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3BCD"/>
    <w:multiLevelType w:val="multilevel"/>
    <w:tmpl w:val="E38C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400EC1"/>
    <w:multiLevelType w:val="hybridMultilevel"/>
    <w:tmpl w:val="4A8EA5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6C1697"/>
    <w:multiLevelType w:val="hybridMultilevel"/>
    <w:tmpl w:val="824ACBA8"/>
    <w:lvl w:ilvl="0" w:tplc="FC700A6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F688D"/>
    <w:multiLevelType w:val="multilevel"/>
    <w:tmpl w:val="8EB41B40"/>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4" w15:restartNumberingAfterBreak="0">
    <w:nsid w:val="2AB9338E"/>
    <w:multiLevelType w:val="hybridMultilevel"/>
    <w:tmpl w:val="F4FAD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6C49C4"/>
    <w:multiLevelType w:val="hybridMultilevel"/>
    <w:tmpl w:val="739CC68A"/>
    <w:lvl w:ilvl="0" w:tplc="519C2C5E">
      <w:start w:val="1"/>
      <w:numFmt w:val="bullet"/>
      <w:lvlText w:val="-"/>
      <w:lvlJc w:val="left"/>
      <w:pPr>
        <w:ind w:left="1350" w:hanging="360"/>
      </w:pPr>
      <w:rPr>
        <w:rFonts w:ascii="Calibri" w:eastAsiaTheme="minorHAnsi" w:hAnsi="Calibri" w:cs="Calibri"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E135D00"/>
    <w:multiLevelType w:val="hybridMultilevel"/>
    <w:tmpl w:val="BDE6B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11FFF"/>
    <w:multiLevelType w:val="hybridMultilevel"/>
    <w:tmpl w:val="5ACEEF20"/>
    <w:lvl w:ilvl="0" w:tplc="39B8C684">
      <w:start w:val="1"/>
      <w:numFmt w:val="decimal"/>
      <w:lvlText w:val="%1."/>
      <w:lvlJc w:val="left"/>
      <w:pPr>
        <w:ind w:left="9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C57A39"/>
    <w:multiLevelType w:val="multilevel"/>
    <w:tmpl w:val="510A838C"/>
    <w:lvl w:ilvl="0">
      <w:start w:val="1"/>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19" w15:restartNumberingAfterBreak="0">
    <w:nsid w:val="494E6FF8"/>
    <w:multiLevelType w:val="hybridMultilevel"/>
    <w:tmpl w:val="1EBC8478"/>
    <w:lvl w:ilvl="0" w:tplc="5F268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D067BD"/>
    <w:multiLevelType w:val="multilevel"/>
    <w:tmpl w:val="25C2F1E2"/>
    <w:lvl w:ilvl="0">
      <w:start w:val="1"/>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62AC2CAB"/>
    <w:multiLevelType w:val="hybridMultilevel"/>
    <w:tmpl w:val="1EBC8478"/>
    <w:lvl w:ilvl="0" w:tplc="5F268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5A1B90"/>
    <w:multiLevelType w:val="hybridMultilevel"/>
    <w:tmpl w:val="AA70FC22"/>
    <w:lvl w:ilvl="0" w:tplc="DA94128A">
      <w:start w:val="1"/>
      <w:numFmt w:val="upperRoman"/>
      <w:lvlText w:val="%1."/>
      <w:lvlJc w:val="left"/>
      <w:pPr>
        <w:ind w:left="720" w:hanging="720"/>
      </w:pPr>
      <w:rPr>
        <w:rFonts w:hint="default"/>
      </w:rPr>
    </w:lvl>
    <w:lvl w:ilvl="1" w:tplc="4F8C22BC">
      <w:start w:val="1"/>
      <w:numFmt w:val="lowerLetter"/>
      <w:lvlText w:val="%2."/>
      <w:lvlJc w:val="left"/>
      <w:pPr>
        <w:ind w:left="1080" w:hanging="360"/>
      </w:pPr>
      <w:rPr>
        <w:i w:val="0"/>
      </w:rPr>
    </w:lvl>
    <w:lvl w:ilvl="2" w:tplc="77A43FCA">
      <w:start w:val="1"/>
      <w:numFmt w:val="lowerRoman"/>
      <w:lvlText w:val="%3."/>
      <w:lvlJc w:val="right"/>
      <w:pPr>
        <w:ind w:left="1800" w:hanging="180"/>
      </w:pPr>
      <w:rPr>
        <w:i w:val="0"/>
      </w:rPr>
    </w:lvl>
    <w:lvl w:ilvl="3" w:tplc="D93676BA">
      <w:start w:val="1"/>
      <w:numFmt w:val="decimal"/>
      <w:lvlText w:val="%4."/>
      <w:lvlJc w:val="left"/>
      <w:pPr>
        <w:ind w:left="2520" w:hanging="360"/>
      </w:pPr>
      <w:rPr>
        <w:i w:val="0"/>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9983C57"/>
    <w:multiLevelType w:val="multilevel"/>
    <w:tmpl w:val="2368B31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EF918FA"/>
    <w:multiLevelType w:val="multilevel"/>
    <w:tmpl w:val="EC6EDFF2"/>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num w:numId="1">
    <w:abstractNumId w:val="15"/>
  </w:num>
  <w:num w:numId="2">
    <w:abstractNumId w:val="23"/>
  </w:num>
  <w:num w:numId="3">
    <w:abstractNumId w:val="11"/>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14"/>
  </w:num>
  <w:num w:numId="16">
    <w:abstractNumId w:val="24"/>
  </w:num>
  <w:num w:numId="17">
    <w:abstractNumId w:val="13"/>
  </w:num>
  <w:num w:numId="18">
    <w:abstractNumId w:val="18"/>
  </w:num>
  <w:num w:numId="19">
    <w:abstractNumId w:val="20"/>
  </w:num>
  <w:num w:numId="20">
    <w:abstractNumId w:val="16"/>
  </w:num>
  <w:num w:numId="21">
    <w:abstractNumId w:val="21"/>
  </w:num>
  <w:num w:numId="22">
    <w:abstractNumId w:val="22"/>
  </w:num>
  <w:num w:numId="23">
    <w:abstractNumId w:val="19"/>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C87"/>
    <w:rsid w:val="00001029"/>
    <w:rsid w:val="000033A9"/>
    <w:rsid w:val="00003F6A"/>
    <w:rsid w:val="00014A3E"/>
    <w:rsid w:val="000156E9"/>
    <w:rsid w:val="000157BB"/>
    <w:rsid w:val="000166A9"/>
    <w:rsid w:val="00016983"/>
    <w:rsid w:val="00022D45"/>
    <w:rsid w:val="00023EDE"/>
    <w:rsid w:val="000250A2"/>
    <w:rsid w:val="0002750E"/>
    <w:rsid w:val="00030DD4"/>
    <w:rsid w:val="00033260"/>
    <w:rsid w:val="00034E09"/>
    <w:rsid w:val="0003672C"/>
    <w:rsid w:val="00037B22"/>
    <w:rsid w:val="00037E15"/>
    <w:rsid w:val="00040588"/>
    <w:rsid w:val="00043F0A"/>
    <w:rsid w:val="00044333"/>
    <w:rsid w:val="00044A8F"/>
    <w:rsid w:val="000475D7"/>
    <w:rsid w:val="00051646"/>
    <w:rsid w:val="00051C27"/>
    <w:rsid w:val="000527CF"/>
    <w:rsid w:val="00057004"/>
    <w:rsid w:val="00060A6A"/>
    <w:rsid w:val="00062587"/>
    <w:rsid w:val="00064C54"/>
    <w:rsid w:val="00067170"/>
    <w:rsid w:val="00071FB8"/>
    <w:rsid w:val="00072D26"/>
    <w:rsid w:val="00072E2F"/>
    <w:rsid w:val="00076A95"/>
    <w:rsid w:val="00080CD0"/>
    <w:rsid w:val="00081674"/>
    <w:rsid w:val="00082EDB"/>
    <w:rsid w:val="0008590D"/>
    <w:rsid w:val="00096108"/>
    <w:rsid w:val="000A39F0"/>
    <w:rsid w:val="000A508B"/>
    <w:rsid w:val="000A54E8"/>
    <w:rsid w:val="000B42C3"/>
    <w:rsid w:val="000B4D47"/>
    <w:rsid w:val="000B5C42"/>
    <w:rsid w:val="000B5FF5"/>
    <w:rsid w:val="000C143A"/>
    <w:rsid w:val="000C1FD1"/>
    <w:rsid w:val="000C5C0C"/>
    <w:rsid w:val="000D0A36"/>
    <w:rsid w:val="000D0B9C"/>
    <w:rsid w:val="000D1486"/>
    <w:rsid w:val="000D165C"/>
    <w:rsid w:val="000D5D44"/>
    <w:rsid w:val="000D64A9"/>
    <w:rsid w:val="000D70BC"/>
    <w:rsid w:val="000D7D56"/>
    <w:rsid w:val="000E0572"/>
    <w:rsid w:val="000E409A"/>
    <w:rsid w:val="000F0A54"/>
    <w:rsid w:val="000F23E9"/>
    <w:rsid w:val="000F5D77"/>
    <w:rsid w:val="0010217F"/>
    <w:rsid w:val="00105080"/>
    <w:rsid w:val="00106487"/>
    <w:rsid w:val="001160DF"/>
    <w:rsid w:val="00116B8D"/>
    <w:rsid w:val="00126EAC"/>
    <w:rsid w:val="001276DF"/>
    <w:rsid w:val="001345E7"/>
    <w:rsid w:val="00136D0C"/>
    <w:rsid w:val="00140224"/>
    <w:rsid w:val="001433A6"/>
    <w:rsid w:val="00150F4D"/>
    <w:rsid w:val="00154BE9"/>
    <w:rsid w:val="001579D0"/>
    <w:rsid w:val="00160114"/>
    <w:rsid w:val="001602B8"/>
    <w:rsid w:val="001636D5"/>
    <w:rsid w:val="001800FD"/>
    <w:rsid w:val="00184A7F"/>
    <w:rsid w:val="001854FB"/>
    <w:rsid w:val="00193642"/>
    <w:rsid w:val="00197660"/>
    <w:rsid w:val="001A08B1"/>
    <w:rsid w:val="001A19F9"/>
    <w:rsid w:val="001A2F76"/>
    <w:rsid w:val="001B1034"/>
    <w:rsid w:val="001B5EF1"/>
    <w:rsid w:val="001C1DBA"/>
    <w:rsid w:val="001C39F6"/>
    <w:rsid w:val="001C5503"/>
    <w:rsid w:val="001C66FE"/>
    <w:rsid w:val="001D4908"/>
    <w:rsid w:val="001D6904"/>
    <w:rsid w:val="001E4CF0"/>
    <w:rsid w:val="001F43C1"/>
    <w:rsid w:val="001F522F"/>
    <w:rsid w:val="001F5989"/>
    <w:rsid w:val="00200C14"/>
    <w:rsid w:val="00201EA9"/>
    <w:rsid w:val="002023BE"/>
    <w:rsid w:val="00206E89"/>
    <w:rsid w:val="0021129D"/>
    <w:rsid w:val="00214C31"/>
    <w:rsid w:val="00215C1D"/>
    <w:rsid w:val="00217173"/>
    <w:rsid w:val="002176F6"/>
    <w:rsid w:val="0022210F"/>
    <w:rsid w:val="002340D6"/>
    <w:rsid w:val="002346A1"/>
    <w:rsid w:val="00236E6D"/>
    <w:rsid w:val="002429E5"/>
    <w:rsid w:val="00242FD3"/>
    <w:rsid w:val="00246AF3"/>
    <w:rsid w:val="00250E71"/>
    <w:rsid w:val="00251CCF"/>
    <w:rsid w:val="00254AEF"/>
    <w:rsid w:val="00254B4E"/>
    <w:rsid w:val="002572DD"/>
    <w:rsid w:val="00261B12"/>
    <w:rsid w:val="002656CD"/>
    <w:rsid w:val="00267846"/>
    <w:rsid w:val="00280CEF"/>
    <w:rsid w:val="00282889"/>
    <w:rsid w:val="0028757A"/>
    <w:rsid w:val="0029236E"/>
    <w:rsid w:val="00292AAF"/>
    <w:rsid w:val="00292D3E"/>
    <w:rsid w:val="002958A6"/>
    <w:rsid w:val="002A12F0"/>
    <w:rsid w:val="002A3264"/>
    <w:rsid w:val="002A3E84"/>
    <w:rsid w:val="002A5723"/>
    <w:rsid w:val="002A58CB"/>
    <w:rsid w:val="002B5ABD"/>
    <w:rsid w:val="002C20AB"/>
    <w:rsid w:val="002D0E7B"/>
    <w:rsid w:val="002D1847"/>
    <w:rsid w:val="002D43E9"/>
    <w:rsid w:val="002D463A"/>
    <w:rsid w:val="002D4E7C"/>
    <w:rsid w:val="002E0C33"/>
    <w:rsid w:val="002E2492"/>
    <w:rsid w:val="002E2DEF"/>
    <w:rsid w:val="002E5F14"/>
    <w:rsid w:val="002F0AAB"/>
    <w:rsid w:val="002F5CB9"/>
    <w:rsid w:val="002F6C76"/>
    <w:rsid w:val="00304BD0"/>
    <w:rsid w:val="003050D2"/>
    <w:rsid w:val="003055A0"/>
    <w:rsid w:val="003073A3"/>
    <w:rsid w:val="00307D77"/>
    <w:rsid w:val="0031027D"/>
    <w:rsid w:val="00313E9E"/>
    <w:rsid w:val="003150D5"/>
    <w:rsid w:val="003206F1"/>
    <w:rsid w:val="00320F78"/>
    <w:rsid w:val="00330B03"/>
    <w:rsid w:val="00332D09"/>
    <w:rsid w:val="0033412F"/>
    <w:rsid w:val="00334400"/>
    <w:rsid w:val="003348A6"/>
    <w:rsid w:val="00335565"/>
    <w:rsid w:val="003379B7"/>
    <w:rsid w:val="00340169"/>
    <w:rsid w:val="00342E8A"/>
    <w:rsid w:val="003562FD"/>
    <w:rsid w:val="00356468"/>
    <w:rsid w:val="0035768F"/>
    <w:rsid w:val="00357C4A"/>
    <w:rsid w:val="00360371"/>
    <w:rsid w:val="00360B3C"/>
    <w:rsid w:val="0036251E"/>
    <w:rsid w:val="003630D9"/>
    <w:rsid w:val="003659D9"/>
    <w:rsid w:val="00367CA5"/>
    <w:rsid w:val="00371213"/>
    <w:rsid w:val="00373919"/>
    <w:rsid w:val="0038177C"/>
    <w:rsid w:val="003836EB"/>
    <w:rsid w:val="00383A0F"/>
    <w:rsid w:val="003842C7"/>
    <w:rsid w:val="00385962"/>
    <w:rsid w:val="00387024"/>
    <w:rsid w:val="00387656"/>
    <w:rsid w:val="00387D5F"/>
    <w:rsid w:val="00394464"/>
    <w:rsid w:val="00395F08"/>
    <w:rsid w:val="00396BE3"/>
    <w:rsid w:val="003A0DB7"/>
    <w:rsid w:val="003A448B"/>
    <w:rsid w:val="003B4553"/>
    <w:rsid w:val="003C070F"/>
    <w:rsid w:val="003C1575"/>
    <w:rsid w:val="003C2B32"/>
    <w:rsid w:val="003C6057"/>
    <w:rsid w:val="003C7FC5"/>
    <w:rsid w:val="003D07F7"/>
    <w:rsid w:val="003D2D46"/>
    <w:rsid w:val="003D5275"/>
    <w:rsid w:val="003D63DF"/>
    <w:rsid w:val="003D737F"/>
    <w:rsid w:val="003F0A40"/>
    <w:rsid w:val="003F65B4"/>
    <w:rsid w:val="003F7474"/>
    <w:rsid w:val="00404616"/>
    <w:rsid w:val="0040557F"/>
    <w:rsid w:val="00406F6E"/>
    <w:rsid w:val="00407B6A"/>
    <w:rsid w:val="004104C5"/>
    <w:rsid w:val="00411D19"/>
    <w:rsid w:val="00414400"/>
    <w:rsid w:val="00421CD4"/>
    <w:rsid w:val="0042225B"/>
    <w:rsid w:val="00422932"/>
    <w:rsid w:val="00423EA7"/>
    <w:rsid w:val="004268F8"/>
    <w:rsid w:val="00427472"/>
    <w:rsid w:val="00427833"/>
    <w:rsid w:val="004300D8"/>
    <w:rsid w:val="004317A5"/>
    <w:rsid w:val="00432D28"/>
    <w:rsid w:val="004335E8"/>
    <w:rsid w:val="00433A5F"/>
    <w:rsid w:val="00433D4E"/>
    <w:rsid w:val="0044196E"/>
    <w:rsid w:val="00441E66"/>
    <w:rsid w:val="004423CC"/>
    <w:rsid w:val="00442EA5"/>
    <w:rsid w:val="004433A7"/>
    <w:rsid w:val="0044603D"/>
    <w:rsid w:val="0045110A"/>
    <w:rsid w:val="00452344"/>
    <w:rsid w:val="00453FFD"/>
    <w:rsid w:val="0045403D"/>
    <w:rsid w:val="00457A0A"/>
    <w:rsid w:val="00457CDD"/>
    <w:rsid w:val="0046519E"/>
    <w:rsid w:val="0047003D"/>
    <w:rsid w:val="00470826"/>
    <w:rsid w:val="00471C6B"/>
    <w:rsid w:val="00474210"/>
    <w:rsid w:val="00476116"/>
    <w:rsid w:val="004773FF"/>
    <w:rsid w:val="00477603"/>
    <w:rsid w:val="00480B96"/>
    <w:rsid w:val="0048303E"/>
    <w:rsid w:val="0049004B"/>
    <w:rsid w:val="004920F6"/>
    <w:rsid w:val="00497636"/>
    <w:rsid w:val="004A14C7"/>
    <w:rsid w:val="004A5CB8"/>
    <w:rsid w:val="004A67E8"/>
    <w:rsid w:val="004A690D"/>
    <w:rsid w:val="004B2AD5"/>
    <w:rsid w:val="004B751C"/>
    <w:rsid w:val="004B759B"/>
    <w:rsid w:val="004C2071"/>
    <w:rsid w:val="004C3D65"/>
    <w:rsid w:val="004C4306"/>
    <w:rsid w:val="004D6472"/>
    <w:rsid w:val="004E571A"/>
    <w:rsid w:val="004F0890"/>
    <w:rsid w:val="004F4056"/>
    <w:rsid w:val="004F499F"/>
    <w:rsid w:val="004F55A3"/>
    <w:rsid w:val="004F6E65"/>
    <w:rsid w:val="005043F7"/>
    <w:rsid w:val="005049EE"/>
    <w:rsid w:val="00504AB7"/>
    <w:rsid w:val="005100CE"/>
    <w:rsid w:val="005214A4"/>
    <w:rsid w:val="00524729"/>
    <w:rsid w:val="00526151"/>
    <w:rsid w:val="00526CAD"/>
    <w:rsid w:val="0052720C"/>
    <w:rsid w:val="00537B24"/>
    <w:rsid w:val="00543616"/>
    <w:rsid w:val="005451D1"/>
    <w:rsid w:val="00547EE0"/>
    <w:rsid w:val="005529ED"/>
    <w:rsid w:val="00560119"/>
    <w:rsid w:val="00562A5D"/>
    <w:rsid w:val="00567A7E"/>
    <w:rsid w:val="0057319F"/>
    <w:rsid w:val="005767C2"/>
    <w:rsid w:val="00580A15"/>
    <w:rsid w:val="00583A04"/>
    <w:rsid w:val="00587ADD"/>
    <w:rsid w:val="005943B7"/>
    <w:rsid w:val="00597AD2"/>
    <w:rsid w:val="00597D3F"/>
    <w:rsid w:val="005A0DE5"/>
    <w:rsid w:val="005A2817"/>
    <w:rsid w:val="005A5C03"/>
    <w:rsid w:val="005A6685"/>
    <w:rsid w:val="005B1111"/>
    <w:rsid w:val="005B14DA"/>
    <w:rsid w:val="005B79E9"/>
    <w:rsid w:val="005C02FA"/>
    <w:rsid w:val="005C71D2"/>
    <w:rsid w:val="005D1B54"/>
    <w:rsid w:val="005D7EB2"/>
    <w:rsid w:val="005E271F"/>
    <w:rsid w:val="005E4912"/>
    <w:rsid w:val="005E54E2"/>
    <w:rsid w:val="005E55C8"/>
    <w:rsid w:val="005E6F1F"/>
    <w:rsid w:val="005E7D47"/>
    <w:rsid w:val="005F0ED3"/>
    <w:rsid w:val="005F1783"/>
    <w:rsid w:val="005F44D1"/>
    <w:rsid w:val="005F5C47"/>
    <w:rsid w:val="005F71CB"/>
    <w:rsid w:val="006007E1"/>
    <w:rsid w:val="0060380D"/>
    <w:rsid w:val="006060F1"/>
    <w:rsid w:val="006064B3"/>
    <w:rsid w:val="00607F17"/>
    <w:rsid w:val="00611B90"/>
    <w:rsid w:val="0061365E"/>
    <w:rsid w:val="00617DB1"/>
    <w:rsid w:val="00621129"/>
    <w:rsid w:val="006243D0"/>
    <w:rsid w:val="00630F06"/>
    <w:rsid w:val="00631820"/>
    <w:rsid w:val="00633916"/>
    <w:rsid w:val="00641D2B"/>
    <w:rsid w:val="00652687"/>
    <w:rsid w:val="00654F3E"/>
    <w:rsid w:val="0065781C"/>
    <w:rsid w:val="00662D3E"/>
    <w:rsid w:val="006639D5"/>
    <w:rsid w:val="00665C7E"/>
    <w:rsid w:val="00667C77"/>
    <w:rsid w:val="006708F4"/>
    <w:rsid w:val="00672DDD"/>
    <w:rsid w:val="00676C91"/>
    <w:rsid w:val="006803C0"/>
    <w:rsid w:val="00681D95"/>
    <w:rsid w:val="00682623"/>
    <w:rsid w:val="00685C84"/>
    <w:rsid w:val="00690B77"/>
    <w:rsid w:val="00694189"/>
    <w:rsid w:val="00696186"/>
    <w:rsid w:val="006962E0"/>
    <w:rsid w:val="006A0989"/>
    <w:rsid w:val="006A34B6"/>
    <w:rsid w:val="006A5E7A"/>
    <w:rsid w:val="006A6A1B"/>
    <w:rsid w:val="006A7983"/>
    <w:rsid w:val="006B018D"/>
    <w:rsid w:val="006B4FDA"/>
    <w:rsid w:val="006B58FD"/>
    <w:rsid w:val="006C0E33"/>
    <w:rsid w:val="006C4000"/>
    <w:rsid w:val="006C621F"/>
    <w:rsid w:val="006C651A"/>
    <w:rsid w:val="006C7F43"/>
    <w:rsid w:val="006D5EE8"/>
    <w:rsid w:val="006E2EB2"/>
    <w:rsid w:val="006E56E8"/>
    <w:rsid w:val="006E5B01"/>
    <w:rsid w:val="006F5AA4"/>
    <w:rsid w:val="00711200"/>
    <w:rsid w:val="00711230"/>
    <w:rsid w:val="00711E65"/>
    <w:rsid w:val="00715C88"/>
    <w:rsid w:val="00715DD2"/>
    <w:rsid w:val="00722150"/>
    <w:rsid w:val="0072397F"/>
    <w:rsid w:val="0072473C"/>
    <w:rsid w:val="00724BC1"/>
    <w:rsid w:val="00727250"/>
    <w:rsid w:val="007276FC"/>
    <w:rsid w:val="00731922"/>
    <w:rsid w:val="00731ACB"/>
    <w:rsid w:val="0073452E"/>
    <w:rsid w:val="007368AD"/>
    <w:rsid w:val="00740D3F"/>
    <w:rsid w:val="0074133D"/>
    <w:rsid w:val="007451CA"/>
    <w:rsid w:val="00745DF6"/>
    <w:rsid w:val="00746C8A"/>
    <w:rsid w:val="00750F38"/>
    <w:rsid w:val="00751731"/>
    <w:rsid w:val="0075196D"/>
    <w:rsid w:val="0075427F"/>
    <w:rsid w:val="0075558C"/>
    <w:rsid w:val="00761EFA"/>
    <w:rsid w:val="00763E24"/>
    <w:rsid w:val="00764873"/>
    <w:rsid w:val="0076741E"/>
    <w:rsid w:val="00772668"/>
    <w:rsid w:val="007778DD"/>
    <w:rsid w:val="00781055"/>
    <w:rsid w:val="007832E1"/>
    <w:rsid w:val="007857BE"/>
    <w:rsid w:val="00787617"/>
    <w:rsid w:val="00796693"/>
    <w:rsid w:val="00797223"/>
    <w:rsid w:val="007A0F41"/>
    <w:rsid w:val="007A10AD"/>
    <w:rsid w:val="007B0125"/>
    <w:rsid w:val="007B15DE"/>
    <w:rsid w:val="007B4BA2"/>
    <w:rsid w:val="007B62D7"/>
    <w:rsid w:val="007C50E1"/>
    <w:rsid w:val="007C7591"/>
    <w:rsid w:val="007D09E9"/>
    <w:rsid w:val="007D1C7E"/>
    <w:rsid w:val="007D3775"/>
    <w:rsid w:val="007D5CD5"/>
    <w:rsid w:val="007F3568"/>
    <w:rsid w:val="007F6AE9"/>
    <w:rsid w:val="007F7342"/>
    <w:rsid w:val="00802143"/>
    <w:rsid w:val="008021DD"/>
    <w:rsid w:val="0080226F"/>
    <w:rsid w:val="00804630"/>
    <w:rsid w:val="008057C1"/>
    <w:rsid w:val="00817478"/>
    <w:rsid w:val="0082442D"/>
    <w:rsid w:val="00825933"/>
    <w:rsid w:val="00826D54"/>
    <w:rsid w:val="00826D60"/>
    <w:rsid w:val="008333D6"/>
    <w:rsid w:val="00833951"/>
    <w:rsid w:val="00834CBF"/>
    <w:rsid w:val="00836B22"/>
    <w:rsid w:val="00836F89"/>
    <w:rsid w:val="00836FB0"/>
    <w:rsid w:val="00844033"/>
    <w:rsid w:val="00846459"/>
    <w:rsid w:val="00855619"/>
    <w:rsid w:val="008559C5"/>
    <w:rsid w:val="0085757D"/>
    <w:rsid w:val="00863435"/>
    <w:rsid w:val="0086474B"/>
    <w:rsid w:val="00864954"/>
    <w:rsid w:val="00872827"/>
    <w:rsid w:val="0087302B"/>
    <w:rsid w:val="0087349A"/>
    <w:rsid w:val="0087532D"/>
    <w:rsid w:val="00876986"/>
    <w:rsid w:val="008820EB"/>
    <w:rsid w:val="00885DBE"/>
    <w:rsid w:val="008865B6"/>
    <w:rsid w:val="00890DBA"/>
    <w:rsid w:val="00891E44"/>
    <w:rsid w:val="00892278"/>
    <w:rsid w:val="008949E2"/>
    <w:rsid w:val="008949E3"/>
    <w:rsid w:val="00895DF4"/>
    <w:rsid w:val="00896ED8"/>
    <w:rsid w:val="008A24A0"/>
    <w:rsid w:val="008A6964"/>
    <w:rsid w:val="008A7971"/>
    <w:rsid w:val="008B0A19"/>
    <w:rsid w:val="008B1A4D"/>
    <w:rsid w:val="008B2D6A"/>
    <w:rsid w:val="008B6FEE"/>
    <w:rsid w:val="008C0934"/>
    <w:rsid w:val="008C3462"/>
    <w:rsid w:val="008C52AA"/>
    <w:rsid w:val="008C6C3F"/>
    <w:rsid w:val="008D0A54"/>
    <w:rsid w:val="008D1444"/>
    <w:rsid w:val="008D1743"/>
    <w:rsid w:val="008D20B5"/>
    <w:rsid w:val="008D589C"/>
    <w:rsid w:val="008E13D0"/>
    <w:rsid w:val="008E36C1"/>
    <w:rsid w:val="008E7085"/>
    <w:rsid w:val="008E7A6E"/>
    <w:rsid w:val="008F0116"/>
    <w:rsid w:val="008F1117"/>
    <w:rsid w:val="008F37EC"/>
    <w:rsid w:val="008F60C3"/>
    <w:rsid w:val="008F7543"/>
    <w:rsid w:val="00904969"/>
    <w:rsid w:val="00923012"/>
    <w:rsid w:val="0092354F"/>
    <w:rsid w:val="00924E0E"/>
    <w:rsid w:val="00925001"/>
    <w:rsid w:val="009254D6"/>
    <w:rsid w:val="0092669B"/>
    <w:rsid w:val="00930228"/>
    <w:rsid w:val="0093163E"/>
    <w:rsid w:val="00936436"/>
    <w:rsid w:val="00937006"/>
    <w:rsid w:val="00952872"/>
    <w:rsid w:val="00957D41"/>
    <w:rsid w:val="00963025"/>
    <w:rsid w:val="00964269"/>
    <w:rsid w:val="00966BAC"/>
    <w:rsid w:val="0096700D"/>
    <w:rsid w:val="00972A83"/>
    <w:rsid w:val="009736F0"/>
    <w:rsid w:val="0097424B"/>
    <w:rsid w:val="009746D1"/>
    <w:rsid w:val="009754B5"/>
    <w:rsid w:val="009759EB"/>
    <w:rsid w:val="00975E37"/>
    <w:rsid w:val="009815AC"/>
    <w:rsid w:val="00981B6D"/>
    <w:rsid w:val="00986940"/>
    <w:rsid w:val="009903C9"/>
    <w:rsid w:val="009905CA"/>
    <w:rsid w:val="00993333"/>
    <w:rsid w:val="0099338B"/>
    <w:rsid w:val="00993BAC"/>
    <w:rsid w:val="009953ED"/>
    <w:rsid w:val="00997866"/>
    <w:rsid w:val="009A2ABE"/>
    <w:rsid w:val="009A595D"/>
    <w:rsid w:val="009A6A2F"/>
    <w:rsid w:val="009B1D2B"/>
    <w:rsid w:val="009B22C7"/>
    <w:rsid w:val="009B2F2C"/>
    <w:rsid w:val="009C0D96"/>
    <w:rsid w:val="009C755C"/>
    <w:rsid w:val="009C780F"/>
    <w:rsid w:val="009C78DD"/>
    <w:rsid w:val="009D0F66"/>
    <w:rsid w:val="009D657B"/>
    <w:rsid w:val="009D794C"/>
    <w:rsid w:val="009E151F"/>
    <w:rsid w:val="009E43F7"/>
    <w:rsid w:val="009E6E93"/>
    <w:rsid w:val="00A04662"/>
    <w:rsid w:val="00A04AC9"/>
    <w:rsid w:val="00A0580F"/>
    <w:rsid w:val="00A1003E"/>
    <w:rsid w:val="00A122FA"/>
    <w:rsid w:val="00A16077"/>
    <w:rsid w:val="00A17078"/>
    <w:rsid w:val="00A20C52"/>
    <w:rsid w:val="00A230CD"/>
    <w:rsid w:val="00A23981"/>
    <w:rsid w:val="00A25353"/>
    <w:rsid w:val="00A31B5D"/>
    <w:rsid w:val="00A31FB6"/>
    <w:rsid w:val="00A34F5F"/>
    <w:rsid w:val="00A36204"/>
    <w:rsid w:val="00A41EE3"/>
    <w:rsid w:val="00A46A68"/>
    <w:rsid w:val="00A50EE9"/>
    <w:rsid w:val="00A50F5A"/>
    <w:rsid w:val="00A54E6E"/>
    <w:rsid w:val="00A55929"/>
    <w:rsid w:val="00A602C2"/>
    <w:rsid w:val="00A60D1F"/>
    <w:rsid w:val="00A66A93"/>
    <w:rsid w:val="00A746DE"/>
    <w:rsid w:val="00A81763"/>
    <w:rsid w:val="00A81ECF"/>
    <w:rsid w:val="00A847CB"/>
    <w:rsid w:val="00A8566E"/>
    <w:rsid w:val="00A8578C"/>
    <w:rsid w:val="00A86F48"/>
    <w:rsid w:val="00A87D62"/>
    <w:rsid w:val="00AA3971"/>
    <w:rsid w:val="00AA3E0C"/>
    <w:rsid w:val="00AA7E0E"/>
    <w:rsid w:val="00AB3DAD"/>
    <w:rsid w:val="00AB5F5A"/>
    <w:rsid w:val="00AB6429"/>
    <w:rsid w:val="00AB7776"/>
    <w:rsid w:val="00AC2C5D"/>
    <w:rsid w:val="00AC3807"/>
    <w:rsid w:val="00AD0A33"/>
    <w:rsid w:val="00AD31BE"/>
    <w:rsid w:val="00AD3F01"/>
    <w:rsid w:val="00AD4E08"/>
    <w:rsid w:val="00AD5D8D"/>
    <w:rsid w:val="00AE0982"/>
    <w:rsid w:val="00AE6422"/>
    <w:rsid w:val="00AF19D4"/>
    <w:rsid w:val="00B05DBA"/>
    <w:rsid w:val="00B0720D"/>
    <w:rsid w:val="00B07524"/>
    <w:rsid w:val="00B113E7"/>
    <w:rsid w:val="00B16D8B"/>
    <w:rsid w:val="00B23115"/>
    <w:rsid w:val="00B25C87"/>
    <w:rsid w:val="00B3423F"/>
    <w:rsid w:val="00B34D2A"/>
    <w:rsid w:val="00B35B7C"/>
    <w:rsid w:val="00B36790"/>
    <w:rsid w:val="00B36E2E"/>
    <w:rsid w:val="00B41358"/>
    <w:rsid w:val="00B4541F"/>
    <w:rsid w:val="00B47AB4"/>
    <w:rsid w:val="00B53C15"/>
    <w:rsid w:val="00B56DE5"/>
    <w:rsid w:val="00B61A6F"/>
    <w:rsid w:val="00B63755"/>
    <w:rsid w:val="00B70D6E"/>
    <w:rsid w:val="00B71A04"/>
    <w:rsid w:val="00B7746D"/>
    <w:rsid w:val="00B77FA9"/>
    <w:rsid w:val="00B804DB"/>
    <w:rsid w:val="00B823C7"/>
    <w:rsid w:val="00B90095"/>
    <w:rsid w:val="00B93CBD"/>
    <w:rsid w:val="00B93EFB"/>
    <w:rsid w:val="00B94E8A"/>
    <w:rsid w:val="00B97F15"/>
    <w:rsid w:val="00BA3AB9"/>
    <w:rsid w:val="00BA5DB2"/>
    <w:rsid w:val="00BA77A3"/>
    <w:rsid w:val="00BA7845"/>
    <w:rsid w:val="00BB1131"/>
    <w:rsid w:val="00BB43B7"/>
    <w:rsid w:val="00BC2A42"/>
    <w:rsid w:val="00BC7605"/>
    <w:rsid w:val="00BD2603"/>
    <w:rsid w:val="00BD28A9"/>
    <w:rsid w:val="00BD3522"/>
    <w:rsid w:val="00BD43E6"/>
    <w:rsid w:val="00BE16EE"/>
    <w:rsid w:val="00BE19A9"/>
    <w:rsid w:val="00BE62C7"/>
    <w:rsid w:val="00BF0D4A"/>
    <w:rsid w:val="00BF55AF"/>
    <w:rsid w:val="00C00536"/>
    <w:rsid w:val="00C02DA8"/>
    <w:rsid w:val="00C04A66"/>
    <w:rsid w:val="00C04B2A"/>
    <w:rsid w:val="00C06AA2"/>
    <w:rsid w:val="00C0799A"/>
    <w:rsid w:val="00C11D0D"/>
    <w:rsid w:val="00C227E1"/>
    <w:rsid w:val="00C26544"/>
    <w:rsid w:val="00C30D60"/>
    <w:rsid w:val="00C3281A"/>
    <w:rsid w:val="00C34911"/>
    <w:rsid w:val="00C353E1"/>
    <w:rsid w:val="00C36BB7"/>
    <w:rsid w:val="00C4218F"/>
    <w:rsid w:val="00C44B82"/>
    <w:rsid w:val="00C46ED5"/>
    <w:rsid w:val="00C509C3"/>
    <w:rsid w:val="00C50A17"/>
    <w:rsid w:val="00C52A2D"/>
    <w:rsid w:val="00C54294"/>
    <w:rsid w:val="00C54B5F"/>
    <w:rsid w:val="00C54C60"/>
    <w:rsid w:val="00C57B46"/>
    <w:rsid w:val="00C607E9"/>
    <w:rsid w:val="00C664EB"/>
    <w:rsid w:val="00C70EAE"/>
    <w:rsid w:val="00C7104A"/>
    <w:rsid w:val="00C71AC3"/>
    <w:rsid w:val="00C72720"/>
    <w:rsid w:val="00C736C1"/>
    <w:rsid w:val="00C74473"/>
    <w:rsid w:val="00C81385"/>
    <w:rsid w:val="00C81F06"/>
    <w:rsid w:val="00C826D2"/>
    <w:rsid w:val="00C82B18"/>
    <w:rsid w:val="00C8378D"/>
    <w:rsid w:val="00C83B65"/>
    <w:rsid w:val="00C84740"/>
    <w:rsid w:val="00C870CD"/>
    <w:rsid w:val="00C90BEC"/>
    <w:rsid w:val="00C921B6"/>
    <w:rsid w:val="00C92F38"/>
    <w:rsid w:val="00C963D7"/>
    <w:rsid w:val="00CA2917"/>
    <w:rsid w:val="00CA39A7"/>
    <w:rsid w:val="00CA40CC"/>
    <w:rsid w:val="00CA4F13"/>
    <w:rsid w:val="00CB05F0"/>
    <w:rsid w:val="00CB08A1"/>
    <w:rsid w:val="00CB09E5"/>
    <w:rsid w:val="00CB5BDF"/>
    <w:rsid w:val="00CB6704"/>
    <w:rsid w:val="00CB6D30"/>
    <w:rsid w:val="00CC3BE5"/>
    <w:rsid w:val="00CC538F"/>
    <w:rsid w:val="00CD18BC"/>
    <w:rsid w:val="00CD50B5"/>
    <w:rsid w:val="00CD73A9"/>
    <w:rsid w:val="00CD79D5"/>
    <w:rsid w:val="00CE197E"/>
    <w:rsid w:val="00CE3A3E"/>
    <w:rsid w:val="00CE4D4B"/>
    <w:rsid w:val="00CE768A"/>
    <w:rsid w:val="00CE7F01"/>
    <w:rsid w:val="00CF204B"/>
    <w:rsid w:val="00CF2B3D"/>
    <w:rsid w:val="00CF36A2"/>
    <w:rsid w:val="00CF3830"/>
    <w:rsid w:val="00CF538E"/>
    <w:rsid w:val="00CF5F93"/>
    <w:rsid w:val="00CF7693"/>
    <w:rsid w:val="00D0297D"/>
    <w:rsid w:val="00D03AC1"/>
    <w:rsid w:val="00D03BBD"/>
    <w:rsid w:val="00D06F12"/>
    <w:rsid w:val="00D21EF3"/>
    <w:rsid w:val="00D26352"/>
    <w:rsid w:val="00D32FDA"/>
    <w:rsid w:val="00D41205"/>
    <w:rsid w:val="00D44B74"/>
    <w:rsid w:val="00D46790"/>
    <w:rsid w:val="00D50CE1"/>
    <w:rsid w:val="00D5670D"/>
    <w:rsid w:val="00D57CDA"/>
    <w:rsid w:val="00D6504C"/>
    <w:rsid w:val="00D677AA"/>
    <w:rsid w:val="00D70253"/>
    <w:rsid w:val="00D71E10"/>
    <w:rsid w:val="00D73F4D"/>
    <w:rsid w:val="00D749F1"/>
    <w:rsid w:val="00D82E57"/>
    <w:rsid w:val="00D83573"/>
    <w:rsid w:val="00D842E3"/>
    <w:rsid w:val="00D86AD9"/>
    <w:rsid w:val="00D900CF"/>
    <w:rsid w:val="00D91C27"/>
    <w:rsid w:val="00D95465"/>
    <w:rsid w:val="00DA19EC"/>
    <w:rsid w:val="00DA603B"/>
    <w:rsid w:val="00DA7363"/>
    <w:rsid w:val="00DC0642"/>
    <w:rsid w:val="00DC49F9"/>
    <w:rsid w:val="00DC4B25"/>
    <w:rsid w:val="00DC50EC"/>
    <w:rsid w:val="00DC5131"/>
    <w:rsid w:val="00DC5925"/>
    <w:rsid w:val="00DC60FA"/>
    <w:rsid w:val="00DD00DE"/>
    <w:rsid w:val="00DD2B24"/>
    <w:rsid w:val="00DD59D6"/>
    <w:rsid w:val="00DE23AF"/>
    <w:rsid w:val="00DE7195"/>
    <w:rsid w:val="00DF3B9A"/>
    <w:rsid w:val="00DF4970"/>
    <w:rsid w:val="00DF515C"/>
    <w:rsid w:val="00DF7634"/>
    <w:rsid w:val="00DF7C87"/>
    <w:rsid w:val="00E06C9A"/>
    <w:rsid w:val="00E07CC9"/>
    <w:rsid w:val="00E14493"/>
    <w:rsid w:val="00E15699"/>
    <w:rsid w:val="00E17598"/>
    <w:rsid w:val="00E225FE"/>
    <w:rsid w:val="00E354A2"/>
    <w:rsid w:val="00E37A96"/>
    <w:rsid w:val="00E403C2"/>
    <w:rsid w:val="00E41BDE"/>
    <w:rsid w:val="00E455AA"/>
    <w:rsid w:val="00E459DC"/>
    <w:rsid w:val="00E47B64"/>
    <w:rsid w:val="00E547A1"/>
    <w:rsid w:val="00E56352"/>
    <w:rsid w:val="00E579B9"/>
    <w:rsid w:val="00E603A6"/>
    <w:rsid w:val="00E60C1D"/>
    <w:rsid w:val="00E627C2"/>
    <w:rsid w:val="00E63017"/>
    <w:rsid w:val="00E633BE"/>
    <w:rsid w:val="00E63656"/>
    <w:rsid w:val="00E6411A"/>
    <w:rsid w:val="00E76C13"/>
    <w:rsid w:val="00E82B51"/>
    <w:rsid w:val="00E90128"/>
    <w:rsid w:val="00E94D5A"/>
    <w:rsid w:val="00EA008F"/>
    <w:rsid w:val="00EA09C6"/>
    <w:rsid w:val="00EA3232"/>
    <w:rsid w:val="00EA464C"/>
    <w:rsid w:val="00EA5199"/>
    <w:rsid w:val="00EA55A0"/>
    <w:rsid w:val="00EA63D7"/>
    <w:rsid w:val="00EB6152"/>
    <w:rsid w:val="00EB69CD"/>
    <w:rsid w:val="00EC0D3C"/>
    <w:rsid w:val="00EC3BCA"/>
    <w:rsid w:val="00EC5D37"/>
    <w:rsid w:val="00EC6EAC"/>
    <w:rsid w:val="00ED159E"/>
    <w:rsid w:val="00ED2834"/>
    <w:rsid w:val="00ED3746"/>
    <w:rsid w:val="00ED4919"/>
    <w:rsid w:val="00ED4A33"/>
    <w:rsid w:val="00ED6ADB"/>
    <w:rsid w:val="00ED7A05"/>
    <w:rsid w:val="00EE2A89"/>
    <w:rsid w:val="00EE334C"/>
    <w:rsid w:val="00EE601A"/>
    <w:rsid w:val="00EF163D"/>
    <w:rsid w:val="00EF2015"/>
    <w:rsid w:val="00EF2BE9"/>
    <w:rsid w:val="00EF47AE"/>
    <w:rsid w:val="00EF5E48"/>
    <w:rsid w:val="00EF6B30"/>
    <w:rsid w:val="00EF6B36"/>
    <w:rsid w:val="00F02153"/>
    <w:rsid w:val="00F02FE5"/>
    <w:rsid w:val="00F046A3"/>
    <w:rsid w:val="00F058DF"/>
    <w:rsid w:val="00F063AE"/>
    <w:rsid w:val="00F10C8C"/>
    <w:rsid w:val="00F13E4B"/>
    <w:rsid w:val="00F146B0"/>
    <w:rsid w:val="00F1493F"/>
    <w:rsid w:val="00F15675"/>
    <w:rsid w:val="00F17B83"/>
    <w:rsid w:val="00F20E90"/>
    <w:rsid w:val="00F21205"/>
    <w:rsid w:val="00F21250"/>
    <w:rsid w:val="00F21EDD"/>
    <w:rsid w:val="00F2398D"/>
    <w:rsid w:val="00F26C23"/>
    <w:rsid w:val="00F26D59"/>
    <w:rsid w:val="00F404EB"/>
    <w:rsid w:val="00F44E1A"/>
    <w:rsid w:val="00F451CB"/>
    <w:rsid w:val="00F4725E"/>
    <w:rsid w:val="00F525DA"/>
    <w:rsid w:val="00F61FA9"/>
    <w:rsid w:val="00F62AB4"/>
    <w:rsid w:val="00F634A3"/>
    <w:rsid w:val="00F647C7"/>
    <w:rsid w:val="00F653A3"/>
    <w:rsid w:val="00F658B1"/>
    <w:rsid w:val="00F70716"/>
    <w:rsid w:val="00F710F9"/>
    <w:rsid w:val="00F71ADC"/>
    <w:rsid w:val="00F74764"/>
    <w:rsid w:val="00F75035"/>
    <w:rsid w:val="00F7620F"/>
    <w:rsid w:val="00F8129A"/>
    <w:rsid w:val="00F817EC"/>
    <w:rsid w:val="00F83833"/>
    <w:rsid w:val="00F8799D"/>
    <w:rsid w:val="00F87F40"/>
    <w:rsid w:val="00F90188"/>
    <w:rsid w:val="00F91BDC"/>
    <w:rsid w:val="00F951DA"/>
    <w:rsid w:val="00F97EBE"/>
    <w:rsid w:val="00FA0AE4"/>
    <w:rsid w:val="00FA463B"/>
    <w:rsid w:val="00FA75A5"/>
    <w:rsid w:val="00FB0896"/>
    <w:rsid w:val="00FB23A4"/>
    <w:rsid w:val="00FB4DBA"/>
    <w:rsid w:val="00FB56A5"/>
    <w:rsid w:val="00FB667E"/>
    <w:rsid w:val="00FC52EE"/>
    <w:rsid w:val="00FC5A1B"/>
    <w:rsid w:val="00FD44EA"/>
    <w:rsid w:val="00FE552D"/>
    <w:rsid w:val="00FF1665"/>
    <w:rsid w:val="00FF195C"/>
    <w:rsid w:val="00FF4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B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5F5C47"/>
    <w:pPr>
      <w:keepNext/>
      <w:spacing w:before="240" w:after="60"/>
      <w:outlineLvl w:val="1"/>
    </w:pPr>
    <w:rPr>
      <w:rFonts w:ascii="Times New Roman" w:hAnsi="Times New Roman"/>
      <w:b/>
      <w:bCs/>
      <w:iCs/>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paragraph" w:styleId="Heading4">
    <w:name w:val="heading 4"/>
    <w:basedOn w:val="Normal"/>
    <w:next w:val="Normal"/>
    <w:link w:val="Heading4Char"/>
    <w:unhideWhenUsed/>
    <w:qFormat/>
    <w:rsid w:val="00A0580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711230"/>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4317A5"/>
    <w:pPr>
      <w:tabs>
        <w:tab w:val="right" w:leader="dot" w:pos="8630"/>
      </w:tabs>
    </w:pPr>
  </w:style>
  <w:style w:type="paragraph" w:styleId="TOC2">
    <w:name w:val="toc 2"/>
    <w:basedOn w:val="Normal"/>
    <w:next w:val="Normal"/>
    <w:autoRedefine/>
    <w:uiPriority w:val="39"/>
    <w:rsid w:val="005F5C47"/>
    <w:pPr>
      <w:tabs>
        <w:tab w:val="right" w:leader="dot" w:pos="8630"/>
      </w:tabs>
      <w:ind w:left="288"/>
    </w:pPr>
  </w:style>
  <w:style w:type="paragraph" w:styleId="TOC3">
    <w:name w:val="toc 3"/>
    <w:basedOn w:val="Normal"/>
    <w:next w:val="Normal"/>
    <w:autoRedefine/>
    <w:uiPriority w:val="39"/>
    <w:rsid w:val="005F5C47"/>
    <w:pPr>
      <w:tabs>
        <w:tab w:val="right" w:leader="dot" w:pos="8630"/>
      </w:tabs>
      <w:ind w:left="288"/>
    </w:pPr>
  </w:style>
  <w:style w:type="paragraph" w:styleId="TOC4">
    <w:name w:val="toc 4"/>
    <w:basedOn w:val="Normal"/>
    <w:next w:val="Normal"/>
    <w:autoRedefine/>
    <w:uiPriority w:val="39"/>
    <w:rsid w:val="004317A5"/>
    <w:pPr>
      <w:tabs>
        <w:tab w:val="right" w:leader="dot" w:pos="8630"/>
      </w:tabs>
      <w:ind w:left="576"/>
    </w:pPr>
    <w:rPr>
      <w:rFonts w:ascii="Times New Roman" w:hAnsi="Times New Roman"/>
    </w:rPr>
  </w:style>
  <w:style w:type="paragraph" w:styleId="TOC5">
    <w:name w:val="toc 5"/>
    <w:basedOn w:val="Normal"/>
    <w:next w:val="Normal"/>
    <w:autoRedefine/>
    <w:uiPriority w:val="39"/>
    <w:rsid w:val="004317A5"/>
    <w:pPr>
      <w:tabs>
        <w:tab w:val="right" w:leader="dot" w:pos="8630"/>
      </w:tabs>
      <w:ind w:left="864"/>
    </w:pPr>
    <w:rPr>
      <w:rFonts w:ascii="Times New Roman" w:hAnsi="Times New Roman"/>
    </w:r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2015"/>
    <w:rPr>
      <w:sz w:val="16"/>
      <w:szCs w:val="16"/>
    </w:rPr>
  </w:style>
  <w:style w:type="paragraph" w:customStyle="1" w:styleId="Normal1">
    <w:name w:val="Normal1"/>
    <w:rsid w:val="004B759B"/>
    <w:pPr>
      <w:spacing w:line="276" w:lineRule="auto"/>
      <w:contextualSpacing/>
    </w:pPr>
    <w:rPr>
      <w:rFonts w:ascii="Arial" w:eastAsia="Arial" w:hAnsi="Arial" w:cs="Arial"/>
      <w:sz w:val="22"/>
      <w:szCs w:val="22"/>
    </w:rPr>
  </w:style>
  <w:style w:type="paragraph" w:styleId="ListParagraph">
    <w:name w:val="List Paragraph"/>
    <w:basedOn w:val="Normal"/>
    <w:uiPriority w:val="34"/>
    <w:qFormat/>
    <w:rsid w:val="004B759B"/>
    <w:pPr>
      <w:ind w:left="720"/>
      <w:contextualSpacing/>
    </w:pPr>
    <w:rPr>
      <w:rFonts w:asciiTheme="minorHAnsi" w:eastAsiaTheme="minorHAnsi" w:hAnsiTheme="minorHAnsi" w:cstheme="minorBidi"/>
    </w:rPr>
  </w:style>
  <w:style w:type="paragraph" w:styleId="CommentText">
    <w:name w:val="annotation text"/>
    <w:basedOn w:val="Normal"/>
    <w:link w:val="CommentTextChar"/>
    <w:uiPriority w:val="99"/>
    <w:semiHidden/>
    <w:unhideWhenUsed/>
    <w:rsid w:val="004B759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4B759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4B759B"/>
    <w:rPr>
      <w:b/>
      <w:bCs/>
    </w:rPr>
  </w:style>
  <w:style w:type="character" w:customStyle="1" w:styleId="CommentSubjectChar">
    <w:name w:val="Comment Subject Char"/>
    <w:basedOn w:val="CommentTextChar"/>
    <w:link w:val="CommentSubject"/>
    <w:uiPriority w:val="99"/>
    <w:semiHidden/>
    <w:rsid w:val="004B759B"/>
    <w:rPr>
      <w:rFonts w:asciiTheme="minorHAnsi" w:eastAsiaTheme="minorHAnsi" w:hAnsiTheme="minorHAnsi" w:cstheme="minorBidi"/>
      <w:b/>
      <w:bCs/>
    </w:rPr>
  </w:style>
  <w:style w:type="character" w:styleId="PageNumber">
    <w:name w:val="page number"/>
    <w:basedOn w:val="DefaultParagraphFont"/>
    <w:uiPriority w:val="99"/>
    <w:semiHidden/>
    <w:unhideWhenUsed/>
    <w:rsid w:val="004B759B"/>
  </w:style>
  <w:style w:type="character" w:customStyle="1" w:styleId="Heading2Char">
    <w:name w:val="Heading 2 Char"/>
    <w:basedOn w:val="DefaultParagraphFont"/>
    <w:link w:val="Heading2"/>
    <w:rsid w:val="005F5C47"/>
    <w:rPr>
      <w:rFonts w:cs="Arial"/>
      <w:b/>
      <w:bCs/>
      <w:iCs/>
      <w:sz w:val="24"/>
      <w:szCs w:val="28"/>
    </w:rPr>
  </w:style>
  <w:style w:type="paragraph" w:styleId="Revision">
    <w:name w:val="Revision"/>
    <w:hidden/>
    <w:uiPriority w:val="99"/>
    <w:semiHidden/>
    <w:rsid w:val="004B759B"/>
    <w:rPr>
      <w:rFonts w:asciiTheme="minorHAnsi" w:eastAsiaTheme="minorHAnsi" w:hAnsiTheme="minorHAnsi" w:cstheme="minorBidi"/>
      <w:sz w:val="24"/>
      <w:szCs w:val="24"/>
    </w:rPr>
  </w:style>
  <w:style w:type="paragraph" w:styleId="BalloonText">
    <w:name w:val="Balloon Text"/>
    <w:basedOn w:val="Normal"/>
    <w:link w:val="BalloonTextChar"/>
    <w:uiPriority w:val="99"/>
    <w:semiHidden/>
    <w:unhideWhenUsed/>
    <w:rsid w:val="004B759B"/>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4B759B"/>
    <w:rPr>
      <w:rFonts w:ascii="Segoe UI" w:eastAsiaTheme="minorHAnsi" w:hAnsi="Segoe UI" w:cs="Segoe UI"/>
      <w:sz w:val="18"/>
      <w:szCs w:val="18"/>
    </w:rPr>
  </w:style>
  <w:style w:type="paragraph" w:styleId="FootnoteText">
    <w:name w:val="footnote text"/>
    <w:basedOn w:val="Normal"/>
    <w:link w:val="FootnoteTextChar"/>
    <w:uiPriority w:val="99"/>
    <w:semiHidden/>
    <w:unhideWhenUsed/>
    <w:rsid w:val="004B759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B759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B759B"/>
    <w:rPr>
      <w:vertAlign w:val="superscript"/>
    </w:rPr>
  </w:style>
  <w:style w:type="character" w:customStyle="1" w:styleId="Heading4Char">
    <w:name w:val="Heading 4 Char"/>
    <w:basedOn w:val="DefaultParagraphFont"/>
    <w:link w:val="Heading4"/>
    <w:rsid w:val="00A0580F"/>
    <w:rPr>
      <w:rFonts w:asciiTheme="majorHAnsi" w:eastAsiaTheme="majorEastAsia" w:hAnsiTheme="majorHAnsi" w:cstheme="majorBidi"/>
      <w:i/>
      <w:iCs/>
      <w:color w:val="365F91" w:themeColor="accent1" w:themeShade="BF"/>
      <w:sz w:val="24"/>
      <w:szCs w:val="24"/>
    </w:rPr>
  </w:style>
  <w:style w:type="paragraph" w:customStyle="1" w:styleId="Heading41111">
    <w:name w:val="Heading 4 1.1.1.1"/>
    <w:basedOn w:val="Heading4"/>
    <w:link w:val="Heading41111Char"/>
    <w:qFormat/>
    <w:rsid w:val="00711230"/>
    <w:rPr>
      <w:rFonts w:ascii="Times New Roman" w:hAnsi="Times New Roman"/>
      <w:b/>
      <w:i w:val="0"/>
      <w:color w:val="auto"/>
    </w:rPr>
  </w:style>
  <w:style w:type="paragraph" w:customStyle="1" w:styleId="Heading40">
    <w:name w:val="Heading 4*"/>
    <w:basedOn w:val="Normal"/>
    <w:next w:val="Normal"/>
    <w:link w:val="Heading4Char0"/>
    <w:qFormat/>
    <w:rsid w:val="00711230"/>
    <w:pPr>
      <w:ind w:left="720"/>
    </w:pPr>
    <w:rPr>
      <w:rFonts w:ascii="Times New Roman" w:hAnsi="Times New Roman" w:cs="Times New Roman"/>
      <w:b/>
    </w:rPr>
  </w:style>
  <w:style w:type="character" w:customStyle="1" w:styleId="Heading4Char0">
    <w:name w:val="Heading 4* Char"/>
    <w:basedOn w:val="DefaultParagraphFont"/>
    <w:link w:val="Heading40"/>
    <w:rsid w:val="00711230"/>
    <w:rPr>
      <w:b/>
      <w:sz w:val="24"/>
      <w:szCs w:val="24"/>
    </w:rPr>
  </w:style>
  <w:style w:type="paragraph" w:customStyle="1" w:styleId="Heading50">
    <w:name w:val="Heading 5*"/>
    <w:basedOn w:val="Normal"/>
    <w:next w:val="Normal"/>
    <w:link w:val="Heading5Char0"/>
    <w:qFormat/>
    <w:rsid w:val="00711230"/>
    <w:rPr>
      <w:rFonts w:cs="Times New Roman"/>
      <w:b/>
      <w:i/>
    </w:rPr>
  </w:style>
  <w:style w:type="paragraph" w:customStyle="1" w:styleId="Heading511111">
    <w:name w:val="Heading 5 1.1.1.1.1"/>
    <w:basedOn w:val="Heading5"/>
    <w:link w:val="Heading511111Char"/>
    <w:qFormat/>
    <w:rsid w:val="00711230"/>
    <w:rPr>
      <w:rFonts w:ascii="Times New Roman" w:hAnsi="Times New Roman"/>
      <w:b/>
      <w:color w:val="auto"/>
    </w:rPr>
  </w:style>
  <w:style w:type="character" w:customStyle="1" w:styleId="Heading41111Char">
    <w:name w:val="Heading 4 1.1.1.1 Char"/>
    <w:basedOn w:val="Heading4Char"/>
    <w:link w:val="Heading41111"/>
    <w:rsid w:val="00711230"/>
    <w:rPr>
      <w:rFonts w:asciiTheme="majorHAnsi" w:eastAsiaTheme="majorEastAsia" w:hAnsiTheme="majorHAnsi" w:cstheme="majorBidi"/>
      <w:b/>
      <w:i w:val="0"/>
      <w:iCs/>
      <w:color w:val="365F91" w:themeColor="accent1" w:themeShade="BF"/>
      <w:sz w:val="24"/>
      <w:szCs w:val="24"/>
    </w:rPr>
  </w:style>
  <w:style w:type="character" w:customStyle="1" w:styleId="Heading5Char0">
    <w:name w:val="Heading 5* Char"/>
    <w:basedOn w:val="Heading41111Char"/>
    <w:link w:val="Heading50"/>
    <w:rsid w:val="00711230"/>
    <w:rPr>
      <w:rFonts w:ascii="Arial" w:eastAsiaTheme="majorEastAsia" w:hAnsi="Arial" w:cstheme="majorBidi"/>
      <w:b/>
      <w:i/>
      <w:iCs w:val="0"/>
      <w:color w:val="365F91" w:themeColor="accent1" w:themeShade="BF"/>
      <w:sz w:val="24"/>
      <w:szCs w:val="24"/>
    </w:rPr>
  </w:style>
  <w:style w:type="character" w:styleId="UnresolvedMention">
    <w:name w:val="Unresolved Mention"/>
    <w:basedOn w:val="DefaultParagraphFont"/>
    <w:uiPriority w:val="99"/>
    <w:unhideWhenUsed/>
    <w:rsid w:val="00DC5131"/>
    <w:rPr>
      <w:color w:val="605E5C"/>
      <w:shd w:val="clear" w:color="auto" w:fill="E1DFDD"/>
    </w:rPr>
  </w:style>
  <w:style w:type="character" w:customStyle="1" w:styleId="Heading511111Char">
    <w:name w:val="Heading 5 1.1.1.1.1 Char"/>
    <w:basedOn w:val="Heading41111Char"/>
    <w:link w:val="Heading511111"/>
    <w:rsid w:val="00711230"/>
    <w:rPr>
      <w:rFonts w:asciiTheme="majorHAnsi" w:eastAsiaTheme="majorEastAsia" w:hAnsiTheme="majorHAnsi" w:cstheme="majorBidi"/>
      <w:b/>
      <w:i w:val="0"/>
      <w:iCs w:val="0"/>
      <w:color w:val="365F91" w:themeColor="accent1" w:themeShade="BF"/>
      <w:sz w:val="24"/>
      <w:szCs w:val="24"/>
    </w:rPr>
  </w:style>
  <w:style w:type="character" w:customStyle="1" w:styleId="Heading5Char">
    <w:name w:val="Heading 5 Char"/>
    <w:basedOn w:val="DefaultParagraphFont"/>
    <w:link w:val="Heading5"/>
    <w:semiHidden/>
    <w:rsid w:val="00711230"/>
    <w:rPr>
      <w:rFonts w:asciiTheme="majorHAnsi" w:eastAsiaTheme="majorEastAsia" w:hAnsiTheme="majorHAnsi" w:cstheme="majorBidi"/>
      <w:color w:val="365F91" w:themeColor="accent1" w:themeShade="BF"/>
      <w:sz w:val="24"/>
      <w:szCs w:val="24"/>
    </w:rPr>
  </w:style>
  <w:style w:type="character" w:styleId="FollowedHyperlink">
    <w:name w:val="FollowedHyperlink"/>
    <w:basedOn w:val="DefaultParagraphFont"/>
    <w:uiPriority w:val="99"/>
    <w:semiHidden/>
    <w:unhideWhenUsed/>
    <w:rsid w:val="005B14DA"/>
    <w:rPr>
      <w:color w:val="800080" w:themeColor="followedHyperlink"/>
      <w:u w:val="single"/>
    </w:rPr>
  </w:style>
  <w:style w:type="character" w:customStyle="1" w:styleId="HeaderChar">
    <w:name w:val="Header Char"/>
    <w:basedOn w:val="DefaultParagraphFont"/>
    <w:link w:val="Header"/>
    <w:rsid w:val="005C02FA"/>
    <w:rPr>
      <w:rFonts w:ascii="Arial" w:hAnsi="Arial" w:cs="Arial"/>
      <w:sz w:val="24"/>
      <w:szCs w:val="24"/>
    </w:rPr>
  </w:style>
  <w:style w:type="character" w:customStyle="1" w:styleId="TitleChar1">
    <w:name w:val="Title Char1"/>
    <w:basedOn w:val="DefaultParagraphFont"/>
    <w:uiPriority w:val="10"/>
    <w:rsid w:val="005C02FA"/>
    <w:rPr>
      <w:rFonts w:asciiTheme="majorHAnsi" w:eastAsiaTheme="majorEastAsia" w:hAnsiTheme="majorHAnsi" w:cstheme="majorBidi"/>
      <w:spacing w:val="-10"/>
      <w:kern w:val="28"/>
      <w:sz w:val="56"/>
      <w:szCs w:val="56"/>
    </w:rPr>
  </w:style>
  <w:style w:type="paragraph" w:styleId="DocumentMap">
    <w:name w:val="Document Map"/>
    <w:basedOn w:val="Normal"/>
    <w:link w:val="DocumentMapChar"/>
    <w:uiPriority w:val="99"/>
    <w:semiHidden/>
    <w:unhideWhenUsed/>
    <w:rsid w:val="005C02FA"/>
    <w:rPr>
      <w:rFonts w:ascii="Times New Roman" w:hAnsi="Times New Roman" w:cs="Times New Roman"/>
    </w:rPr>
  </w:style>
  <w:style w:type="character" w:customStyle="1" w:styleId="DocumentMapChar">
    <w:name w:val="Document Map Char"/>
    <w:basedOn w:val="DefaultParagraphFont"/>
    <w:link w:val="DocumentMap"/>
    <w:uiPriority w:val="99"/>
    <w:semiHidden/>
    <w:rsid w:val="005C02FA"/>
    <w:rPr>
      <w:sz w:val="24"/>
      <w:szCs w:val="24"/>
    </w:rPr>
  </w:style>
  <w:style w:type="character" w:styleId="Emphasis">
    <w:name w:val="Emphasis"/>
    <w:basedOn w:val="DefaultParagraphFont"/>
    <w:qFormat/>
    <w:rsid w:val="005C02FA"/>
    <w:rPr>
      <w:i/>
      <w:iCs/>
    </w:rPr>
  </w:style>
  <w:style w:type="character" w:customStyle="1" w:styleId="CommentTextChar1">
    <w:name w:val="Comment Text Char1"/>
    <w:basedOn w:val="DefaultParagraphFont"/>
    <w:uiPriority w:val="99"/>
    <w:semiHidden/>
    <w:rsid w:val="005C02FA"/>
    <w:rPr>
      <w:rFonts w:ascii="Arial" w:eastAsia="Times New Roman" w:hAnsi="Arial" w:cs="Arial"/>
      <w:sz w:val="20"/>
      <w:szCs w:val="20"/>
    </w:rPr>
  </w:style>
  <w:style w:type="character" w:customStyle="1" w:styleId="BalloonTextChar1">
    <w:name w:val="Balloon Text Char1"/>
    <w:basedOn w:val="DefaultParagraphFont"/>
    <w:uiPriority w:val="99"/>
    <w:semiHidden/>
    <w:rsid w:val="005C02FA"/>
    <w:rPr>
      <w:rFonts w:ascii="Times New Roman" w:eastAsia="Times New Roman" w:hAnsi="Times New Roman" w:cs="Times New Roman"/>
      <w:sz w:val="18"/>
      <w:szCs w:val="18"/>
    </w:rPr>
  </w:style>
  <w:style w:type="character" w:customStyle="1" w:styleId="CommentSubjectChar1">
    <w:name w:val="Comment Subject Char1"/>
    <w:basedOn w:val="CommentTextChar1"/>
    <w:uiPriority w:val="99"/>
    <w:semiHidden/>
    <w:rsid w:val="005C02FA"/>
    <w:rPr>
      <w:rFonts w:ascii="Arial" w:eastAsia="Times New Roman" w:hAnsi="Arial" w:cs="Arial"/>
      <w:b/>
      <w:bCs/>
      <w:sz w:val="20"/>
      <w:szCs w:val="20"/>
    </w:rPr>
  </w:style>
  <w:style w:type="paragraph" w:styleId="Subtitle">
    <w:name w:val="Subtitle"/>
    <w:basedOn w:val="Normal"/>
    <w:next w:val="Normal"/>
    <w:link w:val="SubtitleChar"/>
    <w:qFormat/>
    <w:rsid w:val="005C02F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C02FA"/>
    <w:rPr>
      <w:rFonts w:asciiTheme="minorHAnsi" w:eastAsiaTheme="minorEastAsia" w:hAnsiTheme="minorHAnsi" w:cstheme="minorBidi"/>
      <w:color w:val="5A5A5A" w:themeColor="text1" w:themeTint="A5"/>
      <w:spacing w:val="15"/>
      <w:sz w:val="22"/>
      <w:szCs w:val="22"/>
    </w:rPr>
  </w:style>
  <w:style w:type="paragraph" w:styleId="NormalWeb">
    <w:name w:val="Normal (Web)"/>
    <w:basedOn w:val="Normal"/>
    <w:rsid w:val="005C02FA"/>
    <w:pPr>
      <w:spacing w:before="100" w:beforeAutospacing="1" w:after="100" w:afterAutospacing="1"/>
    </w:pPr>
    <w:rPr>
      <w:rFonts w:ascii="Times New Roman" w:hAnsi="Times New Roman" w:cs="Times New Roman"/>
    </w:rPr>
  </w:style>
  <w:style w:type="character" w:customStyle="1" w:styleId="psmall">
    <w:name w:val="psmall"/>
    <w:basedOn w:val="DefaultParagraphFont"/>
    <w:rsid w:val="005C02FA"/>
  </w:style>
  <w:style w:type="character" w:styleId="Strong">
    <w:name w:val="Strong"/>
    <w:basedOn w:val="DefaultParagraphFont"/>
    <w:uiPriority w:val="22"/>
    <w:qFormat/>
    <w:rsid w:val="005C02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97036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7717/peerj.119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186/s12889-021-10465-w"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257EB-1873-462A-88E0-4A64AE5B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192</Pages>
  <Words>180108</Words>
  <Characters>1026617</Characters>
  <Application>Microsoft Office Word</Application>
  <DocSecurity>0</DocSecurity>
  <Lines>8555</Lines>
  <Paragraphs>2408</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1204317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2021-11-16T13:52:00Z</dcterms:created>
  <dcterms:modified xsi:type="dcterms:W3CDTF">2021-11-16T13:58:00Z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http://www.zotero.org/styles/peerj</vt:lpwstr>
  </property>
  <property fmtid="{D5CDD505-2E9C-101B-9397-08002B2CF9AE}" pid="4" name="Mendeley Unique User Id_1">
    <vt:lpwstr>f20529fc-d27c-3313-bb07-8e3c2033afc6</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http://www.zotero.org/styles/bmc-public-health</vt:lpwstr>
  </property>
  <property fmtid="{D5CDD505-2E9C-101B-9397-08002B2CF9AE}" pid="10" name="Mendeley Recent Style Name 2_1">
    <vt:lpwstr>BMC Public Health</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http://www.zotero.org/styles/jama</vt:lpwstr>
  </property>
  <property fmtid="{D5CDD505-2E9C-101B-9397-08002B2CF9AE}" pid="18" name="Mendeley Recent Style Name 6_1">
    <vt:lpwstr>JAMA (The Journal of the American Medical Association)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http://www.zotero.org/styles/plos-one</vt:lpwstr>
  </property>
  <property fmtid="{D5CDD505-2E9C-101B-9397-08002B2CF9AE}" pid="22" name="Mendeley Recent Style Name 8_1">
    <vt:lpwstr>PLOS ONE</vt:lpwstr>
  </property>
  <property fmtid="{D5CDD505-2E9C-101B-9397-08002B2CF9AE}" pid="23" name="Mendeley Recent Style Id 9_1">
    <vt:lpwstr>http://www.zotero.org/styles/peerj</vt:lpwstr>
  </property>
  <property fmtid="{D5CDD505-2E9C-101B-9397-08002B2CF9AE}" pid="24" name="Mendeley Recent Style Name 9_1">
    <vt:lpwstr>PeerJ</vt:lpwstr>
  </property>
</Properties>
</file>